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512022" w14:textId="77777777" w:rsidR="00ED4694" w:rsidRPr="00B15634" w:rsidRDefault="00ED4694" w:rsidP="00ED4694">
      <w:pPr>
        <w:jc w:val="center"/>
        <w:rPr>
          <w:rFonts w:ascii="Arial" w:hAnsi="Arial" w:cs="Arial"/>
          <w:sz w:val="32"/>
          <w:szCs w:val="32"/>
        </w:rPr>
      </w:pPr>
      <w:r w:rsidRPr="00B15634">
        <w:rPr>
          <w:rFonts w:ascii="Arial" w:hAnsi="Arial" w:cs="Arial"/>
          <w:sz w:val="32"/>
          <w:szCs w:val="32"/>
        </w:rPr>
        <w:t xml:space="preserve">DIABETE – OBESITE </w:t>
      </w:r>
    </w:p>
    <w:p w14:paraId="254AA167" w14:textId="77777777" w:rsidR="00ED4694" w:rsidRPr="00B15634" w:rsidRDefault="00ED4694" w:rsidP="00ED4694">
      <w:pPr>
        <w:jc w:val="both"/>
        <w:rPr>
          <w:rFonts w:ascii="Arial" w:hAnsi="Arial" w:cs="Arial"/>
          <w:b/>
          <w:bCs/>
          <w:u w:val="single"/>
        </w:rPr>
      </w:pPr>
      <w:r w:rsidRPr="00B15634">
        <w:rPr>
          <w:rFonts w:ascii="Arial" w:hAnsi="Arial" w:cs="Arial"/>
          <w:b/>
          <w:bCs/>
          <w:highlight w:val="yellow"/>
          <w:u w:val="single"/>
        </w:rPr>
        <w:t>CM1</w:t>
      </w:r>
      <w:r w:rsidRPr="00B15634">
        <w:rPr>
          <w:rFonts w:ascii="Arial" w:hAnsi="Arial" w:cs="Arial"/>
          <w:b/>
          <w:bCs/>
          <w:u w:val="single"/>
        </w:rPr>
        <w:t xml:space="preserve"> - Santé publique</w:t>
      </w:r>
    </w:p>
    <w:p w14:paraId="3B1EB938" w14:textId="77777777" w:rsidR="00ED4694" w:rsidRPr="00B15634" w:rsidRDefault="00ED4694" w:rsidP="00ED4694">
      <w:pPr>
        <w:jc w:val="both"/>
        <w:rPr>
          <w:rFonts w:ascii="Arial" w:hAnsi="Arial" w:cs="Arial"/>
          <w:b/>
          <w:bCs/>
          <w:sz w:val="20"/>
          <w:szCs w:val="20"/>
          <w:u w:val="single"/>
        </w:rPr>
      </w:pPr>
      <w:r w:rsidRPr="00B15634">
        <w:rPr>
          <w:rFonts w:ascii="Arial" w:hAnsi="Arial" w:cs="Arial"/>
          <w:b/>
          <w:bCs/>
          <w:sz w:val="20"/>
          <w:szCs w:val="20"/>
          <w:u w:val="single"/>
        </w:rPr>
        <w:t>Définition épidémiologie</w:t>
      </w:r>
    </w:p>
    <w:p w14:paraId="24B47A27" w14:textId="77777777" w:rsidR="00ED4694" w:rsidRPr="00B15634" w:rsidRDefault="00ED4694" w:rsidP="00ED4694">
      <w:pPr>
        <w:jc w:val="both"/>
        <w:rPr>
          <w:rFonts w:ascii="Arial" w:hAnsi="Arial" w:cs="Arial"/>
          <w:sz w:val="20"/>
          <w:szCs w:val="20"/>
        </w:rPr>
      </w:pPr>
      <w:r w:rsidRPr="00B15634">
        <w:rPr>
          <w:rFonts w:ascii="Arial" w:hAnsi="Arial" w:cs="Arial"/>
          <w:color w:val="FF0000"/>
          <w:sz w:val="20"/>
          <w:szCs w:val="20"/>
        </w:rPr>
        <w:t>Surcharge pondérale </w:t>
      </w:r>
      <w:r w:rsidRPr="00B15634">
        <w:rPr>
          <w:rFonts w:ascii="Arial" w:hAnsi="Arial" w:cs="Arial"/>
          <w:sz w:val="20"/>
          <w:szCs w:val="20"/>
        </w:rPr>
        <w:t xml:space="preserve">: Accumulation anormale ou excessive de graisses dans le tissu adipeux, pouvant engendrer des conséquences néfastes pour la santé </w:t>
      </w:r>
    </w:p>
    <w:p w14:paraId="3ABEF7B8" w14:textId="77777777" w:rsidR="00ED4694" w:rsidRPr="00B15634" w:rsidRDefault="00ED4694" w:rsidP="00ED4694">
      <w:pPr>
        <w:jc w:val="both"/>
        <w:rPr>
          <w:rFonts w:ascii="Arial" w:hAnsi="Arial" w:cs="Arial"/>
          <w:sz w:val="20"/>
          <w:szCs w:val="20"/>
        </w:rPr>
      </w:pPr>
      <w:r w:rsidRPr="00B15634">
        <w:rPr>
          <w:rFonts w:ascii="Arial" w:hAnsi="Arial" w:cs="Arial"/>
          <w:b/>
          <w:bCs/>
          <w:sz w:val="20"/>
          <w:szCs w:val="20"/>
        </w:rPr>
        <w:t>IMC</w:t>
      </w:r>
      <w:r w:rsidRPr="00B15634">
        <w:rPr>
          <w:rFonts w:ascii="Arial" w:hAnsi="Arial" w:cs="Arial"/>
          <w:sz w:val="20"/>
          <w:szCs w:val="20"/>
        </w:rPr>
        <w:t> : Poids/Taille</w:t>
      </w:r>
      <w:r w:rsidRPr="00B15634">
        <w:rPr>
          <w:rFonts w:ascii="Arial" w:hAnsi="Arial" w:cs="Arial"/>
          <w:sz w:val="20"/>
          <w:szCs w:val="20"/>
          <w:vertAlign w:val="superscript"/>
        </w:rPr>
        <w:t>2</w:t>
      </w:r>
      <w:r w:rsidRPr="00B15634">
        <w:rPr>
          <w:rFonts w:ascii="Arial" w:hAnsi="Arial" w:cs="Arial"/>
          <w:sz w:val="20"/>
          <w:szCs w:val="20"/>
        </w:rPr>
        <w:t xml:space="preserve">                                                                                                                                                                   </w:t>
      </w:r>
    </w:p>
    <w:p w14:paraId="4B32279C"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sym w:font="Wingdings" w:char="F0E0"/>
      </w:r>
      <w:r w:rsidRPr="00B15634">
        <w:rPr>
          <w:rFonts w:ascii="Arial" w:hAnsi="Arial" w:cs="Arial"/>
          <w:sz w:val="20"/>
          <w:szCs w:val="20"/>
        </w:rPr>
        <w:t xml:space="preserve"> Chez l’adulte : kg/m2</w:t>
      </w:r>
    </w:p>
    <w:p w14:paraId="5E265660"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Normales [18,5 – 25]</w:t>
      </w:r>
    </w:p>
    <w:p w14:paraId="7FCC7E62"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≥25 : surcharge pondérale</w:t>
      </w:r>
    </w:p>
    <w:p w14:paraId="631969D0"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25&lt; P ≤30 :   surpoids</w:t>
      </w:r>
    </w:p>
    <w:p w14:paraId="60FD4646"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≥30 : obésité → [30 – 35] : classe 1</w:t>
      </w:r>
    </w:p>
    <w:p w14:paraId="6F7DD2FA" w14:textId="77777777" w:rsidR="00ED4694" w:rsidRPr="00B15634" w:rsidRDefault="00ED4694" w:rsidP="00ED4694">
      <w:pPr>
        <w:ind w:left="360"/>
        <w:jc w:val="both"/>
        <w:rPr>
          <w:rFonts w:ascii="Arial" w:hAnsi="Arial" w:cs="Arial"/>
          <w:sz w:val="20"/>
          <w:szCs w:val="20"/>
        </w:rPr>
      </w:pPr>
      <w:r w:rsidRPr="00B15634">
        <w:rPr>
          <w:rFonts w:ascii="Arial" w:hAnsi="Arial" w:cs="Arial"/>
          <w:sz w:val="20"/>
          <w:szCs w:val="20"/>
        </w:rPr>
        <w:t xml:space="preserve">                            → [35 – 40] : classe 2</w:t>
      </w:r>
    </w:p>
    <w:p w14:paraId="4913C212" w14:textId="77777777" w:rsidR="00ED4694" w:rsidRPr="00B15634" w:rsidRDefault="00ED4694" w:rsidP="00ED4694">
      <w:pPr>
        <w:ind w:left="360"/>
        <w:jc w:val="both"/>
        <w:rPr>
          <w:rFonts w:ascii="Arial" w:hAnsi="Arial" w:cs="Arial"/>
          <w:sz w:val="20"/>
          <w:szCs w:val="20"/>
        </w:rPr>
      </w:pPr>
      <w:r w:rsidRPr="00B15634">
        <w:rPr>
          <w:rFonts w:ascii="Arial" w:hAnsi="Arial" w:cs="Arial"/>
          <w:sz w:val="20"/>
          <w:szCs w:val="20"/>
        </w:rPr>
        <w:t xml:space="preserve">                            → ≥40 : classe 3</w:t>
      </w:r>
    </w:p>
    <w:p w14:paraId="1609131E"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sym w:font="Wingdings" w:char="F0E0"/>
      </w:r>
      <w:r w:rsidRPr="00B15634">
        <w:rPr>
          <w:rFonts w:ascii="Arial" w:hAnsi="Arial" w:cs="Arial"/>
          <w:sz w:val="20"/>
          <w:szCs w:val="20"/>
        </w:rPr>
        <w:t xml:space="preserve">Chez l’enfant : Courbes de corpulence </w:t>
      </w:r>
    </w:p>
    <w:p w14:paraId="752F32EC"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L’IMC est à la hausse depuis les années 70. </w:t>
      </w:r>
    </w:p>
    <w:p w14:paraId="2EC17D73" w14:textId="77777777" w:rsidR="00ED4694" w:rsidRPr="00B15634" w:rsidRDefault="00ED4694" w:rsidP="00ED4694">
      <w:pPr>
        <w:jc w:val="both"/>
        <w:rPr>
          <w:rFonts w:ascii="Arial" w:hAnsi="Arial" w:cs="Arial"/>
          <w:sz w:val="20"/>
          <w:szCs w:val="20"/>
        </w:rPr>
      </w:pPr>
    </w:p>
    <w:p w14:paraId="4FF6660A" w14:textId="77777777" w:rsidR="00ED4694" w:rsidRPr="00B15634" w:rsidRDefault="00ED4694" w:rsidP="00ED4694">
      <w:pPr>
        <w:jc w:val="both"/>
        <w:rPr>
          <w:rFonts w:ascii="Arial" w:hAnsi="Arial" w:cs="Arial"/>
          <w:sz w:val="20"/>
          <w:szCs w:val="20"/>
        </w:rPr>
      </w:pPr>
      <w:r w:rsidRPr="00B15634">
        <w:rPr>
          <w:rFonts w:ascii="Arial" w:hAnsi="Arial" w:cs="Arial"/>
          <w:b/>
          <w:bCs/>
          <w:sz w:val="20"/>
          <w:szCs w:val="20"/>
        </w:rPr>
        <w:t>Obésité abdominale ou centrale</w:t>
      </w:r>
      <w:r w:rsidRPr="00B15634">
        <w:rPr>
          <w:rFonts w:ascii="Arial" w:hAnsi="Arial" w:cs="Arial"/>
          <w:sz w:val="20"/>
          <w:szCs w:val="20"/>
        </w:rPr>
        <w:t xml:space="preserve"> : excès masse grasse abdominale : Tour de taille : </w:t>
      </w:r>
    </w:p>
    <w:p w14:paraId="3AB56F7D"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sym w:font="Wingdings" w:char="F0E0"/>
      </w:r>
      <w:r w:rsidRPr="00B15634">
        <w:rPr>
          <w:rFonts w:ascii="Arial" w:hAnsi="Arial" w:cs="Arial"/>
          <w:sz w:val="20"/>
          <w:szCs w:val="20"/>
        </w:rPr>
        <w:t xml:space="preserve">Chez l’adulte : &gt; 94 cm pour les hommes et &gt; 80 cm pour les femmes        </w:t>
      </w:r>
    </w:p>
    <w:p w14:paraId="5D82F0CA"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sym w:font="Wingdings" w:char="F0E0"/>
      </w:r>
      <w:r w:rsidRPr="00B15634">
        <w:rPr>
          <w:rFonts w:ascii="Arial" w:hAnsi="Arial" w:cs="Arial"/>
          <w:sz w:val="20"/>
          <w:szCs w:val="20"/>
        </w:rPr>
        <w:t xml:space="preserve">Chez l’enfant : rapport du tour de taille sur la taille &gt; 0,5           </w:t>
      </w:r>
    </w:p>
    <w:p w14:paraId="035C622F" w14:textId="77777777" w:rsidR="00ED4694" w:rsidRPr="00B15634" w:rsidRDefault="00ED4694" w:rsidP="00ED4694">
      <w:pPr>
        <w:jc w:val="both"/>
        <w:rPr>
          <w:rFonts w:ascii="Arial" w:hAnsi="Arial" w:cs="Arial"/>
          <w:sz w:val="20"/>
          <w:szCs w:val="20"/>
        </w:rPr>
      </w:pPr>
    </w:p>
    <w:p w14:paraId="0A2F4EAA" w14:textId="77777777" w:rsidR="00ED4694" w:rsidRPr="00B15634" w:rsidRDefault="00ED4694" w:rsidP="00ED4694">
      <w:pPr>
        <w:jc w:val="both"/>
        <w:rPr>
          <w:rFonts w:ascii="Arial" w:hAnsi="Arial" w:cs="Arial"/>
          <w:sz w:val="20"/>
          <w:szCs w:val="20"/>
        </w:rPr>
      </w:pPr>
      <w:r w:rsidRPr="00B15634">
        <w:rPr>
          <w:rFonts w:ascii="Arial" w:hAnsi="Arial" w:cs="Arial"/>
          <w:color w:val="FF0000"/>
          <w:sz w:val="20"/>
          <w:szCs w:val="20"/>
        </w:rPr>
        <w:t>Diabète </w:t>
      </w:r>
      <w:r w:rsidRPr="00B15634">
        <w:rPr>
          <w:rFonts w:ascii="Arial" w:hAnsi="Arial" w:cs="Arial"/>
          <w:sz w:val="20"/>
          <w:szCs w:val="20"/>
        </w:rPr>
        <w:t xml:space="preserve">: Affectation métabolique caractérisée par une hyperglycémie chronique liée à une déficience en insuline (action et/ou sécrétion)   </w:t>
      </w:r>
    </w:p>
    <w:p w14:paraId="53E97BF7" w14:textId="77777777" w:rsidR="00ED4694" w:rsidRPr="00B15634" w:rsidRDefault="00ED4694" w:rsidP="00ED4694">
      <w:pPr>
        <w:jc w:val="both"/>
        <w:rPr>
          <w:rFonts w:ascii="Arial" w:hAnsi="Arial" w:cs="Arial"/>
          <w:sz w:val="20"/>
          <w:szCs w:val="20"/>
        </w:rPr>
      </w:pPr>
    </w:p>
    <w:p w14:paraId="3F459304" w14:textId="77777777" w:rsidR="00ED4694" w:rsidRPr="00B15634" w:rsidRDefault="00ED4694" w:rsidP="00ED4694">
      <w:pPr>
        <w:jc w:val="both"/>
        <w:rPr>
          <w:rFonts w:ascii="Arial" w:hAnsi="Arial" w:cs="Arial"/>
          <w:b/>
          <w:bCs/>
          <w:sz w:val="20"/>
          <w:szCs w:val="20"/>
          <w:u w:val="single"/>
        </w:rPr>
      </w:pPr>
      <w:r w:rsidRPr="00B15634">
        <w:rPr>
          <w:rFonts w:ascii="Arial" w:hAnsi="Arial" w:cs="Arial"/>
          <w:b/>
          <w:bCs/>
          <w:sz w:val="20"/>
          <w:szCs w:val="20"/>
          <w:u w:val="single"/>
        </w:rPr>
        <w:t xml:space="preserve">Epidémiologie descriptive </w:t>
      </w:r>
    </w:p>
    <w:p w14:paraId="6B25C396" w14:textId="77777777" w:rsidR="00ED4694" w:rsidRPr="00B15634" w:rsidRDefault="00ED4694" w:rsidP="00ED4694">
      <w:pPr>
        <w:jc w:val="both"/>
        <w:rPr>
          <w:rFonts w:ascii="Arial" w:hAnsi="Arial" w:cs="Arial"/>
          <w:sz w:val="20"/>
          <w:szCs w:val="20"/>
        </w:rPr>
      </w:pPr>
    </w:p>
    <w:p w14:paraId="22CD481B"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40% de la pop adulte mondiale est en surcharge pondérale et 16% en obésité. </w:t>
      </w:r>
    </w:p>
    <w:p w14:paraId="3853FBF7"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20% de la pop infantile mondiale est en surcharge pondérale et 8% en obésité. </w:t>
      </w:r>
    </w:p>
    <w:p w14:paraId="08F60980"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La surcharge pondérale a augmenté plus rapidement chez les enfants que chez les adultes. C’est un problème de santé ayant atteint des proportions « épidémiques », &gt; 4 millions de décès annuels, selon l’OMS. </w:t>
      </w:r>
    </w:p>
    <w:p w14:paraId="61D73403"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60% de la population obèse mondiale vit dans des pays en voie de développement.</w:t>
      </w:r>
    </w:p>
    <w:p w14:paraId="17F33FFE" w14:textId="77777777" w:rsidR="00ED4694" w:rsidRPr="00B15634" w:rsidRDefault="00ED4694" w:rsidP="00ED4694">
      <w:pPr>
        <w:jc w:val="both"/>
        <w:rPr>
          <w:rFonts w:ascii="Arial" w:hAnsi="Arial" w:cs="Arial"/>
          <w:sz w:val="20"/>
          <w:szCs w:val="20"/>
        </w:rPr>
      </w:pPr>
    </w:p>
    <w:p w14:paraId="69EAB223"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sym w:font="Wingdings" w:char="F0E0"/>
      </w:r>
      <w:r w:rsidRPr="00B15634">
        <w:rPr>
          <w:rFonts w:ascii="Arial" w:hAnsi="Arial" w:cs="Arial"/>
          <w:sz w:val="20"/>
          <w:szCs w:val="20"/>
        </w:rPr>
        <w:t>La surcharge pondérale chez l’adulte :</w:t>
      </w:r>
    </w:p>
    <w:p w14:paraId="6BC0D1C3"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Pb de santé ayant atteint des proportions « </w:t>
      </w:r>
      <w:r w:rsidRPr="00B15634">
        <w:rPr>
          <w:rFonts w:ascii="Arial" w:hAnsi="Arial" w:cs="Arial"/>
          <w:b/>
          <w:bCs/>
          <w:sz w:val="20"/>
          <w:szCs w:val="20"/>
        </w:rPr>
        <w:t>épidémiques</w:t>
      </w:r>
      <w:r w:rsidRPr="00B15634">
        <w:rPr>
          <w:rFonts w:ascii="Arial" w:hAnsi="Arial" w:cs="Arial"/>
          <w:sz w:val="20"/>
          <w:szCs w:val="20"/>
        </w:rPr>
        <w:t> »</w:t>
      </w:r>
    </w:p>
    <w:p w14:paraId="5F3C1901"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Hausse de la prévalence dans les </w:t>
      </w:r>
      <w:r w:rsidRPr="00B15634">
        <w:rPr>
          <w:rFonts w:ascii="Arial" w:hAnsi="Arial" w:cs="Arial"/>
          <w:b/>
          <w:bCs/>
          <w:sz w:val="20"/>
          <w:szCs w:val="20"/>
        </w:rPr>
        <w:t>pays à faibles revenus</w:t>
      </w:r>
      <w:r w:rsidRPr="00B15634">
        <w:rPr>
          <w:rFonts w:ascii="Arial" w:hAnsi="Arial" w:cs="Arial"/>
          <w:sz w:val="20"/>
          <w:szCs w:val="20"/>
        </w:rPr>
        <w:t xml:space="preserve"> et surtout en milieu urbain</w:t>
      </w:r>
    </w:p>
    <w:p w14:paraId="1F981C3F"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US : 5% de la pop mondiale mais 13% de la pop obèse</w:t>
      </w:r>
    </w:p>
    <w:p w14:paraId="29807168"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b/>
          <w:bCs/>
          <w:color w:val="000000" w:themeColor="text1"/>
          <w:sz w:val="20"/>
          <w:szCs w:val="20"/>
        </w:rPr>
        <w:t>Double fardeau de la malnutrition</w:t>
      </w:r>
      <w:r w:rsidRPr="00B15634">
        <w:rPr>
          <w:rFonts w:ascii="Arial" w:hAnsi="Arial" w:cs="Arial"/>
          <w:color w:val="000000" w:themeColor="text1"/>
          <w:sz w:val="20"/>
          <w:szCs w:val="20"/>
        </w:rPr>
        <w:t> </w:t>
      </w:r>
      <w:r w:rsidRPr="00B15634">
        <w:rPr>
          <w:rFonts w:ascii="Arial" w:hAnsi="Arial" w:cs="Arial"/>
          <w:sz w:val="20"/>
          <w:szCs w:val="20"/>
        </w:rPr>
        <w:t xml:space="preserve">: surpoids et maigreur </w:t>
      </w:r>
    </w:p>
    <w:p w14:paraId="3F8B786D"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sym w:font="Wingdings" w:char="F0E0"/>
      </w:r>
      <w:r w:rsidRPr="00B15634">
        <w:rPr>
          <w:rFonts w:ascii="Arial" w:hAnsi="Arial" w:cs="Arial"/>
          <w:sz w:val="20"/>
          <w:szCs w:val="20"/>
        </w:rPr>
        <w:t xml:space="preserve"> La surcharge pondérale chez l’enfant : </w:t>
      </w:r>
    </w:p>
    <w:p w14:paraId="6497B8AD"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Augmentation plus rapide que chez l’adulte </w:t>
      </w:r>
    </w:p>
    <w:p w14:paraId="2B949ED7" w14:textId="77777777" w:rsidR="00ED4694" w:rsidRPr="00B15634" w:rsidRDefault="00ED4694" w:rsidP="00ED4694">
      <w:pPr>
        <w:jc w:val="both"/>
        <w:rPr>
          <w:rFonts w:ascii="Arial" w:hAnsi="Arial" w:cs="Arial"/>
          <w:sz w:val="20"/>
          <w:szCs w:val="20"/>
        </w:rPr>
      </w:pPr>
    </w:p>
    <w:p w14:paraId="7F9E5759" w14:textId="77777777" w:rsidR="00ED4694" w:rsidRPr="00B15634" w:rsidRDefault="00ED4694" w:rsidP="00ED4694">
      <w:pPr>
        <w:jc w:val="both"/>
        <w:rPr>
          <w:rFonts w:ascii="Arial" w:hAnsi="Arial" w:cs="Arial"/>
          <w:sz w:val="20"/>
          <w:szCs w:val="20"/>
        </w:rPr>
      </w:pPr>
      <w:r w:rsidRPr="00B15634">
        <w:rPr>
          <w:rFonts w:ascii="Arial" w:hAnsi="Arial" w:cs="Arial"/>
          <w:b/>
          <w:bCs/>
          <w:sz w:val="20"/>
          <w:szCs w:val="20"/>
        </w:rPr>
        <w:t>En France</w:t>
      </w:r>
      <w:r w:rsidRPr="00B15634">
        <w:rPr>
          <w:rFonts w:ascii="Arial" w:hAnsi="Arial" w:cs="Arial"/>
          <w:sz w:val="20"/>
          <w:szCs w:val="20"/>
        </w:rPr>
        <w:t> :</w:t>
      </w:r>
    </w:p>
    <w:p w14:paraId="7889E8D7" w14:textId="77777777" w:rsidR="00ED4694" w:rsidRPr="00B15634" w:rsidRDefault="00ED4694" w:rsidP="00ED4694">
      <w:pPr>
        <w:jc w:val="both"/>
        <w:rPr>
          <w:rFonts w:ascii="Arial" w:hAnsi="Arial" w:cs="Arial"/>
          <w:sz w:val="20"/>
          <w:szCs w:val="20"/>
        </w:rPr>
      </w:pPr>
    </w:p>
    <w:p w14:paraId="5DB67584"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Pour la surcharge pondérale/obésité</w:t>
      </w:r>
    </w:p>
    <w:p w14:paraId="3BC73B12"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b/>
          <w:bCs/>
          <w:sz w:val="20"/>
          <w:szCs w:val="20"/>
        </w:rPr>
        <w:t>Augmentation</w:t>
      </w:r>
      <w:r w:rsidRPr="00B15634">
        <w:rPr>
          <w:rFonts w:ascii="Arial" w:hAnsi="Arial" w:cs="Arial"/>
          <w:sz w:val="20"/>
          <w:szCs w:val="20"/>
        </w:rPr>
        <w:t xml:space="preserve"> de l’obésité </w:t>
      </w:r>
    </w:p>
    <w:p w14:paraId="6531ED84"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Gradient selon revenu : la prévalence de l’obésité augmente quand les revenus baissent </w:t>
      </w:r>
      <w:r w:rsidRPr="00B15634">
        <w:rPr>
          <w:rFonts w:ascii="Arial" w:hAnsi="Arial" w:cs="Arial"/>
          <w:sz w:val="20"/>
          <w:szCs w:val="20"/>
        </w:rPr>
        <w:sym w:font="Wingdings" w:char="F0E0"/>
      </w:r>
      <w:r w:rsidRPr="00B15634">
        <w:rPr>
          <w:rFonts w:ascii="Arial" w:hAnsi="Arial" w:cs="Arial"/>
          <w:sz w:val="20"/>
          <w:szCs w:val="20"/>
        </w:rPr>
        <w:t xml:space="preserve"> </w:t>
      </w:r>
      <w:r w:rsidRPr="00B15634">
        <w:rPr>
          <w:rFonts w:ascii="Arial" w:hAnsi="Arial" w:cs="Arial"/>
          <w:color w:val="FF0000"/>
          <w:sz w:val="20"/>
          <w:szCs w:val="20"/>
        </w:rPr>
        <w:t xml:space="preserve">Inégalités sociales de santé </w:t>
      </w:r>
    </w:p>
    <w:p w14:paraId="4771C1D6"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La part de personnes en surcharge pondérale est </w:t>
      </w:r>
      <w:r w:rsidRPr="00B15634">
        <w:rPr>
          <w:rFonts w:ascii="Arial" w:hAnsi="Arial" w:cs="Arial"/>
          <w:b/>
          <w:bCs/>
          <w:sz w:val="20"/>
          <w:szCs w:val="20"/>
        </w:rPr>
        <w:t>plus importante</w:t>
      </w:r>
      <w:r w:rsidRPr="00B15634">
        <w:rPr>
          <w:rFonts w:ascii="Arial" w:hAnsi="Arial" w:cs="Arial"/>
          <w:sz w:val="20"/>
          <w:szCs w:val="20"/>
        </w:rPr>
        <w:t xml:space="preserve"> chez les hommes que chez les femmes</w:t>
      </w:r>
    </w:p>
    <w:p w14:paraId="72260342"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La part des personnes obèses est </w:t>
      </w:r>
      <w:r w:rsidRPr="00B15634">
        <w:rPr>
          <w:rFonts w:ascii="Arial" w:hAnsi="Arial" w:cs="Arial"/>
          <w:b/>
          <w:bCs/>
          <w:sz w:val="20"/>
          <w:szCs w:val="20"/>
        </w:rPr>
        <w:t>égale</w:t>
      </w:r>
      <w:r w:rsidRPr="00B15634">
        <w:rPr>
          <w:rFonts w:ascii="Arial" w:hAnsi="Arial" w:cs="Arial"/>
          <w:sz w:val="20"/>
          <w:szCs w:val="20"/>
        </w:rPr>
        <w:t xml:space="preserve"> entre les hommes et les femmes (16%)</w:t>
      </w:r>
    </w:p>
    <w:p w14:paraId="3757F6FC"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Enquête épidémiologique nationale sur le surpoids et l’obésité tous les 3 ans.</w:t>
      </w:r>
    </w:p>
    <w:p w14:paraId="44AAECB3"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Prévalence SP : F : 40,9% - H : 56,8%</w:t>
      </w:r>
    </w:p>
    <w:p w14:paraId="6C476FFB"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Prévalence obésité : F : 15,6% - H : 15,8%</w:t>
      </w:r>
    </w:p>
    <w:p w14:paraId="0B9FF20A"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Prévalence obésité abdominale : F 48,5% - H : 41,6%</w:t>
      </w:r>
    </w:p>
    <w:p w14:paraId="121514DF" w14:textId="4CB6F331"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Prévalence de l’obésité diminue quand les revenus augmentent (en particulie</w:t>
      </w:r>
      <w:r w:rsidR="00520F18">
        <w:rPr>
          <w:rFonts w:ascii="Arial" w:hAnsi="Arial" w:cs="Arial"/>
          <w:sz w:val="20"/>
          <w:szCs w:val="20"/>
        </w:rPr>
        <w:t>+%%%%%%%%%%</w:t>
      </w:r>
      <w:r w:rsidRPr="00B15634">
        <w:rPr>
          <w:rFonts w:ascii="Arial" w:hAnsi="Arial" w:cs="Arial"/>
          <w:sz w:val="20"/>
          <w:szCs w:val="20"/>
        </w:rPr>
        <w:t xml:space="preserve">r chez les F) </w:t>
      </w:r>
    </w:p>
    <w:p w14:paraId="4DCE5B12" w14:textId="77777777" w:rsidR="00ED4694" w:rsidRPr="00B15634" w:rsidRDefault="00ED4694" w:rsidP="00ED4694">
      <w:pPr>
        <w:jc w:val="both"/>
        <w:rPr>
          <w:rFonts w:ascii="Arial" w:hAnsi="Arial" w:cs="Arial"/>
          <w:sz w:val="20"/>
          <w:szCs w:val="20"/>
        </w:rPr>
      </w:pPr>
    </w:p>
    <w:p w14:paraId="008893E4"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Pour le diabète </w:t>
      </w:r>
    </w:p>
    <w:p w14:paraId="129E36D9"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w:t>
      </w:r>
      <w:r w:rsidRPr="00B15634">
        <w:rPr>
          <w:rFonts w:ascii="Arial" w:hAnsi="Arial" w:cs="Arial"/>
          <w:b/>
          <w:bCs/>
          <w:sz w:val="20"/>
          <w:szCs w:val="20"/>
        </w:rPr>
        <w:t>Épidémie</w:t>
      </w:r>
      <w:r w:rsidRPr="00B15634">
        <w:rPr>
          <w:rFonts w:ascii="Arial" w:hAnsi="Arial" w:cs="Arial"/>
          <w:sz w:val="20"/>
          <w:szCs w:val="20"/>
        </w:rPr>
        <w:t> » avec une prévalence à la hausse +++</w:t>
      </w:r>
    </w:p>
    <w:p w14:paraId="5AAACBF8"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Le diabète de type II représente 90 à 95% des diabétiques</w:t>
      </w:r>
    </w:p>
    <w:p w14:paraId="655FC3B8"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Le taux de diabète est </w:t>
      </w:r>
      <w:r w:rsidRPr="00B15634">
        <w:rPr>
          <w:rFonts w:ascii="Arial" w:hAnsi="Arial" w:cs="Arial"/>
          <w:b/>
          <w:bCs/>
          <w:sz w:val="20"/>
          <w:szCs w:val="20"/>
        </w:rPr>
        <w:t>inégalement réparti</w:t>
      </w:r>
      <w:r w:rsidRPr="00B15634">
        <w:rPr>
          <w:rFonts w:ascii="Arial" w:hAnsi="Arial" w:cs="Arial"/>
          <w:sz w:val="20"/>
          <w:szCs w:val="20"/>
        </w:rPr>
        <w:t xml:space="preserve"> selon les régions (le gradient allant vers le Nord/Est), et les DOM sont très touchés</w:t>
      </w:r>
    </w:p>
    <w:p w14:paraId="25E44B1A"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Le diabète </w:t>
      </w:r>
      <w:r w:rsidRPr="00B15634">
        <w:rPr>
          <w:rFonts w:ascii="Arial" w:hAnsi="Arial" w:cs="Arial"/>
          <w:b/>
          <w:bCs/>
          <w:sz w:val="20"/>
          <w:szCs w:val="20"/>
        </w:rPr>
        <w:t>entraîne beaucoup d’invalidités</w:t>
      </w:r>
      <w:r w:rsidRPr="00B15634">
        <w:rPr>
          <w:rFonts w:ascii="Arial" w:hAnsi="Arial" w:cs="Arial"/>
          <w:sz w:val="20"/>
          <w:szCs w:val="20"/>
        </w:rPr>
        <w:t xml:space="preserve"> (cécité, insuffisance rénale, maladies cardiovasculaires, …)</w:t>
      </w:r>
    </w:p>
    <w:p w14:paraId="4221F571"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En 2030, il est prévu que le diabète soit la 7</w:t>
      </w:r>
      <w:r w:rsidRPr="00B15634">
        <w:rPr>
          <w:rFonts w:ascii="Arial" w:hAnsi="Arial" w:cs="Arial"/>
          <w:sz w:val="20"/>
          <w:szCs w:val="20"/>
          <w:vertAlign w:val="superscript"/>
        </w:rPr>
        <w:t>ème</w:t>
      </w:r>
      <w:r w:rsidRPr="00B15634">
        <w:rPr>
          <w:rFonts w:ascii="Arial" w:hAnsi="Arial" w:cs="Arial"/>
          <w:sz w:val="20"/>
          <w:szCs w:val="20"/>
        </w:rPr>
        <w:t xml:space="preserve"> cause de décès dans le monde (OMS), mortalité x2 entre 2005 et 2030. </w:t>
      </w:r>
    </w:p>
    <w:p w14:paraId="2BD1D774"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Diabète responsable à l’échelle mondiale de 5% des années de vie vécues avec une incapacité</w:t>
      </w:r>
    </w:p>
    <w:p w14:paraId="2C434A18"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Le taux de décès est </w:t>
      </w:r>
      <w:r w:rsidRPr="00B15634">
        <w:rPr>
          <w:rFonts w:ascii="Arial" w:hAnsi="Arial" w:cs="Arial"/>
          <w:b/>
          <w:bCs/>
          <w:sz w:val="20"/>
          <w:szCs w:val="20"/>
        </w:rPr>
        <w:t>1,5 fois plus important</w:t>
      </w:r>
      <w:r w:rsidRPr="00B15634">
        <w:rPr>
          <w:rFonts w:ascii="Arial" w:hAnsi="Arial" w:cs="Arial"/>
          <w:sz w:val="20"/>
          <w:szCs w:val="20"/>
        </w:rPr>
        <w:t xml:space="preserve"> chez les diabétiques </w:t>
      </w:r>
    </w:p>
    <w:p w14:paraId="2C7E431A"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La prévalence du </w:t>
      </w:r>
      <w:r w:rsidRPr="00B15634">
        <w:rPr>
          <w:rFonts w:ascii="Arial" w:hAnsi="Arial" w:cs="Arial"/>
          <w:b/>
          <w:bCs/>
          <w:sz w:val="20"/>
          <w:szCs w:val="20"/>
        </w:rPr>
        <w:t>diabète traité</w:t>
      </w:r>
      <w:r w:rsidRPr="00B15634">
        <w:rPr>
          <w:rFonts w:ascii="Arial" w:hAnsi="Arial" w:cs="Arial"/>
          <w:sz w:val="20"/>
          <w:szCs w:val="20"/>
        </w:rPr>
        <w:t xml:space="preserve"> augmente : il est de 5% en France</w:t>
      </w:r>
    </w:p>
    <w:p w14:paraId="02E101C2"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Le pic de prévalence est pour les hommes entre 75 et 79 ans et pour les femmes entre 80 et 84 ans</w:t>
      </w:r>
    </w:p>
    <w:p w14:paraId="0D0D23A1"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1,6 millions de décès directement au diabète en 2016,  &gt; 80% pays à faible revenu.</w:t>
      </w:r>
    </w:p>
    <w:p w14:paraId="4C1C9B27"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lastRenderedPageBreak/>
        <w:t>Mortalité (pour toutes causes confondues et à âge égal) environ 1,5x plus élevée chez les diabétiques que chez les non diabétiques.</w:t>
      </w:r>
    </w:p>
    <w:p w14:paraId="0078F277"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Les H diabétiques ont 2 fois plus de complications associées que les F.</w:t>
      </w:r>
    </w:p>
    <w:p w14:paraId="3AFA787A" w14:textId="77777777" w:rsidR="00ED4694" w:rsidRPr="00B15634" w:rsidRDefault="00ED4694" w:rsidP="00ED4694">
      <w:pPr>
        <w:jc w:val="both"/>
        <w:rPr>
          <w:rFonts w:ascii="Arial" w:hAnsi="Arial" w:cs="Arial"/>
          <w:sz w:val="20"/>
          <w:szCs w:val="20"/>
        </w:rPr>
      </w:pPr>
    </w:p>
    <w:p w14:paraId="35ECB178" w14:textId="77777777" w:rsidR="00ED4694" w:rsidRPr="00B15634" w:rsidRDefault="00ED4694" w:rsidP="00ED4694">
      <w:pPr>
        <w:jc w:val="both"/>
        <w:rPr>
          <w:rFonts w:ascii="Arial" w:hAnsi="Arial" w:cs="Arial"/>
          <w:b/>
          <w:bCs/>
          <w:sz w:val="20"/>
          <w:szCs w:val="20"/>
          <w:u w:val="single"/>
        </w:rPr>
      </w:pPr>
      <w:r w:rsidRPr="00B15634">
        <w:rPr>
          <w:rFonts w:ascii="Arial" w:hAnsi="Arial" w:cs="Arial"/>
          <w:b/>
          <w:bCs/>
          <w:sz w:val="20"/>
          <w:szCs w:val="20"/>
          <w:u w:val="single"/>
        </w:rPr>
        <w:t>Comorbidités</w:t>
      </w:r>
    </w:p>
    <w:p w14:paraId="54612308" w14:textId="77777777" w:rsidR="00ED4694" w:rsidRPr="00B15634" w:rsidRDefault="00ED4694" w:rsidP="00ED4694">
      <w:pPr>
        <w:jc w:val="both"/>
        <w:rPr>
          <w:rFonts w:ascii="Arial" w:hAnsi="Arial" w:cs="Arial"/>
          <w:sz w:val="20"/>
          <w:szCs w:val="20"/>
        </w:rPr>
      </w:pPr>
    </w:p>
    <w:p w14:paraId="2D89CCF7"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La </w:t>
      </w:r>
      <w:r w:rsidRPr="00B15634">
        <w:rPr>
          <w:rFonts w:ascii="Arial" w:hAnsi="Arial" w:cs="Arial"/>
          <w:b/>
          <w:bCs/>
          <w:sz w:val="20"/>
          <w:szCs w:val="20"/>
        </w:rPr>
        <w:t>surcharge pondérale</w:t>
      </w:r>
      <w:r w:rsidRPr="00B15634">
        <w:rPr>
          <w:rFonts w:ascii="Arial" w:hAnsi="Arial" w:cs="Arial"/>
          <w:sz w:val="20"/>
          <w:szCs w:val="20"/>
        </w:rPr>
        <w:t xml:space="preserve"> est un facteur de risques pour le </w:t>
      </w:r>
      <w:r w:rsidRPr="00B15634">
        <w:rPr>
          <w:rFonts w:ascii="Arial" w:hAnsi="Arial" w:cs="Arial"/>
          <w:b/>
          <w:bCs/>
          <w:sz w:val="20"/>
          <w:szCs w:val="20"/>
        </w:rPr>
        <w:t>diabète II,</w:t>
      </w:r>
      <w:r w:rsidRPr="00B15634">
        <w:rPr>
          <w:rFonts w:ascii="Arial" w:hAnsi="Arial" w:cs="Arial"/>
          <w:sz w:val="20"/>
          <w:szCs w:val="20"/>
        </w:rPr>
        <w:t xml:space="preserve"> certains cancers, maladies cardiovasculaires,…</w:t>
      </w:r>
    </w:p>
    <w:p w14:paraId="1A88D827"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14% de diabétiques chez les obèses</w:t>
      </w:r>
    </w:p>
    <w:p w14:paraId="0ED92165"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L’obésité et le diabète sont parmi les </w:t>
      </w:r>
      <w:r w:rsidRPr="00B15634">
        <w:rPr>
          <w:rFonts w:ascii="Arial" w:hAnsi="Arial" w:cs="Arial"/>
          <w:b/>
          <w:bCs/>
          <w:sz w:val="20"/>
          <w:szCs w:val="20"/>
        </w:rPr>
        <w:t>comorbidités les plus fréquentes</w:t>
      </w:r>
      <w:r w:rsidRPr="00B15634">
        <w:rPr>
          <w:rFonts w:ascii="Arial" w:hAnsi="Arial" w:cs="Arial"/>
          <w:sz w:val="20"/>
          <w:szCs w:val="20"/>
        </w:rPr>
        <w:t xml:space="preserve"> pour les formes graves de COVID-19 (qui lui-même entraîne des activités sédentaires et donc a un impact sur le taux de personnes en surcharge pondérale). </w:t>
      </w:r>
    </w:p>
    <w:p w14:paraId="3AE2CF46" w14:textId="77777777" w:rsidR="00ED4694" w:rsidRPr="00B15634" w:rsidRDefault="00ED4694" w:rsidP="00ED4694">
      <w:pPr>
        <w:jc w:val="both"/>
        <w:rPr>
          <w:rFonts w:ascii="Arial" w:hAnsi="Arial" w:cs="Arial"/>
          <w:sz w:val="20"/>
          <w:szCs w:val="20"/>
        </w:rPr>
      </w:pPr>
    </w:p>
    <w:p w14:paraId="2A367105" w14:textId="77777777" w:rsidR="00ED4694" w:rsidRPr="00B15634" w:rsidRDefault="00ED4694" w:rsidP="00ED4694">
      <w:pPr>
        <w:jc w:val="both"/>
        <w:rPr>
          <w:rFonts w:ascii="Arial" w:hAnsi="Arial" w:cs="Arial"/>
          <w:b/>
          <w:bCs/>
          <w:sz w:val="20"/>
          <w:szCs w:val="20"/>
          <w:u w:val="single"/>
        </w:rPr>
      </w:pPr>
      <w:r w:rsidRPr="00B15634">
        <w:rPr>
          <w:rFonts w:ascii="Arial" w:hAnsi="Arial" w:cs="Arial"/>
          <w:b/>
          <w:bCs/>
          <w:sz w:val="20"/>
          <w:szCs w:val="20"/>
          <w:u w:val="single"/>
        </w:rPr>
        <w:t>Facteurs de risque de la surcharge pondérale et du DT2</w:t>
      </w:r>
    </w:p>
    <w:p w14:paraId="059A9653" w14:textId="77777777" w:rsidR="00ED4694" w:rsidRPr="00B15634" w:rsidRDefault="00ED4694" w:rsidP="00ED4694">
      <w:pPr>
        <w:jc w:val="both"/>
        <w:rPr>
          <w:rFonts w:ascii="Arial" w:hAnsi="Arial" w:cs="Arial"/>
          <w:sz w:val="20"/>
          <w:szCs w:val="20"/>
        </w:rPr>
      </w:pPr>
    </w:p>
    <w:p w14:paraId="1685A8E6"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Facteurs </w:t>
      </w:r>
      <w:r w:rsidRPr="00B15634">
        <w:rPr>
          <w:rFonts w:ascii="Arial" w:hAnsi="Arial" w:cs="Arial"/>
          <w:b/>
          <w:bCs/>
          <w:sz w:val="20"/>
          <w:szCs w:val="20"/>
        </w:rPr>
        <w:t>intrinsèques</w:t>
      </w:r>
      <w:r w:rsidRPr="00B15634">
        <w:rPr>
          <w:rFonts w:ascii="Arial" w:hAnsi="Arial" w:cs="Arial"/>
          <w:sz w:val="20"/>
          <w:szCs w:val="20"/>
        </w:rPr>
        <w:t> : +</w:t>
      </w:r>
    </w:p>
    <w:p w14:paraId="20AD429E"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Sexe</w:t>
      </w:r>
    </w:p>
    <w:p w14:paraId="31E170AE"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Age</w:t>
      </w:r>
    </w:p>
    <w:p w14:paraId="30AC8F6A"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Prédisposition génétique</w:t>
      </w:r>
    </w:p>
    <w:p w14:paraId="6706A4EE"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Facteurs </w:t>
      </w:r>
      <w:r w:rsidRPr="00B15634">
        <w:rPr>
          <w:rFonts w:ascii="Arial" w:hAnsi="Arial" w:cs="Arial"/>
          <w:b/>
          <w:bCs/>
          <w:sz w:val="20"/>
          <w:szCs w:val="20"/>
        </w:rPr>
        <w:t>liés au mode de vie</w:t>
      </w:r>
      <w:r w:rsidRPr="00B15634">
        <w:rPr>
          <w:rFonts w:ascii="Arial" w:hAnsi="Arial" w:cs="Arial"/>
          <w:sz w:val="20"/>
          <w:szCs w:val="20"/>
        </w:rPr>
        <w:t> : ++</w:t>
      </w:r>
    </w:p>
    <w:p w14:paraId="04F22CFC"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Plus d’apports que de dépenses </w:t>
      </w:r>
    </w:p>
    <w:p w14:paraId="59B46FF3"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Changement brusque de mode de vie (arrêt tabac non accompagné) </w:t>
      </w:r>
    </w:p>
    <w:p w14:paraId="7A37A427"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Facteurs </w:t>
      </w:r>
      <w:r w:rsidRPr="00B15634">
        <w:rPr>
          <w:rFonts w:ascii="Arial" w:hAnsi="Arial" w:cs="Arial"/>
          <w:b/>
          <w:bCs/>
          <w:sz w:val="20"/>
          <w:szCs w:val="20"/>
        </w:rPr>
        <w:t>environnementaux</w:t>
      </w:r>
      <w:r w:rsidRPr="00B15634">
        <w:rPr>
          <w:rFonts w:ascii="Arial" w:hAnsi="Arial" w:cs="Arial"/>
          <w:sz w:val="20"/>
          <w:szCs w:val="20"/>
        </w:rPr>
        <w:t> : ++</w:t>
      </w:r>
    </w:p>
    <w:p w14:paraId="43A15511"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Stress</w:t>
      </w:r>
    </w:p>
    <w:p w14:paraId="1F495268"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Sommeil</w:t>
      </w:r>
    </w:p>
    <w:p w14:paraId="5AEB2277" w14:textId="77777777" w:rsidR="00ED4694" w:rsidRPr="00B15634" w:rsidRDefault="00ED4694" w:rsidP="00ED4694">
      <w:pPr>
        <w:jc w:val="both"/>
        <w:rPr>
          <w:rFonts w:ascii="Arial" w:hAnsi="Arial" w:cs="Arial"/>
          <w:sz w:val="20"/>
          <w:szCs w:val="20"/>
        </w:rPr>
      </w:pPr>
      <w:r w:rsidRPr="00B15634">
        <w:rPr>
          <w:rFonts w:ascii="Arial" w:hAnsi="Arial" w:cs="Arial"/>
          <w:b/>
          <w:bCs/>
          <w:sz w:val="20"/>
          <w:szCs w:val="20"/>
        </w:rPr>
        <w:t>Pathologies et médicaments</w:t>
      </w:r>
      <w:r w:rsidRPr="00B15634">
        <w:rPr>
          <w:rFonts w:ascii="Arial" w:hAnsi="Arial" w:cs="Arial"/>
          <w:sz w:val="20"/>
          <w:szCs w:val="20"/>
        </w:rPr>
        <w:t> :</w:t>
      </w:r>
    </w:p>
    <w:p w14:paraId="09962266"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Troubles de comportements alimentaires</w:t>
      </w:r>
    </w:p>
    <w:p w14:paraId="5FB25D7F"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Antidépresseurs</w:t>
      </w:r>
    </w:p>
    <w:p w14:paraId="58B9C50D" w14:textId="77777777" w:rsidR="00ED4694" w:rsidRPr="00B15634" w:rsidRDefault="00ED4694" w:rsidP="00ED4694">
      <w:pPr>
        <w:jc w:val="both"/>
        <w:rPr>
          <w:rFonts w:ascii="Arial" w:hAnsi="Arial" w:cs="Arial"/>
          <w:sz w:val="20"/>
          <w:szCs w:val="20"/>
        </w:rPr>
      </w:pPr>
      <w:r w:rsidRPr="00B15634">
        <w:rPr>
          <w:rFonts w:ascii="Arial" w:hAnsi="Arial" w:cs="Arial"/>
          <w:b/>
          <w:bCs/>
          <w:sz w:val="20"/>
          <w:szCs w:val="20"/>
        </w:rPr>
        <w:t>Période de vie critique</w:t>
      </w:r>
      <w:r w:rsidRPr="00B15634">
        <w:rPr>
          <w:rFonts w:ascii="Arial" w:hAnsi="Arial" w:cs="Arial"/>
          <w:sz w:val="20"/>
          <w:szCs w:val="20"/>
        </w:rPr>
        <w:t> :</w:t>
      </w:r>
    </w:p>
    <w:p w14:paraId="69C95D7C"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Période périnatal</w:t>
      </w:r>
    </w:p>
    <w:p w14:paraId="6D144F1C"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Grossesse</w:t>
      </w:r>
    </w:p>
    <w:p w14:paraId="3F2BE90C"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Ménopause</w:t>
      </w:r>
    </w:p>
    <w:p w14:paraId="12983F37" w14:textId="77777777" w:rsidR="00ED4694" w:rsidRPr="00B15634" w:rsidRDefault="00ED4694" w:rsidP="00ED4694">
      <w:pPr>
        <w:jc w:val="both"/>
        <w:rPr>
          <w:rFonts w:ascii="Arial" w:hAnsi="Arial" w:cs="Arial"/>
          <w:sz w:val="20"/>
          <w:szCs w:val="20"/>
        </w:rPr>
      </w:pPr>
    </w:p>
    <w:p w14:paraId="75BDC9E3" w14:textId="77777777" w:rsidR="00ED4694" w:rsidRPr="00B15634" w:rsidRDefault="00ED4694" w:rsidP="00ED4694">
      <w:pPr>
        <w:jc w:val="both"/>
        <w:rPr>
          <w:rFonts w:ascii="Arial" w:hAnsi="Arial" w:cs="Arial"/>
          <w:b/>
          <w:bCs/>
          <w:sz w:val="20"/>
          <w:szCs w:val="20"/>
          <w:u w:val="single"/>
        </w:rPr>
      </w:pPr>
      <w:r w:rsidRPr="00B15634">
        <w:rPr>
          <w:rFonts w:ascii="Arial" w:hAnsi="Arial" w:cs="Arial"/>
          <w:b/>
          <w:bCs/>
          <w:sz w:val="20"/>
          <w:szCs w:val="20"/>
          <w:u w:val="single"/>
        </w:rPr>
        <w:t>Prévention</w:t>
      </w:r>
    </w:p>
    <w:p w14:paraId="0CF7106A" w14:textId="77777777" w:rsidR="00ED4694" w:rsidRPr="00B15634" w:rsidRDefault="00ED4694" w:rsidP="00ED4694">
      <w:pPr>
        <w:jc w:val="both"/>
        <w:rPr>
          <w:rFonts w:ascii="Arial" w:hAnsi="Arial" w:cs="Arial"/>
          <w:sz w:val="20"/>
          <w:szCs w:val="20"/>
        </w:rPr>
      </w:pPr>
    </w:p>
    <w:p w14:paraId="7D3D6B3A"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Programme national nutrition santé (</w:t>
      </w:r>
      <w:r w:rsidRPr="00B15634">
        <w:rPr>
          <w:rFonts w:ascii="Arial" w:hAnsi="Arial" w:cs="Arial"/>
          <w:b/>
          <w:bCs/>
          <w:sz w:val="20"/>
          <w:szCs w:val="20"/>
        </w:rPr>
        <w:t>PNNS</w:t>
      </w:r>
      <w:r w:rsidRPr="00B15634">
        <w:rPr>
          <w:rFonts w:ascii="Arial" w:hAnsi="Arial" w:cs="Arial"/>
          <w:sz w:val="20"/>
          <w:szCs w:val="20"/>
        </w:rPr>
        <w:t>)</w:t>
      </w:r>
    </w:p>
    <w:p w14:paraId="38477D2B" w14:textId="77777777" w:rsidR="00ED4694" w:rsidRPr="00B15634" w:rsidRDefault="00ED4694" w:rsidP="00ED4694">
      <w:pPr>
        <w:jc w:val="both"/>
        <w:rPr>
          <w:rFonts w:ascii="Arial" w:hAnsi="Arial" w:cs="Arial"/>
          <w:color w:val="FF0000"/>
          <w:sz w:val="20"/>
          <w:szCs w:val="20"/>
        </w:rPr>
      </w:pPr>
      <w:r w:rsidRPr="00B15634">
        <w:rPr>
          <w:rFonts w:ascii="Arial" w:hAnsi="Arial" w:cs="Arial"/>
          <w:sz w:val="20"/>
          <w:szCs w:val="20"/>
        </w:rPr>
        <w:t xml:space="preserve">Plan obésité 2010 – 2013 : </w:t>
      </w:r>
      <w:r w:rsidRPr="00B15634">
        <w:rPr>
          <w:rFonts w:ascii="Arial" w:hAnsi="Arial" w:cs="Arial"/>
          <w:color w:val="FF0000"/>
          <w:sz w:val="20"/>
          <w:szCs w:val="20"/>
        </w:rPr>
        <w:t>« </w:t>
      </w:r>
      <w:r w:rsidRPr="00B15634">
        <w:rPr>
          <w:rFonts w:ascii="Arial" w:hAnsi="Arial" w:cs="Arial"/>
          <w:b/>
          <w:bCs/>
          <w:color w:val="FF0000"/>
          <w:sz w:val="20"/>
          <w:szCs w:val="20"/>
        </w:rPr>
        <w:t>Bien manger</w:t>
      </w:r>
      <w:r w:rsidRPr="00B15634">
        <w:rPr>
          <w:rFonts w:ascii="Arial" w:hAnsi="Arial" w:cs="Arial"/>
          <w:color w:val="FF0000"/>
          <w:sz w:val="20"/>
          <w:szCs w:val="20"/>
        </w:rPr>
        <w:t> » n’est pas seulement une question de responsabilité individuelle</w:t>
      </w:r>
    </w:p>
    <w:p w14:paraId="2999A015" w14:textId="77777777" w:rsidR="00ED4694" w:rsidRPr="00B15634" w:rsidRDefault="00ED4694" w:rsidP="00ED4694">
      <w:pPr>
        <w:jc w:val="both"/>
        <w:rPr>
          <w:rFonts w:ascii="Arial" w:hAnsi="Arial" w:cs="Arial"/>
          <w:sz w:val="20"/>
          <w:szCs w:val="20"/>
        </w:rPr>
      </w:pPr>
    </w:p>
    <w:p w14:paraId="059F07B8"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sym w:font="Wingdings" w:char="F0E0"/>
      </w:r>
      <w:r w:rsidRPr="00B15634">
        <w:rPr>
          <w:rFonts w:ascii="Arial" w:hAnsi="Arial" w:cs="Arial"/>
          <w:sz w:val="20"/>
          <w:szCs w:val="20"/>
        </w:rPr>
        <w:t>Pour le surpoids et l’obésité</w:t>
      </w:r>
    </w:p>
    <w:p w14:paraId="40F7D943"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Prévention </w:t>
      </w:r>
      <w:r w:rsidRPr="00B15634">
        <w:rPr>
          <w:rFonts w:ascii="Arial" w:hAnsi="Arial" w:cs="Arial"/>
          <w:b/>
          <w:bCs/>
          <w:sz w:val="20"/>
          <w:szCs w:val="20"/>
        </w:rPr>
        <w:t>primaire</w:t>
      </w:r>
      <w:r w:rsidRPr="00B15634">
        <w:rPr>
          <w:rFonts w:ascii="Arial" w:hAnsi="Arial" w:cs="Arial"/>
          <w:sz w:val="20"/>
          <w:szCs w:val="20"/>
        </w:rPr>
        <w:t xml:space="preserve"> : → information et éducation nutritionnelle </w:t>
      </w:r>
    </w:p>
    <w:p w14:paraId="7F56BAC0" w14:textId="77777777" w:rsidR="00ED4694" w:rsidRPr="00B15634" w:rsidRDefault="00ED4694" w:rsidP="00ED4694">
      <w:pPr>
        <w:pStyle w:val="Paragraphedeliste"/>
        <w:ind w:left="2660"/>
        <w:jc w:val="both"/>
        <w:rPr>
          <w:rFonts w:ascii="Arial" w:hAnsi="Arial" w:cs="Arial"/>
          <w:sz w:val="20"/>
          <w:szCs w:val="20"/>
        </w:rPr>
      </w:pPr>
      <w:r w:rsidRPr="00B15634">
        <w:rPr>
          <w:rFonts w:ascii="Arial" w:hAnsi="Arial" w:cs="Arial"/>
          <w:sz w:val="20"/>
          <w:szCs w:val="20"/>
        </w:rPr>
        <w:t>→ mesures règlementaires et fiscales (nutriscore, fin des boissons à volonté dans les                   fast-foods)</w:t>
      </w:r>
    </w:p>
    <w:p w14:paraId="3D4748AB"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Prévention </w:t>
      </w:r>
      <w:r w:rsidRPr="00B15634">
        <w:rPr>
          <w:rFonts w:ascii="Arial" w:hAnsi="Arial" w:cs="Arial"/>
          <w:b/>
          <w:bCs/>
          <w:sz w:val="20"/>
          <w:szCs w:val="20"/>
        </w:rPr>
        <w:t>secondaire</w:t>
      </w:r>
      <w:r w:rsidRPr="00B15634">
        <w:rPr>
          <w:rFonts w:ascii="Arial" w:hAnsi="Arial" w:cs="Arial"/>
          <w:sz w:val="20"/>
          <w:szCs w:val="20"/>
        </w:rPr>
        <w:t xml:space="preserve"> et </w:t>
      </w:r>
      <w:r w:rsidRPr="00B15634">
        <w:rPr>
          <w:rFonts w:ascii="Arial" w:hAnsi="Arial" w:cs="Arial"/>
          <w:b/>
          <w:bCs/>
          <w:sz w:val="20"/>
          <w:szCs w:val="20"/>
        </w:rPr>
        <w:t>tertiaire</w:t>
      </w:r>
      <w:r w:rsidRPr="00B15634">
        <w:rPr>
          <w:rFonts w:ascii="Arial" w:hAnsi="Arial" w:cs="Arial"/>
          <w:sz w:val="20"/>
          <w:szCs w:val="20"/>
        </w:rPr>
        <w:t xml:space="preserve"> : une fois que la personne est en surcharge </w:t>
      </w:r>
    </w:p>
    <w:p w14:paraId="72BB97C4" w14:textId="77777777" w:rsidR="00ED4694" w:rsidRPr="00B15634" w:rsidRDefault="00ED4694" w:rsidP="00ED4694">
      <w:pPr>
        <w:jc w:val="both"/>
        <w:rPr>
          <w:rFonts w:ascii="Arial" w:hAnsi="Arial" w:cs="Arial"/>
          <w:sz w:val="20"/>
          <w:szCs w:val="20"/>
        </w:rPr>
      </w:pPr>
    </w:p>
    <w:p w14:paraId="21BA3DA1"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sym w:font="Wingdings" w:char="F0E0"/>
      </w:r>
      <w:r w:rsidRPr="00B15634">
        <w:rPr>
          <w:rFonts w:ascii="Arial" w:hAnsi="Arial" w:cs="Arial"/>
          <w:sz w:val="20"/>
          <w:szCs w:val="20"/>
        </w:rPr>
        <w:t xml:space="preserve">Pour le diabète </w:t>
      </w:r>
    </w:p>
    <w:p w14:paraId="00DB140C"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Prévention </w:t>
      </w:r>
      <w:r w:rsidRPr="00B15634">
        <w:rPr>
          <w:rFonts w:ascii="Arial" w:hAnsi="Arial" w:cs="Arial"/>
          <w:b/>
          <w:bCs/>
          <w:sz w:val="20"/>
          <w:szCs w:val="20"/>
        </w:rPr>
        <w:t>primaire</w:t>
      </w:r>
      <w:r w:rsidRPr="00B15634">
        <w:rPr>
          <w:rFonts w:ascii="Arial" w:hAnsi="Arial" w:cs="Arial"/>
          <w:sz w:val="20"/>
          <w:szCs w:val="20"/>
        </w:rPr>
        <w:t> : Prévenir ou retarder l’apparition du diabète II</w:t>
      </w:r>
    </w:p>
    <w:p w14:paraId="6F9CB991"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Prévention </w:t>
      </w:r>
      <w:r w:rsidRPr="00B15634">
        <w:rPr>
          <w:rFonts w:ascii="Arial" w:hAnsi="Arial" w:cs="Arial"/>
          <w:b/>
          <w:bCs/>
          <w:sz w:val="20"/>
          <w:szCs w:val="20"/>
        </w:rPr>
        <w:t>secondaire</w:t>
      </w:r>
      <w:r w:rsidRPr="00B15634">
        <w:rPr>
          <w:rFonts w:ascii="Arial" w:hAnsi="Arial" w:cs="Arial"/>
          <w:sz w:val="20"/>
          <w:szCs w:val="20"/>
        </w:rPr>
        <w:t xml:space="preserve"> : Dépistage opportuniste du diabète </w:t>
      </w:r>
    </w:p>
    <w:p w14:paraId="6A87EC21"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Prévention </w:t>
      </w:r>
      <w:r w:rsidRPr="00B15634">
        <w:rPr>
          <w:rFonts w:ascii="Arial" w:hAnsi="Arial" w:cs="Arial"/>
          <w:b/>
          <w:bCs/>
          <w:sz w:val="20"/>
          <w:szCs w:val="20"/>
        </w:rPr>
        <w:t>tertiaire</w:t>
      </w:r>
      <w:r w:rsidRPr="00B15634">
        <w:rPr>
          <w:rFonts w:ascii="Arial" w:hAnsi="Arial" w:cs="Arial"/>
          <w:sz w:val="20"/>
          <w:szCs w:val="20"/>
        </w:rPr>
        <w:t xml:space="preserve"> : Dépistage et traitement des complications liées au diabète </w:t>
      </w:r>
    </w:p>
    <w:p w14:paraId="7B7AAE7D" w14:textId="77777777" w:rsidR="00ED4694" w:rsidRPr="00B15634" w:rsidRDefault="00ED4694" w:rsidP="00ED4694">
      <w:pPr>
        <w:jc w:val="both"/>
        <w:rPr>
          <w:rFonts w:ascii="Arial" w:hAnsi="Arial" w:cs="Arial"/>
          <w:sz w:val="20"/>
          <w:szCs w:val="20"/>
        </w:rPr>
      </w:pPr>
    </w:p>
    <w:p w14:paraId="2C84DEF5" w14:textId="77777777" w:rsidR="00ED4694" w:rsidRPr="00B15634" w:rsidRDefault="00ED4694" w:rsidP="00ED4694">
      <w:pPr>
        <w:jc w:val="both"/>
        <w:rPr>
          <w:rFonts w:ascii="Arial" w:hAnsi="Arial" w:cs="Arial"/>
          <w:b/>
          <w:bCs/>
          <w:sz w:val="20"/>
          <w:szCs w:val="20"/>
          <w:u w:val="single"/>
        </w:rPr>
      </w:pPr>
      <w:r w:rsidRPr="00B15634">
        <w:rPr>
          <w:rFonts w:ascii="Arial" w:hAnsi="Arial" w:cs="Arial"/>
          <w:b/>
          <w:bCs/>
          <w:sz w:val="20"/>
          <w:szCs w:val="20"/>
          <w:u w:val="single"/>
        </w:rPr>
        <w:t>Rôles du pharmacien</w:t>
      </w:r>
    </w:p>
    <w:p w14:paraId="006A2610"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Prévention </w:t>
      </w:r>
      <w:r w:rsidRPr="00B15634">
        <w:rPr>
          <w:rFonts w:ascii="Arial" w:hAnsi="Arial" w:cs="Arial"/>
          <w:b/>
          <w:bCs/>
          <w:sz w:val="20"/>
          <w:szCs w:val="20"/>
        </w:rPr>
        <w:t>primaire</w:t>
      </w:r>
      <w:r w:rsidRPr="00B15634">
        <w:rPr>
          <w:rFonts w:ascii="Arial" w:hAnsi="Arial" w:cs="Arial"/>
          <w:sz w:val="20"/>
          <w:szCs w:val="20"/>
        </w:rPr>
        <w:t> : promouvoir les recommandations nutritionnelles</w:t>
      </w:r>
    </w:p>
    <w:p w14:paraId="0342EB1D"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Prévention </w:t>
      </w:r>
      <w:r w:rsidRPr="00B15634">
        <w:rPr>
          <w:rFonts w:ascii="Arial" w:hAnsi="Arial" w:cs="Arial"/>
          <w:b/>
          <w:bCs/>
          <w:sz w:val="20"/>
          <w:szCs w:val="20"/>
        </w:rPr>
        <w:t>secondaire</w:t>
      </w:r>
      <w:r w:rsidRPr="00B15634">
        <w:rPr>
          <w:rFonts w:ascii="Arial" w:hAnsi="Arial" w:cs="Arial"/>
          <w:sz w:val="20"/>
          <w:szCs w:val="20"/>
        </w:rPr>
        <w:t xml:space="preserve"> : → participation aux campagnes de dépistage opportuniste </w:t>
      </w:r>
    </w:p>
    <w:p w14:paraId="39426CF6"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                                                     → 14/11 : journée mondiale du diabète</w:t>
      </w:r>
    </w:p>
    <w:p w14:paraId="445AEBE6"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Prévention </w:t>
      </w:r>
      <w:r w:rsidRPr="00B15634">
        <w:rPr>
          <w:rFonts w:ascii="Arial" w:hAnsi="Arial" w:cs="Arial"/>
          <w:b/>
          <w:bCs/>
          <w:sz w:val="20"/>
          <w:szCs w:val="20"/>
        </w:rPr>
        <w:t>tertiaire</w:t>
      </w:r>
      <w:r w:rsidRPr="00B15634">
        <w:rPr>
          <w:rFonts w:ascii="Arial" w:hAnsi="Arial" w:cs="Arial"/>
          <w:sz w:val="20"/>
          <w:szCs w:val="20"/>
        </w:rPr>
        <w:t xml:space="preserve"> : → suivi des diabétiques </w:t>
      </w:r>
    </w:p>
    <w:p w14:paraId="6F18AF91" w14:textId="77777777" w:rsidR="00ED4694" w:rsidRPr="00B15634" w:rsidRDefault="00ED4694" w:rsidP="00ED4694">
      <w:pPr>
        <w:pStyle w:val="Paragraphedeliste"/>
        <w:jc w:val="both"/>
        <w:rPr>
          <w:rFonts w:ascii="Arial" w:hAnsi="Arial" w:cs="Arial"/>
          <w:sz w:val="20"/>
          <w:szCs w:val="20"/>
        </w:rPr>
      </w:pPr>
      <w:r w:rsidRPr="00B15634">
        <w:rPr>
          <w:rFonts w:ascii="Arial" w:hAnsi="Arial" w:cs="Arial"/>
          <w:sz w:val="20"/>
          <w:szCs w:val="20"/>
        </w:rPr>
        <w:t xml:space="preserve">                                  → vaccinations (antigrippales, COVID, …) car ils sont plus à risque </w:t>
      </w:r>
    </w:p>
    <w:p w14:paraId="211445CA" w14:textId="77777777" w:rsidR="00ED4694" w:rsidRDefault="00ED4694" w:rsidP="00ED4694">
      <w:pPr>
        <w:rPr>
          <w:rFonts w:ascii="Arial" w:hAnsi="Arial" w:cs="Arial"/>
          <w:sz w:val="20"/>
          <w:szCs w:val="20"/>
        </w:rPr>
      </w:pPr>
    </w:p>
    <w:p w14:paraId="21C61074" w14:textId="77777777" w:rsidR="00ED4694" w:rsidRDefault="00ED4694" w:rsidP="00ED4694">
      <w:pPr>
        <w:rPr>
          <w:rFonts w:ascii="Arial" w:hAnsi="Arial" w:cs="Arial"/>
          <w:sz w:val="20"/>
          <w:szCs w:val="20"/>
        </w:rPr>
      </w:pPr>
    </w:p>
    <w:p w14:paraId="46720337" w14:textId="77777777" w:rsidR="00ED4694" w:rsidRDefault="00ED4694" w:rsidP="00ED4694">
      <w:pPr>
        <w:rPr>
          <w:rFonts w:ascii="Arial" w:hAnsi="Arial" w:cs="Arial"/>
          <w:sz w:val="20"/>
          <w:szCs w:val="20"/>
        </w:rPr>
      </w:pPr>
    </w:p>
    <w:p w14:paraId="1EF21CFD" w14:textId="77777777" w:rsidR="00ED4694" w:rsidRDefault="00ED4694" w:rsidP="00ED4694">
      <w:pPr>
        <w:rPr>
          <w:rFonts w:ascii="Arial" w:hAnsi="Arial" w:cs="Arial"/>
          <w:sz w:val="20"/>
          <w:szCs w:val="20"/>
        </w:rPr>
      </w:pPr>
    </w:p>
    <w:p w14:paraId="494EDEBD" w14:textId="77777777" w:rsidR="00ED4694" w:rsidRDefault="00ED4694" w:rsidP="00ED4694">
      <w:pPr>
        <w:rPr>
          <w:rFonts w:ascii="Arial" w:hAnsi="Arial" w:cs="Arial"/>
          <w:sz w:val="20"/>
          <w:szCs w:val="20"/>
        </w:rPr>
      </w:pPr>
    </w:p>
    <w:p w14:paraId="71C3E7C7" w14:textId="77777777" w:rsidR="00ED4694" w:rsidRDefault="00ED4694" w:rsidP="00ED4694">
      <w:pPr>
        <w:rPr>
          <w:rFonts w:ascii="Arial" w:hAnsi="Arial" w:cs="Arial"/>
          <w:sz w:val="20"/>
          <w:szCs w:val="20"/>
        </w:rPr>
      </w:pPr>
    </w:p>
    <w:p w14:paraId="039FA573" w14:textId="77777777" w:rsidR="00ED4694" w:rsidRDefault="00ED4694" w:rsidP="00ED4694">
      <w:pPr>
        <w:rPr>
          <w:rFonts w:ascii="Arial" w:hAnsi="Arial" w:cs="Arial"/>
          <w:sz w:val="20"/>
          <w:szCs w:val="20"/>
        </w:rPr>
      </w:pPr>
    </w:p>
    <w:p w14:paraId="1E9ACC79" w14:textId="77777777" w:rsidR="00ED4694" w:rsidRDefault="00ED4694" w:rsidP="00ED4694">
      <w:pPr>
        <w:rPr>
          <w:rFonts w:ascii="Arial" w:hAnsi="Arial" w:cs="Arial"/>
          <w:sz w:val="20"/>
          <w:szCs w:val="20"/>
        </w:rPr>
      </w:pPr>
    </w:p>
    <w:p w14:paraId="33A3116E" w14:textId="77777777" w:rsidR="00ED4694" w:rsidRDefault="00ED4694" w:rsidP="00ED4694">
      <w:pPr>
        <w:rPr>
          <w:rFonts w:ascii="Arial" w:hAnsi="Arial" w:cs="Arial"/>
          <w:sz w:val="20"/>
          <w:szCs w:val="20"/>
        </w:rPr>
      </w:pPr>
    </w:p>
    <w:p w14:paraId="11E069C7" w14:textId="77777777" w:rsidR="00ED4694" w:rsidRDefault="00ED4694" w:rsidP="00ED4694">
      <w:pPr>
        <w:rPr>
          <w:rFonts w:ascii="Arial" w:hAnsi="Arial" w:cs="Arial"/>
          <w:sz w:val="20"/>
          <w:szCs w:val="20"/>
        </w:rPr>
      </w:pPr>
    </w:p>
    <w:p w14:paraId="6946AF56" w14:textId="77777777" w:rsidR="00ED4694" w:rsidRDefault="00ED4694" w:rsidP="00ED4694">
      <w:pPr>
        <w:rPr>
          <w:rFonts w:ascii="Arial" w:hAnsi="Arial" w:cs="Arial"/>
          <w:sz w:val="20"/>
          <w:szCs w:val="20"/>
        </w:rPr>
      </w:pPr>
    </w:p>
    <w:p w14:paraId="57C17159" w14:textId="77777777" w:rsidR="00ED4694" w:rsidRDefault="00ED4694" w:rsidP="00ED4694">
      <w:pPr>
        <w:rPr>
          <w:rFonts w:ascii="Arial" w:hAnsi="Arial" w:cs="Arial"/>
          <w:sz w:val="20"/>
          <w:szCs w:val="20"/>
        </w:rPr>
      </w:pPr>
    </w:p>
    <w:p w14:paraId="33264DE2" w14:textId="77777777" w:rsidR="00ED4694" w:rsidRPr="00B15634" w:rsidRDefault="00ED4694" w:rsidP="00ED4694">
      <w:pPr>
        <w:rPr>
          <w:rFonts w:ascii="Arial" w:hAnsi="Arial" w:cs="Arial"/>
          <w:sz w:val="20"/>
          <w:szCs w:val="20"/>
        </w:rPr>
      </w:pPr>
    </w:p>
    <w:p w14:paraId="5F8695D1" w14:textId="77777777" w:rsidR="00ED4694" w:rsidRPr="00B15634" w:rsidRDefault="00ED4694" w:rsidP="00ED4694">
      <w:pPr>
        <w:rPr>
          <w:rFonts w:ascii="Arial" w:hAnsi="Arial" w:cs="Arial"/>
          <w:b/>
          <w:bCs/>
          <w:sz w:val="20"/>
          <w:szCs w:val="20"/>
          <w:u w:val="single"/>
        </w:rPr>
      </w:pPr>
      <w:r w:rsidRPr="00B15634">
        <w:rPr>
          <w:rFonts w:ascii="Arial" w:hAnsi="Arial" w:cs="Arial"/>
          <w:b/>
          <w:bCs/>
          <w:sz w:val="20"/>
          <w:szCs w:val="20"/>
          <w:highlight w:val="yellow"/>
          <w:u w:val="single"/>
        </w:rPr>
        <w:lastRenderedPageBreak/>
        <w:t>CM2</w:t>
      </w:r>
      <w:r w:rsidRPr="00B15634">
        <w:rPr>
          <w:rFonts w:ascii="Arial" w:hAnsi="Arial" w:cs="Arial"/>
          <w:b/>
          <w:bCs/>
          <w:sz w:val="20"/>
          <w:szCs w:val="20"/>
          <w:u w:val="single"/>
        </w:rPr>
        <w:t xml:space="preserve"> – Les diabètes </w:t>
      </w:r>
    </w:p>
    <w:p w14:paraId="492E4E0A" w14:textId="77777777" w:rsidR="00ED4694" w:rsidRPr="00B15634" w:rsidRDefault="00ED4694" w:rsidP="00ED4694">
      <w:pPr>
        <w:rPr>
          <w:rFonts w:ascii="Arial" w:hAnsi="Arial" w:cs="Arial"/>
          <w:b/>
          <w:bCs/>
          <w:sz w:val="20"/>
          <w:szCs w:val="20"/>
          <w:u w:val="single"/>
        </w:rPr>
      </w:pPr>
    </w:p>
    <w:p w14:paraId="1074AAAE" w14:textId="77777777" w:rsidR="00ED4694" w:rsidRPr="00B15634" w:rsidRDefault="00ED4694" w:rsidP="00ED4694">
      <w:pPr>
        <w:rPr>
          <w:rFonts w:ascii="Arial" w:hAnsi="Arial" w:cs="Arial"/>
          <w:b/>
          <w:bCs/>
          <w:color w:val="5B9BD5" w:themeColor="accent5"/>
          <w:sz w:val="20"/>
          <w:szCs w:val="20"/>
        </w:rPr>
      </w:pPr>
      <w:r w:rsidRPr="00B15634">
        <w:rPr>
          <w:rFonts w:ascii="Arial" w:hAnsi="Arial" w:cs="Arial"/>
          <w:b/>
          <w:bCs/>
          <w:color w:val="5B9BD5" w:themeColor="accent5"/>
          <w:sz w:val="20"/>
          <w:szCs w:val="20"/>
          <w:u w:val="single"/>
        </w:rPr>
        <w:t>Chapitre 1</w:t>
      </w:r>
      <w:r w:rsidRPr="00B15634">
        <w:rPr>
          <w:rFonts w:ascii="Arial" w:hAnsi="Arial" w:cs="Arial"/>
          <w:b/>
          <w:bCs/>
          <w:color w:val="5B9BD5" w:themeColor="accent5"/>
          <w:sz w:val="20"/>
          <w:szCs w:val="20"/>
        </w:rPr>
        <w:t> : Les diabètes sucrés</w:t>
      </w:r>
    </w:p>
    <w:p w14:paraId="66C48EE7" w14:textId="77777777" w:rsidR="00ED4694" w:rsidRPr="00B15634" w:rsidRDefault="00ED4694" w:rsidP="00ED4694">
      <w:pPr>
        <w:rPr>
          <w:rFonts w:ascii="Arial" w:hAnsi="Arial" w:cs="Arial"/>
          <w:b/>
          <w:bCs/>
          <w:color w:val="5B9BD5" w:themeColor="accent5"/>
          <w:sz w:val="20"/>
          <w:szCs w:val="20"/>
          <w:u w:val="single"/>
        </w:rPr>
      </w:pPr>
    </w:p>
    <w:p w14:paraId="1DAB2EE1" w14:textId="77777777" w:rsidR="00ED4694" w:rsidRPr="00B15634" w:rsidRDefault="00ED4694" w:rsidP="00ED4694">
      <w:pPr>
        <w:pStyle w:val="Paragraphedeliste"/>
        <w:numPr>
          <w:ilvl w:val="0"/>
          <w:numId w:val="9"/>
        </w:numPr>
        <w:jc w:val="both"/>
        <w:rPr>
          <w:rFonts w:ascii="Arial" w:hAnsi="Arial" w:cs="Arial"/>
          <w:b/>
          <w:bCs/>
          <w:color w:val="FF0000"/>
          <w:sz w:val="20"/>
          <w:szCs w:val="20"/>
        </w:rPr>
      </w:pPr>
      <w:r w:rsidRPr="00B15634">
        <w:rPr>
          <w:rFonts w:ascii="Arial" w:hAnsi="Arial" w:cs="Arial"/>
          <w:b/>
          <w:bCs/>
          <w:sz w:val="20"/>
          <w:szCs w:val="20"/>
          <w:u w:val="single"/>
        </w:rPr>
        <w:t>Définition du diabète sucré</w:t>
      </w:r>
    </w:p>
    <w:p w14:paraId="4B3223FC" w14:textId="77777777" w:rsidR="00ED4694" w:rsidRPr="00B15634" w:rsidRDefault="00ED4694" w:rsidP="00ED4694">
      <w:pPr>
        <w:jc w:val="both"/>
        <w:rPr>
          <w:rFonts w:ascii="Arial" w:hAnsi="Arial" w:cs="Arial"/>
          <w:b/>
          <w:bCs/>
          <w:color w:val="FF0000"/>
          <w:sz w:val="20"/>
          <w:szCs w:val="20"/>
        </w:rPr>
      </w:pPr>
    </w:p>
    <w:p w14:paraId="5D9B67DE" w14:textId="77777777" w:rsidR="00ED4694" w:rsidRPr="00B15634" w:rsidRDefault="00ED4694" w:rsidP="00ED4694">
      <w:pPr>
        <w:jc w:val="both"/>
        <w:rPr>
          <w:rFonts w:ascii="Arial" w:hAnsi="Arial" w:cs="Arial"/>
          <w:color w:val="FF0000"/>
          <w:sz w:val="20"/>
          <w:szCs w:val="20"/>
        </w:rPr>
      </w:pPr>
      <w:r w:rsidRPr="00B15634">
        <w:rPr>
          <w:rFonts w:ascii="Arial" w:hAnsi="Arial" w:cs="Arial"/>
          <w:b/>
          <w:bCs/>
          <w:color w:val="FF0000"/>
          <w:sz w:val="20"/>
          <w:szCs w:val="20"/>
        </w:rPr>
        <w:t>Hyperglycémie chronique</w:t>
      </w:r>
      <w:r w:rsidRPr="00B15634">
        <w:rPr>
          <w:rFonts w:ascii="Arial" w:hAnsi="Arial" w:cs="Arial"/>
          <w:color w:val="FF0000"/>
          <w:sz w:val="20"/>
          <w:szCs w:val="20"/>
        </w:rPr>
        <w:t xml:space="preserve"> </w:t>
      </w:r>
    </w:p>
    <w:p w14:paraId="2DEC8A03" w14:textId="77777777" w:rsidR="00ED4694" w:rsidRPr="00B15634" w:rsidRDefault="00ED4694" w:rsidP="00ED4694">
      <w:pPr>
        <w:jc w:val="both"/>
        <w:rPr>
          <w:rFonts w:ascii="Arial" w:hAnsi="Arial" w:cs="Arial"/>
          <w:sz w:val="20"/>
          <w:szCs w:val="20"/>
        </w:rPr>
      </w:pPr>
    </w:p>
    <w:p w14:paraId="6677712D" w14:textId="77777777" w:rsidR="00ED4694" w:rsidRPr="00B15634" w:rsidRDefault="00ED4694" w:rsidP="00ED4694">
      <w:pPr>
        <w:jc w:val="both"/>
        <w:rPr>
          <w:rFonts w:ascii="Arial" w:hAnsi="Arial" w:cs="Arial"/>
          <w:b/>
          <w:bCs/>
          <w:sz w:val="20"/>
          <w:szCs w:val="20"/>
        </w:rPr>
      </w:pPr>
      <w:r w:rsidRPr="00B15634">
        <w:rPr>
          <w:rFonts w:ascii="Arial" w:hAnsi="Arial" w:cs="Arial"/>
          <w:sz w:val="20"/>
          <w:szCs w:val="20"/>
        </w:rPr>
        <w:t>=&gt;</w:t>
      </w:r>
      <w:r w:rsidRPr="00B15634">
        <w:rPr>
          <w:rFonts w:ascii="Arial" w:hAnsi="Arial" w:cs="Arial"/>
          <w:b/>
          <w:bCs/>
          <w:sz w:val="20"/>
          <w:szCs w:val="20"/>
        </w:rPr>
        <w:t>Altération du métabolisme glucidique</w:t>
      </w:r>
      <w:r w:rsidRPr="00B15634">
        <w:rPr>
          <w:rFonts w:ascii="Arial" w:hAnsi="Arial" w:cs="Arial"/>
          <w:sz w:val="20"/>
          <w:szCs w:val="20"/>
        </w:rPr>
        <w:t xml:space="preserve"> souvent accompagnée d’une glycosurie et souvent associée à des </w:t>
      </w:r>
      <w:r w:rsidRPr="00B15634">
        <w:rPr>
          <w:rFonts w:ascii="Arial" w:hAnsi="Arial" w:cs="Arial"/>
          <w:b/>
          <w:bCs/>
          <w:sz w:val="20"/>
          <w:szCs w:val="20"/>
        </w:rPr>
        <w:t>désordres du métabolisme des lipides</w:t>
      </w:r>
      <w:r w:rsidRPr="00B15634">
        <w:rPr>
          <w:rFonts w:ascii="Arial" w:hAnsi="Arial" w:cs="Arial"/>
          <w:sz w:val="20"/>
          <w:szCs w:val="20"/>
        </w:rPr>
        <w:t xml:space="preserve"> et à des </w:t>
      </w:r>
      <w:r w:rsidRPr="00B15634">
        <w:rPr>
          <w:rFonts w:ascii="Arial" w:hAnsi="Arial" w:cs="Arial"/>
          <w:b/>
          <w:bCs/>
          <w:sz w:val="20"/>
          <w:szCs w:val="20"/>
        </w:rPr>
        <w:t>maladies cardiovasculaires.</w:t>
      </w:r>
    </w:p>
    <w:p w14:paraId="0F3DAE42"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=&gt;Résultat d’un </w:t>
      </w:r>
      <w:r w:rsidRPr="00B15634">
        <w:rPr>
          <w:rFonts w:ascii="Arial" w:hAnsi="Arial" w:cs="Arial"/>
          <w:b/>
          <w:bCs/>
          <w:sz w:val="20"/>
          <w:szCs w:val="20"/>
        </w:rPr>
        <w:t>défaut de sécrétion de l’insuline et/ou de son action</w:t>
      </w:r>
      <w:r w:rsidRPr="00B15634">
        <w:rPr>
          <w:rFonts w:ascii="Arial" w:hAnsi="Arial" w:cs="Arial"/>
          <w:sz w:val="20"/>
          <w:szCs w:val="20"/>
        </w:rPr>
        <w:t>, dont l’origine peut être multiple (+++ de types différents de diabète sucré)</w:t>
      </w:r>
    </w:p>
    <w:p w14:paraId="4C52C476"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=&gt;</w:t>
      </w:r>
      <w:r w:rsidRPr="00B15634">
        <w:rPr>
          <w:rFonts w:ascii="Arial" w:hAnsi="Arial" w:cs="Arial"/>
          <w:b/>
          <w:bCs/>
          <w:sz w:val="20"/>
          <w:szCs w:val="20"/>
        </w:rPr>
        <w:t>Complications organiques</w:t>
      </w:r>
      <w:r w:rsidRPr="00B15634">
        <w:rPr>
          <w:rFonts w:ascii="Arial" w:hAnsi="Arial" w:cs="Arial"/>
          <w:sz w:val="20"/>
          <w:szCs w:val="20"/>
        </w:rPr>
        <w:t xml:space="preserve"> spécifiques : yeux, rein, nerfs, cœur et vaisseaux, pied, bouche et dents, …</w:t>
      </w:r>
    </w:p>
    <w:p w14:paraId="1E47BC55" w14:textId="77777777" w:rsidR="00ED4694" w:rsidRPr="00B15634" w:rsidRDefault="00ED4694" w:rsidP="00ED4694">
      <w:pPr>
        <w:jc w:val="both"/>
        <w:rPr>
          <w:rFonts w:ascii="Arial" w:hAnsi="Arial" w:cs="Arial"/>
          <w:sz w:val="20"/>
          <w:szCs w:val="20"/>
        </w:rPr>
      </w:pPr>
    </w:p>
    <w:p w14:paraId="4110DE13" w14:textId="77777777" w:rsidR="00ED4694" w:rsidRPr="00B15634" w:rsidRDefault="00ED4694" w:rsidP="00ED4694">
      <w:pPr>
        <w:pStyle w:val="Paragraphedeliste"/>
        <w:numPr>
          <w:ilvl w:val="0"/>
          <w:numId w:val="9"/>
        </w:numPr>
        <w:jc w:val="both"/>
        <w:rPr>
          <w:rFonts w:ascii="Arial" w:hAnsi="Arial" w:cs="Arial"/>
          <w:b/>
          <w:bCs/>
          <w:sz w:val="20"/>
          <w:szCs w:val="20"/>
          <w:u w:val="single"/>
        </w:rPr>
      </w:pPr>
      <w:r w:rsidRPr="00B15634">
        <w:rPr>
          <w:rFonts w:ascii="Arial" w:hAnsi="Arial" w:cs="Arial"/>
          <w:b/>
          <w:bCs/>
          <w:sz w:val="20"/>
          <w:szCs w:val="20"/>
          <w:u w:val="single"/>
        </w:rPr>
        <w:t>Epidémiologie du diabète sucré</w:t>
      </w:r>
    </w:p>
    <w:p w14:paraId="3F244689" w14:textId="77777777" w:rsidR="00ED4694" w:rsidRPr="00B15634" w:rsidRDefault="00ED4694" w:rsidP="00ED4694">
      <w:pPr>
        <w:jc w:val="both"/>
        <w:rPr>
          <w:rFonts w:ascii="Arial" w:hAnsi="Arial" w:cs="Arial"/>
          <w:b/>
          <w:bCs/>
          <w:sz w:val="20"/>
          <w:szCs w:val="20"/>
          <w:u w:val="single"/>
        </w:rPr>
      </w:pPr>
    </w:p>
    <w:p w14:paraId="6DB2C21E"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Plus de 500 millions de personnes dans le monde (</w:t>
      </w:r>
      <w:r w:rsidRPr="00B15634">
        <w:rPr>
          <w:rFonts w:ascii="Arial" w:hAnsi="Arial" w:cs="Arial"/>
          <w:b/>
          <w:bCs/>
          <w:sz w:val="20"/>
          <w:szCs w:val="20"/>
        </w:rPr>
        <w:t>10%</w:t>
      </w:r>
      <w:r w:rsidRPr="00B15634">
        <w:rPr>
          <w:rFonts w:ascii="Arial" w:hAnsi="Arial" w:cs="Arial"/>
          <w:sz w:val="20"/>
          <w:szCs w:val="20"/>
        </w:rPr>
        <w:t>)</w:t>
      </w:r>
    </w:p>
    <w:p w14:paraId="7DCDFC9E" w14:textId="77777777" w:rsidR="00ED4694" w:rsidRPr="00B15634" w:rsidRDefault="00ED4694" w:rsidP="00ED4694">
      <w:pPr>
        <w:jc w:val="both"/>
        <w:rPr>
          <w:rFonts w:ascii="Arial" w:hAnsi="Arial" w:cs="Arial"/>
          <w:sz w:val="20"/>
          <w:szCs w:val="20"/>
        </w:rPr>
      </w:pPr>
      <w:r w:rsidRPr="00B15634">
        <w:rPr>
          <w:rFonts w:ascii="Arial" w:hAnsi="Arial" w:cs="Arial"/>
          <w:b/>
          <w:bCs/>
          <w:sz w:val="20"/>
          <w:szCs w:val="20"/>
        </w:rPr>
        <w:t>Plus de 4 millions de français</w:t>
      </w:r>
      <w:r w:rsidRPr="00B15634">
        <w:rPr>
          <w:rFonts w:ascii="Arial" w:hAnsi="Arial" w:cs="Arial"/>
          <w:sz w:val="20"/>
          <w:szCs w:val="20"/>
        </w:rPr>
        <w:t xml:space="preserve"> (6%)</w:t>
      </w:r>
    </w:p>
    <w:p w14:paraId="62614630" w14:textId="77777777" w:rsidR="00ED4694" w:rsidRPr="00B15634" w:rsidRDefault="00ED4694" w:rsidP="00ED4694">
      <w:pPr>
        <w:jc w:val="both"/>
        <w:rPr>
          <w:rFonts w:ascii="Arial" w:hAnsi="Arial" w:cs="Arial"/>
          <w:sz w:val="20"/>
          <w:szCs w:val="20"/>
        </w:rPr>
      </w:pPr>
      <w:r w:rsidRPr="00B15634">
        <w:rPr>
          <w:rFonts w:ascii="Arial" w:hAnsi="Arial" w:cs="Arial"/>
          <w:b/>
          <w:bCs/>
          <w:sz w:val="20"/>
          <w:szCs w:val="20"/>
          <w:u w:val="single"/>
        </w:rPr>
        <w:t>80% des obèses sont diabétiques</w:t>
      </w:r>
      <w:r w:rsidRPr="00B15634">
        <w:rPr>
          <w:rFonts w:ascii="Arial" w:hAnsi="Arial" w:cs="Arial"/>
          <w:sz w:val="20"/>
          <w:szCs w:val="20"/>
        </w:rPr>
        <w:t xml:space="preserve">. </w:t>
      </w:r>
      <w:r w:rsidRPr="00B15634">
        <w:rPr>
          <w:rFonts w:ascii="Arial" w:hAnsi="Arial" w:cs="Arial"/>
          <w:b/>
          <w:bCs/>
          <w:sz w:val="20"/>
          <w:szCs w:val="20"/>
        </w:rPr>
        <w:t>17% des français</w:t>
      </w:r>
      <w:r w:rsidRPr="00B15634">
        <w:rPr>
          <w:rFonts w:ascii="Arial" w:hAnsi="Arial" w:cs="Arial"/>
          <w:sz w:val="20"/>
          <w:szCs w:val="20"/>
        </w:rPr>
        <w:t xml:space="preserve"> sont obèses, et </w:t>
      </w:r>
      <w:r w:rsidRPr="00B15634">
        <w:rPr>
          <w:rFonts w:ascii="Arial" w:hAnsi="Arial" w:cs="Arial"/>
          <w:b/>
          <w:bCs/>
          <w:sz w:val="20"/>
          <w:szCs w:val="20"/>
        </w:rPr>
        <w:t>plus d’1 milliard dans le monde</w:t>
      </w:r>
      <w:r w:rsidRPr="00B15634">
        <w:rPr>
          <w:rFonts w:ascii="Arial" w:hAnsi="Arial" w:cs="Arial"/>
          <w:sz w:val="20"/>
          <w:szCs w:val="20"/>
        </w:rPr>
        <w:t>.</w:t>
      </w:r>
    </w:p>
    <w:p w14:paraId="48CE84F7" w14:textId="77777777" w:rsidR="00ED4694" w:rsidRPr="00B15634" w:rsidRDefault="00ED4694" w:rsidP="00ED4694">
      <w:pPr>
        <w:jc w:val="both"/>
        <w:rPr>
          <w:rFonts w:ascii="Arial" w:hAnsi="Arial" w:cs="Arial"/>
          <w:sz w:val="20"/>
          <w:szCs w:val="20"/>
        </w:rPr>
      </w:pPr>
    </w:p>
    <w:p w14:paraId="35CFD64A" w14:textId="77777777" w:rsidR="00ED4694" w:rsidRPr="00B15634" w:rsidRDefault="00ED4694" w:rsidP="00ED4694">
      <w:pPr>
        <w:pStyle w:val="Paragraphedeliste"/>
        <w:numPr>
          <w:ilvl w:val="0"/>
          <w:numId w:val="9"/>
        </w:numPr>
        <w:jc w:val="both"/>
        <w:rPr>
          <w:rFonts w:ascii="Arial" w:hAnsi="Arial" w:cs="Arial"/>
          <w:b/>
          <w:bCs/>
          <w:sz w:val="20"/>
          <w:szCs w:val="20"/>
          <w:u w:val="single"/>
        </w:rPr>
      </w:pPr>
      <w:r w:rsidRPr="00B15634">
        <w:rPr>
          <w:rFonts w:ascii="Arial" w:hAnsi="Arial" w:cs="Arial"/>
          <w:b/>
          <w:bCs/>
          <w:sz w:val="20"/>
          <w:szCs w:val="20"/>
          <w:u w:val="single"/>
        </w:rPr>
        <w:t>Marqueurs cliniques et biologiques du diabète sucré</w:t>
      </w:r>
    </w:p>
    <w:p w14:paraId="015CB791" w14:textId="77777777" w:rsidR="00ED4694" w:rsidRPr="00B15634" w:rsidRDefault="00ED4694" w:rsidP="00ED4694">
      <w:pPr>
        <w:jc w:val="both"/>
        <w:rPr>
          <w:rFonts w:ascii="Arial" w:hAnsi="Arial" w:cs="Arial"/>
          <w:b/>
          <w:bCs/>
          <w:sz w:val="20"/>
          <w:szCs w:val="20"/>
          <w:u w:val="single"/>
        </w:rPr>
      </w:pPr>
    </w:p>
    <w:p w14:paraId="5CFAF19E" w14:textId="77777777" w:rsidR="00ED4694" w:rsidRPr="00B15634" w:rsidRDefault="00ED4694" w:rsidP="00ED4694">
      <w:pPr>
        <w:pStyle w:val="Paragraphedeliste"/>
        <w:numPr>
          <w:ilvl w:val="0"/>
          <w:numId w:val="7"/>
        </w:numPr>
        <w:jc w:val="both"/>
        <w:rPr>
          <w:rFonts w:ascii="Arial" w:hAnsi="Arial" w:cs="Arial"/>
          <w:color w:val="00B0F0"/>
          <w:sz w:val="20"/>
          <w:szCs w:val="20"/>
          <w:u w:val="single"/>
        </w:rPr>
      </w:pPr>
      <w:r w:rsidRPr="00B15634">
        <w:rPr>
          <w:rFonts w:ascii="Arial" w:hAnsi="Arial" w:cs="Arial"/>
          <w:color w:val="00B0F0"/>
          <w:sz w:val="20"/>
          <w:szCs w:val="20"/>
          <w:u w:val="single"/>
        </w:rPr>
        <w:t>Symptômes cliniques</w:t>
      </w:r>
    </w:p>
    <w:p w14:paraId="2214203B" w14:textId="77777777" w:rsidR="00ED4694" w:rsidRPr="00B15634" w:rsidRDefault="00ED4694" w:rsidP="00ED4694">
      <w:pPr>
        <w:jc w:val="both"/>
        <w:rPr>
          <w:rFonts w:ascii="Arial" w:hAnsi="Arial" w:cs="Arial"/>
          <w:sz w:val="20"/>
          <w:szCs w:val="20"/>
          <w:u w:val="single"/>
        </w:rPr>
      </w:pPr>
    </w:p>
    <w:p w14:paraId="7925309A"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Signes fréquents :</w:t>
      </w:r>
    </w:p>
    <w:p w14:paraId="22C6747D"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Polydipsie : soif intense</w:t>
      </w:r>
    </w:p>
    <w:p w14:paraId="326FB2A8"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Polyurie : urines abondantes</w:t>
      </w:r>
    </w:p>
    <w:p w14:paraId="0225A94E"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Besoin d’uriner souvent</w:t>
      </w:r>
    </w:p>
    <w:p w14:paraId="79DCD9BE"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Perte de poids involontaire alors que l’appétit augmente</w:t>
      </w:r>
    </w:p>
    <w:p w14:paraId="289A4803"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Sensation de fatigue</w:t>
      </w:r>
    </w:p>
    <w:p w14:paraId="41C95A8E"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Vision floue</w:t>
      </w:r>
    </w:p>
    <w:p w14:paraId="64A3CDA7"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Signes tardifs :</w:t>
      </w:r>
    </w:p>
    <w:p w14:paraId="7B157839"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Complications micro et macro angiopathiques</w:t>
      </w:r>
    </w:p>
    <w:p w14:paraId="01B22CE1" w14:textId="77777777" w:rsidR="00ED4694" w:rsidRPr="00B15634" w:rsidRDefault="00ED4694" w:rsidP="00ED4694">
      <w:pPr>
        <w:jc w:val="both"/>
        <w:rPr>
          <w:rFonts w:ascii="Arial" w:hAnsi="Arial" w:cs="Arial"/>
          <w:sz w:val="20"/>
          <w:szCs w:val="20"/>
        </w:rPr>
      </w:pPr>
    </w:p>
    <w:p w14:paraId="2B70651E" w14:textId="77777777" w:rsidR="00ED4694" w:rsidRPr="00B15634" w:rsidRDefault="00ED4694" w:rsidP="00ED4694">
      <w:pPr>
        <w:pStyle w:val="Paragraphedeliste"/>
        <w:numPr>
          <w:ilvl w:val="0"/>
          <w:numId w:val="7"/>
        </w:numPr>
        <w:jc w:val="both"/>
        <w:rPr>
          <w:rFonts w:ascii="Arial" w:hAnsi="Arial" w:cs="Arial"/>
          <w:color w:val="00B0F0"/>
          <w:sz w:val="20"/>
          <w:szCs w:val="20"/>
          <w:u w:val="single"/>
        </w:rPr>
      </w:pPr>
      <w:r w:rsidRPr="00B15634">
        <w:rPr>
          <w:rFonts w:ascii="Arial" w:hAnsi="Arial" w:cs="Arial"/>
          <w:color w:val="00B0F0"/>
          <w:sz w:val="20"/>
          <w:szCs w:val="20"/>
          <w:u w:val="single"/>
        </w:rPr>
        <w:t>Glycémie</w:t>
      </w:r>
    </w:p>
    <w:p w14:paraId="11E3FE47" w14:textId="77777777" w:rsidR="00ED4694" w:rsidRPr="00B15634" w:rsidRDefault="00ED4694" w:rsidP="00ED4694">
      <w:pPr>
        <w:jc w:val="both"/>
        <w:rPr>
          <w:rFonts w:ascii="Arial" w:hAnsi="Arial" w:cs="Arial"/>
          <w:sz w:val="20"/>
          <w:szCs w:val="20"/>
          <w:u w:val="single"/>
        </w:rPr>
      </w:pPr>
    </w:p>
    <w:p w14:paraId="729EB41E" w14:textId="77777777" w:rsidR="00ED4694" w:rsidRPr="00B15634" w:rsidRDefault="00ED4694" w:rsidP="00ED4694">
      <w:pPr>
        <w:jc w:val="both"/>
        <w:rPr>
          <w:rFonts w:ascii="Arial" w:hAnsi="Arial" w:cs="Arial"/>
          <w:sz w:val="20"/>
          <w:szCs w:val="20"/>
        </w:rPr>
      </w:pPr>
      <w:r w:rsidRPr="00B15634">
        <w:rPr>
          <w:rFonts w:ascii="Arial" w:hAnsi="Arial" w:cs="Arial"/>
          <w:color w:val="FF0000"/>
          <w:sz w:val="20"/>
          <w:szCs w:val="20"/>
        </w:rPr>
        <w:t xml:space="preserve">Diagnostic : </w:t>
      </w:r>
    </w:p>
    <w:p w14:paraId="4D70EA4B"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b/>
          <w:bCs/>
          <w:sz w:val="20"/>
          <w:szCs w:val="20"/>
        </w:rPr>
        <w:t>Glycémie à jeun</w:t>
      </w:r>
      <w:r w:rsidRPr="00B15634">
        <w:rPr>
          <w:rFonts w:ascii="Arial" w:hAnsi="Arial" w:cs="Arial"/>
          <w:sz w:val="20"/>
          <w:szCs w:val="20"/>
        </w:rPr>
        <w:t xml:space="preserve"> (8 heures) &gt; 7mmol/L ou 1,26g/L à deux reprises</w:t>
      </w:r>
    </w:p>
    <w:p w14:paraId="7FD921C6"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 glycémie ≥ 11,1 mmol/L ou 2g/L quel que soit l’heure de prélèvement </w:t>
      </w:r>
    </w:p>
    <w:p w14:paraId="47F1A3A9"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glycémie ≥ 11,1 mmol/L ou 2g/L deux heures après ingestion de 75g de glucose per os (HGPO)</w:t>
      </w:r>
    </w:p>
    <w:p w14:paraId="1C20789E" w14:textId="77777777" w:rsidR="00ED4694" w:rsidRPr="00B15634" w:rsidRDefault="00ED4694" w:rsidP="00ED4694">
      <w:pPr>
        <w:jc w:val="both"/>
        <w:rPr>
          <w:rFonts w:ascii="Arial" w:hAnsi="Arial" w:cs="Arial"/>
          <w:sz w:val="20"/>
          <w:szCs w:val="20"/>
        </w:rPr>
      </w:pPr>
    </w:p>
    <w:p w14:paraId="24C0004B"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Normes : </w:t>
      </w:r>
    </w:p>
    <w:p w14:paraId="74D80E3E"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Glycémie à jeun &lt; 6,1 mmol/L ou 1,1 g/L</w:t>
      </w:r>
    </w:p>
    <w:p w14:paraId="1FA747ED" w14:textId="77777777" w:rsidR="00ED4694" w:rsidRPr="00B15634" w:rsidRDefault="00ED4694" w:rsidP="00ED4694">
      <w:pPr>
        <w:pStyle w:val="Paragraphedeliste"/>
        <w:jc w:val="both"/>
        <w:rPr>
          <w:rFonts w:ascii="Arial" w:hAnsi="Arial" w:cs="Arial"/>
          <w:sz w:val="20"/>
          <w:szCs w:val="20"/>
        </w:rPr>
      </w:pPr>
      <w:r w:rsidRPr="00B15634">
        <w:rPr>
          <w:rFonts w:ascii="Arial" w:hAnsi="Arial" w:cs="Arial"/>
          <w:b/>
          <w:bCs/>
          <w:sz w:val="20"/>
          <w:szCs w:val="20"/>
        </w:rPr>
        <w:t>Zones intermédiaires</w:t>
      </w:r>
      <w:r w:rsidRPr="00B15634">
        <w:rPr>
          <w:rFonts w:ascii="Arial" w:hAnsi="Arial" w:cs="Arial"/>
          <w:sz w:val="20"/>
          <w:szCs w:val="20"/>
        </w:rPr>
        <w:t xml:space="preserve"> : 6,1-7 mmol/L ou 1,1-1,26 g/L = hyperglycémie à jeun non diabétique ou hyperglycémie modérée à jeu =&gt; Phase d’insulinorésistance, pré-diabète </w:t>
      </w:r>
    </w:p>
    <w:p w14:paraId="6F7F1C0C"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Glycémie 2h après HGPO &lt;7,7 mmol/L ou 1,4 g/L</w:t>
      </w:r>
    </w:p>
    <w:p w14:paraId="7A63E71A" w14:textId="77777777" w:rsidR="00ED4694" w:rsidRPr="00B15634" w:rsidRDefault="00ED4694" w:rsidP="00ED4694">
      <w:pPr>
        <w:pStyle w:val="Paragraphedeliste"/>
        <w:jc w:val="both"/>
        <w:rPr>
          <w:rFonts w:ascii="Arial" w:hAnsi="Arial" w:cs="Arial"/>
          <w:sz w:val="20"/>
          <w:szCs w:val="20"/>
        </w:rPr>
      </w:pPr>
      <w:r w:rsidRPr="00B15634">
        <w:rPr>
          <w:rFonts w:ascii="Arial" w:hAnsi="Arial" w:cs="Arial"/>
          <w:b/>
          <w:bCs/>
          <w:sz w:val="20"/>
          <w:szCs w:val="20"/>
        </w:rPr>
        <w:t xml:space="preserve">Zones intermédiaires : </w:t>
      </w:r>
      <w:r w:rsidRPr="00B15634">
        <w:rPr>
          <w:rFonts w:ascii="Arial" w:hAnsi="Arial" w:cs="Arial"/>
          <w:sz w:val="20"/>
          <w:szCs w:val="20"/>
        </w:rPr>
        <w:t>7,7-11,1 mmol/L ou 1,4-2 g/L = intolérance aux hydrates de carbone</w:t>
      </w:r>
    </w:p>
    <w:p w14:paraId="65A5BC44" w14:textId="77777777" w:rsidR="00ED4694" w:rsidRPr="00B15634" w:rsidRDefault="00ED4694" w:rsidP="00ED4694">
      <w:pPr>
        <w:jc w:val="both"/>
        <w:rPr>
          <w:rFonts w:ascii="Arial" w:hAnsi="Arial" w:cs="Arial"/>
          <w:sz w:val="20"/>
          <w:szCs w:val="20"/>
        </w:rPr>
      </w:pPr>
    </w:p>
    <w:p w14:paraId="2234653B" w14:textId="77777777" w:rsidR="00ED4694" w:rsidRPr="00B15634" w:rsidRDefault="00ED4694" w:rsidP="00ED4694">
      <w:pPr>
        <w:jc w:val="both"/>
        <w:rPr>
          <w:rFonts w:ascii="Arial" w:hAnsi="Arial" w:cs="Arial"/>
          <w:color w:val="FF0000"/>
          <w:sz w:val="20"/>
          <w:szCs w:val="20"/>
        </w:rPr>
      </w:pPr>
      <w:r w:rsidRPr="00B15634">
        <w:rPr>
          <w:rFonts w:ascii="Arial" w:hAnsi="Arial" w:cs="Arial"/>
          <w:color w:val="FF0000"/>
          <w:sz w:val="20"/>
          <w:szCs w:val="20"/>
        </w:rPr>
        <w:t>Mesure :</w:t>
      </w:r>
    </w:p>
    <w:p w14:paraId="4F1C4AD2"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Utilisation d’un glucomètre ou lecteur de glycémie </w:t>
      </w:r>
    </w:p>
    <w:p w14:paraId="0B6F3196"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Utilisation d’un système de mesure en continu (capteur)</w:t>
      </w:r>
    </w:p>
    <w:p w14:paraId="43CDEC0F" w14:textId="77777777" w:rsidR="00ED4694" w:rsidRPr="00B15634" w:rsidRDefault="00ED4694" w:rsidP="00ED4694">
      <w:pPr>
        <w:jc w:val="both"/>
        <w:rPr>
          <w:rFonts w:ascii="Arial" w:hAnsi="Arial" w:cs="Arial"/>
          <w:sz w:val="20"/>
          <w:szCs w:val="20"/>
        </w:rPr>
      </w:pPr>
      <w:r w:rsidRPr="00B15634">
        <w:rPr>
          <w:rFonts w:ascii="Arial" w:hAnsi="Arial" w:cs="Arial"/>
          <w:noProof/>
          <w:sz w:val="20"/>
          <w:szCs w:val="20"/>
          <w:u w:val="single"/>
          <w:lang w:val="it-IT"/>
        </w:rPr>
        <w:drawing>
          <wp:anchor distT="0" distB="0" distL="114300" distR="114300" simplePos="0" relativeHeight="251659264" behindDoc="0" locked="0" layoutInCell="1" allowOverlap="1" wp14:anchorId="63EAD97F" wp14:editId="43A6D1E0">
            <wp:simplePos x="0" y="0"/>
            <wp:positionH relativeFrom="column">
              <wp:posOffset>1614805</wp:posOffset>
            </wp:positionH>
            <wp:positionV relativeFrom="paragraph">
              <wp:posOffset>9525</wp:posOffset>
            </wp:positionV>
            <wp:extent cx="2387600" cy="190500"/>
            <wp:effectExtent l="0" t="0" r="0" b="0"/>
            <wp:wrapThrough wrapText="bothSides">
              <wp:wrapPolygon edited="0">
                <wp:start x="0" y="0"/>
                <wp:lineTo x="0" y="19440"/>
                <wp:lineTo x="21370" y="19440"/>
                <wp:lineTo x="21370" y="0"/>
                <wp:lineTo x="0" y="0"/>
              </wp:wrapPolygon>
            </wp:wrapThrough>
            <wp:docPr id="15645992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599217" name=""/>
                    <pic:cNvPicPr/>
                  </pic:nvPicPr>
                  <pic:blipFill rotWithShape="1">
                    <a:blip r:embed="rId5">
                      <a:extLst>
                        <a:ext uri="{28A0092B-C50C-407E-A947-70E740481C1C}">
                          <a14:useLocalDpi xmlns:a14="http://schemas.microsoft.com/office/drawing/2010/main" val="0"/>
                        </a:ext>
                      </a:extLst>
                    </a:blip>
                    <a:srcRect t="16666" b="11905"/>
                    <a:stretch/>
                  </pic:blipFill>
                  <pic:spPr bwMode="auto">
                    <a:xfrm>
                      <a:off x="0" y="0"/>
                      <a:ext cx="2387600" cy="190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B15634">
        <w:rPr>
          <w:rFonts w:ascii="Arial" w:hAnsi="Arial" w:cs="Arial"/>
          <w:sz w:val="20"/>
          <w:szCs w:val="20"/>
          <w:u w:val="single"/>
        </w:rPr>
        <w:t>Mode électrochimique</w:t>
      </w:r>
      <w:r w:rsidRPr="00B15634">
        <w:rPr>
          <w:rFonts w:ascii="Arial" w:hAnsi="Arial" w:cs="Arial"/>
          <w:sz w:val="20"/>
          <w:szCs w:val="20"/>
        </w:rPr>
        <w:t xml:space="preserve"> : </w:t>
      </w:r>
    </w:p>
    <w:p w14:paraId="4DE5C780" w14:textId="77777777" w:rsidR="00ED4694" w:rsidRPr="00B15634" w:rsidRDefault="00ED4694" w:rsidP="00ED4694">
      <w:pPr>
        <w:jc w:val="both"/>
        <w:rPr>
          <w:rFonts w:ascii="Arial" w:hAnsi="Arial" w:cs="Arial"/>
          <w:sz w:val="4"/>
          <w:szCs w:val="4"/>
        </w:rPr>
      </w:pPr>
    </w:p>
    <w:p w14:paraId="0323615B" w14:textId="77777777" w:rsidR="00ED4694" w:rsidRPr="00B15634" w:rsidRDefault="00ED4694" w:rsidP="00ED4694">
      <w:pPr>
        <w:jc w:val="both"/>
        <w:rPr>
          <w:rFonts w:ascii="Arial" w:hAnsi="Arial" w:cs="Arial"/>
          <w:i/>
          <w:iCs/>
          <w:sz w:val="20"/>
          <w:szCs w:val="20"/>
        </w:rPr>
      </w:pPr>
      <w:r w:rsidRPr="00B15634">
        <w:rPr>
          <w:rFonts w:ascii="Arial" w:hAnsi="Arial" w:cs="Arial"/>
          <w:i/>
          <w:iCs/>
          <w:sz w:val="20"/>
          <w:szCs w:val="20"/>
        </w:rPr>
        <w:t>La glucose oxydase est une enzyme immobilisée sur la bandelette ou à la surface de l’électrode.</w:t>
      </w:r>
    </w:p>
    <w:p w14:paraId="7F5A8A17" w14:textId="77777777" w:rsidR="00ED4694" w:rsidRPr="00B15634" w:rsidRDefault="00ED4694" w:rsidP="00ED4694">
      <w:pPr>
        <w:jc w:val="both"/>
        <w:rPr>
          <w:rFonts w:ascii="Arial" w:hAnsi="Arial" w:cs="Arial"/>
          <w:i/>
          <w:iCs/>
          <w:sz w:val="20"/>
          <w:szCs w:val="20"/>
        </w:rPr>
      </w:pPr>
      <w:r w:rsidRPr="00B15634">
        <w:rPr>
          <w:rFonts w:ascii="Arial" w:hAnsi="Arial" w:cs="Arial"/>
          <w:i/>
          <w:iCs/>
          <w:sz w:val="20"/>
          <w:szCs w:val="20"/>
        </w:rPr>
        <w:t xml:space="preserve">L’eau oxygéné H2O2 est impliquée dans des réactions redox -&gt; génération d’un courant électrique proportionnel à la quantité de glucose. </w:t>
      </w:r>
    </w:p>
    <w:p w14:paraId="4F7090BD" w14:textId="77777777" w:rsidR="00ED4694" w:rsidRPr="00B15634" w:rsidRDefault="00ED4694" w:rsidP="00ED4694">
      <w:pPr>
        <w:jc w:val="both"/>
        <w:rPr>
          <w:rFonts w:ascii="Arial" w:hAnsi="Arial" w:cs="Arial"/>
          <w:i/>
          <w:iCs/>
          <w:sz w:val="20"/>
          <w:szCs w:val="20"/>
        </w:rPr>
      </w:pPr>
      <w:r w:rsidRPr="00B15634">
        <w:rPr>
          <w:rFonts w:ascii="Arial" w:hAnsi="Arial" w:cs="Arial"/>
          <w:noProof/>
          <w:sz w:val="20"/>
          <w:szCs w:val="20"/>
        </w:rPr>
        <w:drawing>
          <wp:anchor distT="0" distB="0" distL="114300" distR="114300" simplePos="0" relativeHeight="251660288" behindDoc="0" locked="0" layoutInCell="1" allowOverlap="1" wp14:anchorId="71CE5810" wp14:editId="141547EA">
            <wp:simplePos x="0" y="0"/>
            <wp:positionH relativeFrom="margin">
              <wp:posOffset>3905250</wp:posOffset>
            </wp:positionH>
            <wp:positionV relativeFrom="paragraph">
              <wp:posOffset>78740</wp:posOffset>
            </wp:positionV>
            <wp:extent cx="2679700" cy="1158240"/>
            <wp:effectExtent l="0" t="0" r="6350" b="3810"/>
            <wp:wrapThrough wrapText="bothSides">
              <wp:wrapPolygon edited="0">
                <wp:start x="0" y="0"/>
                <wp:lineTo x="0" y="21282"/>
                <wp:lineTo x="21408" y="21282"/>
                <wp:lineTo x="21408" y="0"/>
                <wp:lineTo x="0" y="0"/>
              </wp:wrapPolygon>
            </wp:wrapThrough>
            <wp:docPr id="8214445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444533" name=""/>
                    <pic:cNvPicPr/>
                  </pic:nvPicPr>
                  <pic:blipFill>
                    <a:blip r:embed="rId6">
                      <a:extLst>
                        <a:ext uri="{28A0092B-C50C-407E-A947-70E740481C1C}">
                          <a14:useLocalDpi xmlns:a14="http://schemas.microsoft.com/office/drawing/2010/main" val="0"/>
                        </a:ext>
                      </a:extLst>
                    </a:blip>
                    <a:stretch>
                      <a:fillRect/>
                    </a:stretch>
                  </pic:blipFill>
                  <pic:spPr>
                    <a:xfrm>
                      <a:off x="0" y="0"/>
                      <a:ext cx="2679700" cy="1158240"/>
                    </a:xfrm>
                    <a:prstGeom prst="rect">
                      <a:avLst/>
                    </a:prstGeom>
                  </pic:spPr>
                </pic:pic>
              </a:graphicData>
            </a:graphic>
            <wp14:sizeRelH relativeFrom="margin">
              <wp14:pctWidth>0</wp14:pctWidth>
            </wp14:sizeRelH>
            <wp14:sizeRelV relativeFrom="margin">
              <wp14:pctHeight>0</wp14:pctHeight>
            </wp14:sizeRelV>
          </wp:anchor>
        </w:drawing>
      </w:r>
    </w:p>
    <w:p w14:paraId="2C6D814C" w14:textId="77777777" w:rsidR="00ED4694" w:rsidRPr="00B15634" w:rsidRDefault="00ED4694" w:rsidP="00ED4694">
      <w:pPr>
        <w:jc w:val="both"/>
        <w:rPr>
          <w:rFonts w:ascii="Arial" w:hAnsi="Arial" w:cs="Arial"/>
          <w:sz w:val="20"/>
          <w:szCs w:val="20"/>
        </w:rPr>
      </w:pPr>
    </w:p>
    <w:p w14:paraId="000603E6"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sz w:val="20"/>
          <w:szCs w:val="20"/>
        </w:rPr>
        <w:t xml:space="preserve">En laboratoire d’analyse: </w:t>
      </w:r>
    </w:p>
    <w:p w14:paraId="01D04661" w14:textId="77777777" w:rsidR="00ED4694" w:rsidRPr="00B15634" w:rsidRDefault="00ED4694" w:rsidP="00ED4694">
      <w:pPr>
        <w:jc w:val="both"/>
        <w:rPr>
          <w:rFonts w:ascii="Arial" w:hAnsi="Arial" w:cs="Arial"/>
          <w:sz w:val="20"/>
          <w:szCs w:val="20"/>
        </w:rPr>
      </w:pPr>
      <w:r w:rsidRPr="00B15634">
        <w:rPr>
          <w:rFonts w:ascii="Arial" w:hAnsi="Arial" w:cs="Arial"/>
          <w:noProof/>
          <w:sz w:val="20"/>
          <w:szCs w:val="20"/>
          <w:u w:val="single"/>
        </w:rPr>
        <mc:AlternateContent>
          <mc:Choice Requires="wps">
            <w:drawing>
              <wp:anchor distT="0" distB="0" distL="114300" distR="114300" simplePos="0" relativeHeight="251661312" behindDoc="0" locked="0" layoutInCell="1" allowOverlap="1" wp14:anchorId="0F749748" wp14:editId="06DC4C46">
                <wp:simplePos x="0" y="0"/>
                <wp:positionH relativeFrom="column">
                  <wp:posOffset>1557655</wp:posOffset>
                </wp:positionH>
                <wp:positionV relativeFrom="paragraph">
                  <wp:posOffset>80010</wp:posOffset>
                </wp:positionV>
                <wp:extent cx="1384300" cy="6350"/>
                <wp:effectExtent l="0" t="76200" r="25400" b="88900"/>
                <wp:wrapNone/>
                <wp:docPr id="273329496" name="Connecteur droit avec flèche 1"/>
                <wp:cNvGraphicFramePr/>
                <a:graphic xmlns:a="http://schemas.openxmlformats.org/drawingml/2006/main">
                  <a:graphicData uri="http://schemas.microsoft.com/office/word/2010/wordprocessingShape">
                    <wps:wsp>
                      <wps:cNvCnPr/>
                      <wps:spPr>
                        <a:xfrm flipV="1">
                          <a:off x="0" y="0"/>
                          <a:ext cx="1384300" cy="6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24C15D4" id="_x0000_t32" coordsize="21600,21600" o:spt="32" o:oned="t" path="m,l21600,21600e" filled="f">
                <v:path arrowok="t" fillok="f" o:connecttype="none"/>
                <o:lock v:ext="edit" shapetype="t"/>
              </v:shapetype>
              <v:shape id="Connecteur droit avec flèche 1" o:spid="_x0000_s1026" type="#_x0000_t32" style="position:absolute;margin-left:122.65pt;margin-top:6.3pt;width:109pt;height:.5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" strokecolor="#4472c4 [3204]" strokeweight=".5pt">
                <v:stroke endarrow="block" joinstyle="miter"/>
              </v:shape>
            </w:pict>
          </mc:Fallback>
        </mc:AlternateContent>
      </w:r>
      <w:r w:rsidRPr="00B15634">
        <w:rPr>
          <w:rFonts w:ascii="Arial" w:hAnsi="Arial" w:cs="Arial"/>
          <w:sz w:val="20"/>
          <w:szCs w:val="20"/>
          <w:u w:val="single"/>
        </w:rPr>
        <w:t>Méthodes enzymatiques</w:t>
      </w:r>
      <w:r w:rsidRPr="00B15634">
        <w:rPr>
          <w:rFonts w:ascii="Arial" w:hAnsi="Arial" w:cs="Arial"/>
          <w:sz w:val="20"/>
          <w:szCs w:val="20"/>
        </w:rPr>
        <w:t xml:space="preserve"> </w:t>
      </w:r>
    </w:p>
    <w:p w14:paraId="2E28B714" w14:textId="77777777" w:rsidR="00ED4694" w:rsidRPr="00B15634" w:rsidRDefault="00ED4694" w:rsidP="00ED4694">
      <w:pPr>
        <w:jc w:val="both"/>
        <w:rPr>
          <w:rFonts w:ascii="Arial" w:hAnsi="Arial" w:cs="Arial"/>
          <w:sz w:val="20"/>
          <w:szCs w:val="20"/>
        </w:rPr>
      </w:pPr>
    </w:p>
    <w:p w14:paraId="6B045878"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Quand on a un glucomètre c’est une réaction redox, et en laboratoire IDEM.</w:t>
      </w:r>
    </w:p>
    <w:p w14:paraId="20C2D1EE" w14:textId="77777777" w:rsidR="00ED4694" w:rsidRDefault="00ED4694" w:rsidP="00ED4694">
      <w:pPr>
        <w:jc w:val="both"/>
        <w:rPr>
          <w:rFonts w:ascii="Arial" w:hAnsi="Arial" w:cs="Arial"/>
          <w:sz w:val="20"/>
          <w:szCs w:val="20"/>
        </w:rPr>
      </w:pPr>
    </w:p>
    <w:p w14:paraId="6CFC654F" w14:textId="77777777" w:rsidR="00ED4694" w:rsidRDefault="00ED4694" w:rsidP="00ED4694">
      <w:pPr>
        <w:jc w:val="both"/>
        <w:rPr>
          <w:rFonts w:ascii="Arial" w:hAnsi="Arial" w:cs="Arial"/>
          <w:sz w:val="20"/>
          <w:szCs w:val="20"/>
        </w:rPr>
      </w:pPr>
    </w:p>
    <w:p w14:paraId="29C77D57" w14:textId="77777777" w:rsidR="00ED4694" w:rsidRPr="00B15634" w:rsidRDefault="00ED4694" w:rsidP="00ED4694">
      <w:pPr>
        <w:jc w:val="both"/>
        <w:rPr>
          <w:rFonts w:ascii="Arial" w:hAnsi="Arial" w:cs="Arial"/>
          <w:sz w:val="20"/>
          <w:szCs w:val="20"/>
        </w:rPr>
      </w:pPr>
    </w:p>
    <w:p w14:paraId="65202CF9" w14:textId="77777777" w:rsidR="00ED4694" w:rsidRPr="00B15634" w:rsidRDefault="00ED4694" w:rsidP="00ED4694">
      <w:pPr>
        <w:pStyle w:val="Paragraphedeliste"/>
        <w:numPr>
          <w:ilvl w:val="0"/>
          <w:numId w:val="7"/>
        </w:numPr>
        <w:jc w:val="both"/>
        <w:rPr>
          <w:rFonts w:ascii="Arial" w:hAnsi="Arial" w:cs="Arial"/>
          <w:color w:val="00B0F0"/>
          <w:sz w:val="20"/>
          <w:szCs w:val="20"/>
          <w:u w:val="single"/>
        </w:rPr>
      </w:pPr>
      <w:r w:rsidRPr="00B15634">
        <w:rPr>
          <w:rFonts w:ascii="Arial" w:hAnsi="Arial" w:cs="Arial"/>
          <w:color w:val="00B0F0"/>
          <w:sz w:val="20"/>
          <w:szCs w:val="20"/>
          <w:u w:val="single"/>
        </w:rPr>
        <w:lastRenderedPageBreak/>
        <w:t>HGPO (Hyperglycémie provoquée par voie orale)</w:t>
      </w:r>
    </w:p>
    <w:p w14:paraId="1E6A3968" w14:textId="77777777" w:rsidR="00ED4694" w:rsidRPr="00B15634" w:rsidRDefault="00ED4694" w:rsidP="00ED4694">
      <w:pPr>
        <w:jc w:val="both"/>
        <w:rPr>
          <w:rFonts w:ascii="Arial" w:hAnsi="Arial" w:cs="Arial"/>
          <w:sz w:val="20"/>
          <w:szCs w:val="20"/>
          <w:u w:val="single"/>
        </w:rPr>
      </w:pPr>
      <w:r w:rsidRPr="00B15634">
        <w:rPr>
          <w:rFonts w:ascii="Arial" w:hAnsi="Arial" w:cs="Arial"/>
          <w:noProof/>
          <w:sz w:val="20"/>
          <w:szCs w:val="20"/>
        </w:rPr>
        <w:drawing>
          <wp:anchor distT="0" distB="0" distL="114300" distR="114300" simplePos="0" relativeHeight="251662336" behindDoc="0" locked="0" layoutInCell="1" allowOverlap="1" wp14:anchorId="4C66C5DD" wp14:editId="1DC17E1D">
            <wp:simplePos x="0" y="0"/>
            <wp:positionH relativeFrom="column">
              <wp:posOffset>4567555</wp:posOffset>
            </wp:positionH>
            <wp:positionV relativeFrom="paragraph">
              <wp:posOffset>4445</wp:posOffset>
            </wp:positionV>
            <wp:extent cx="2019300" cy="1454150"/>
            <wp:effectExtent l="0" t="0" r="0" b="0"/>
            <wp:wrapThrough wrapText="bothSides">
              <wp:wrapPolygon edited="0">
                <wp:start x="0" y="0"/>
                <wp:lineTo x="0" y="21223"/>
                <wp:lineTo x="21396" y="21223"/>
                <wp:lineTo x="21396" y="0"/>
                <wp:lineTo x="0" y="0"/>
              </wp:wrapPolygon>
            </wp:wrapThrough>
            <wp:docPr id="2010039740" name="Image 1" descr="Une image contenant ligne, Tracé, diagramme, pe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39740" name="Image 1" descr="Une image contenant ligne, Tracé, diagramme, pente&#10;&#10;Description générée automatiquement"/>
                    <pic:cNvPicPr/>
                  </pic:nvPicPr>
                  <pic:blipFill>
                    <a:blip r:embed="rId7">
                      <a:extLst>
                        <a:ext uri="{28A0092B-C50C-407E-A947-70E740481C1C}">
                          <a14:useLocalDpi xmlns:a14="http://schemas.microsoft.com/office/drawing/2010/main" val="0"/>
                        </a:ext>
                      </a:extLst>
                    </a:blip>
                    <a:stretch>
                      <a:fillRect/>
                    </a:stretch>
                  </pic:blipFill>
                  <pic:spPr>
                    <a:xfrm>
                      <a:off x="0" y="0"/>
                      <a:ext cx="2019300" cy="1454150"/>
                    </a:xfrm>
                    <a:prstGeom prst="rect">
                      <a:avLst/>
                    </a:prstGeom>
                  </pic:spPr>
                </pic:pic>
              </a:graphicData>
            </a:graphic>
          </wp:anchor>
        </w:drawing>
      </w:r>
    </w:p>
    <w:p w14:paraId="6C29024D"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On prend la glycémie du patient puis on lui donne un verre d’eau de 300mL avec </w:t>
      </w:r>
      <w:r w:rsidRPr="00B15634">
        <w:rPr>
          <w:rFonts w:ascii="Arial" w:hAnsi="Arial" w:cs="Arial"/>
          <w:b/>
          <w:bCs/>
          <w:sz w:val="20"/>
          <w:szCs w:val="20"/>
        </w:rPr>
        <w:t>75g de glucose</w:t>
      </w:r>
      <w:r w:rsidRPr="00B15634">
        <w:rPr>
          <w:rFonts w:ascii="Arial" w:hAnsi="Arial" w:cs="Arial"/>
          <w:sz w:val="20"/>
          <w:szCs w:val="20"/>
        </w:rPr>
        <w:t xml:space="preserve">. On effectue une mesure de la glycémie toutes les 30minutes. Résultat sous forme d’un graphique. </w:t>
      </w:r>
    </w:p>
    <w:p w14:paraId="7C4A34A9"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A t0, 5mmol/L pour le patient normal et 8mmol/L pour le diabétique. Il y a un pic de glycémie très rapide chez quelqu’un de normale et plus lent chez un malade, et surtout décalé. Pour un individu sain : 8mmol/L pour le pic (soit la même quantité que chez le patient à t0). Au bout de 2h c’est normal. Chez le diabétique plus haut et plus long. </w:t>
      </w:r>
    </w:p>
    <w:p w14:paraId="45D33ECA" w14:textId="77777777" w:rsidR="00ED4694" w:rsidRPr="00B15634" w:rsidRDefault="00ED4694" w:rsidP="00ED4694">
      <w:pPr>
        <w:jc w:val="both"/>
        <w:rPr>
          <w:rFonts w:ascii="Arial" w:hAnsi="Arial" w:cs="Arial"/>
          <w:sz w:val="20"/>
          <w:szCs w:val="20"/>
        </w:rPr>
      </w:pPr>
    </w:p>
    <w:p w14:paraId="541CADEA" w14:textId="77777777" w:rsidR="00ED4694" w:rsidRPr="00B15634" w:rsidRDefault="00ED4694" w:rsidP="00ED4694">
      <w:pPr>
        <w:pStyle w:val="Paragraphedeliste"/>
        <w:numPr>
          <w:ilvl w:val="0"/>
          <w:numId w:val="7"/>
        </w:numPr>
        <w:jc w:val="both"/>
        <w:rPr>
          <w:rFonts w:ascii="Arial" w:hAnsi="Arial" w:cs="Arial"/>
          <w:color w:val="00B0F0"/>
          <w:sz w:val="20"/>
          <w:szCs w:val="20"/>
          <w:u w:val="single"/>
        </w:rPr>
      </w:pPr>
      <w:r w:rsidRPr="00B15634">
        <w:rPr>
          <w:rFonts w:ascii="Arial" w:hAnsi="Arial" w:cs="Arial"/>
          <w:color w:val="00B0F0"/>
          <w:sz w:val="20"/>
          <w:szCs w:val="20"/>
        </w:rPr>
        <w:t xml:space="preserve"> </w:t>
      </w:r>
      <w:r w:rsidRPr="00B15634">
        <w:rPr>
          <w:rFonts w:ascii="Arial" w:hAnsi="Arial" w:cs="Arial"/>
          <w:color w:val="00B0F0"/>
          <w:sz w:val="20"/>
          <w:szCs w:val="20"/>
          <w:u w:val="single"/>
        </w:rPr>
        <w:t>Glycosurie</w:t>
      </w:r>
    </w:p>
    <w:p w14:paraId="6B48BE60" w14:textId="77777777" w:rsidR="00ED4694" w:rsidRPr="00B15634" w:rsidRDefault="00ED4694" w:rsidP="00ED4694">
      <w:pPr>
        <w:jc w:val="both"/>
        <w:rPr>
          <w:rFonts w:ascii="Arial" w:hAnsi="Arial" w:cs="Arial"/>
          <w:sz w:val="20"/>
          <w:szCs w:val="20"/>
          <w:u w:val="single"/>
        </w:rPr>
      </w:pPr>
    </w:p>
    <w:p w14:paraId="60BC56F1"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Glycosurie = glucose dans les urines</w:t>
      </w:r>
    </w:p>
    <w:p w14:paraId="3460554F"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Chez un individu sain, </w:t>
      </w:r>
      <w:r w:rsidRPr="00B15634">
        <w:rPr>
          <w:rFonts w:ascii="Arial" w:hAnsi="Arial" w:cs="Arial"/>
          <w:b/>
          <w:bCs/>
          <w:sz w:val="20"/>
          <w:szCs w:val="20"/>
        </w:rPr>
        <w:t>il n’y a pas de glucose dans les urines</w:t>
      </w:r>
      <w:r w:rsidRPr="00B15634">
        <w:rPr>
          <w:rFonts w:ascii="Arial" w:hAnsi="Arial" w:cs="Arial"/>
          <w:sz w:val="20"/>
          <w:szCs w:val="20"/>
        </w:rPr>
        <w:t xml:space="preserve"> car il est totalement réabsorbé grâce au rein (glycosurie = 0). </w:t>
      </w:r>
    </w:p>
    <w:p w14:paraId="6EB597E8"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Le rein peut absorber jusqu’à 1,8 g/L de glucose (10 mmol/L). Si le taux est supérieur, il ne peut pas réabsorber toute la quantité de glucose donc ça finit dans les urines, d’où l’apparition d’une glycosurie chez les diabétiques. </w:t>
      </w:r>
    </w:p>
    <w:p w14:paraId="479181D0"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Il y a des faux positifs et des faux négatifs à ce test-là. </w:t>
      </w:r>
    </w:p>
    <w:p w14:paraId="342DDD02" w14:textId="77777777" w:rsidR="00ED4694" w:rsidRPr="00B15634" w:rsidRDefault="00ED4694" w:rsidP="00ED4694">
      <w:pPr>
        <w:jc w:val="both"/>
        <w:rPr>
          <w:rFonts w:ascii="Arial" w:hAnsi="Arial" w:cs="Arial"/>
          <w:sz w:val="20"/>
          <w:szCs w:val="20"/>
        </w:rPr>
      </w:pPr>
      <w:r w:rsidRPr="00B15634">
        <w:rPr>
          <w:rFonts w:ascii="Arial" w:hAnsi="Arial" w:cs="Arial"/>
          <w:sz w:val="20"/>
          <w:szCs w:val="20"/>
          <w:u w:val="single"/>
        </w:rPr>
        <w:t>Faux positifs</w:t>
      </w:r>
      <w:r w:rsidRPr="00B15634">
        <w:rPr>
          <w:rFonts w:ascii="Arial" w:hAnsi="Arial" w:cs="Arial"/>
          <w:sz w:val="20"/>
          <w:szCs w:val="20"/>
        </w:rPr>
        <w:t> : S’il y a du glucose, ça peut aussi lié à un trouble rénal qui malgré une glycémie correcte ne permet pas une bonne réabsorption du glucose.</w:t>
      </w:r>
    </w:p>
    <w:p w14:paraId="5E846466" w14:textId="77777777" w:rsidR="00ED4694" w:rsidRPr="00B15634" w:rsidRDefault="00ED4694" w:rsidP="00ED4694">
      <w:pPr>
        <w:jc w:val="both"/>
        <w:rPr>
          <w:rFonts w:ascii="Arial" w:hAnsi="Arial" w:cs="Arial"/>
          <w:sz w:val="20"/>
          <w:szCs w:val="20"/>
        </w:rPr>
      </w:pPr>
      <w:r w:rsidRPr="00B15634">
        <w:rPr>
          <w:rFonts w:ascii="Arial" w:hAnsi="Arial" w:cs="Arial"/>
          <w:sz w:val="20"/>
          <w:szCs w:val="20"/>
          <w:u w:val="single"/>
        </w:rPr>
        <w:t>Faux négatifs</w:t>
      </w:r>
      <w:r w:rsidRPr="00B15634">
        <w:rPr>
          <w:rFonts w:ascii="Arial" w:hAnsi="Arial" w:cs="Arial"/>
          <w:sz w:val="20"/>
          <w:szCs w:val="20"/>
        </w:rPr>
        <w:t xml:space="preserve"> : insuffisance rénale : débit de filtration glomérulaire ralenti, le rein peut absorber une plus grande quantité de glucose que la normale et donc absorber l’entièreté du glucose malgré l’hyperglycémie chronique présente chez le patient. </w:t>
      </w:r>
    </w:p>
    <w:p w14:paraId="180C929F"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 </w:t>
      </w:r>
    </w:p>
    <w:p w14:paraId="35619103"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Méthode de la bandelette urinaire, carré de couleur. Pas quantitatif juste informatif .</w:t>
      </w:r>
    </w:p>
    <w:p w14:paraId="7B050337" w14:textId="77777777" w:rsidR="00ED4694" w:rsidRPr="00B15634" w:rsidRDefault="00ED4694" w:rsidP="00ED4694">
      <w:pPr>
        <w:jc w:val="both"/>
        <w:rPr>
          <w:rFonts w:ascii="Arial" w:hAnsi="Arial" w:cs="Arial"/>
          <w:sz w:val="20"/>
          <w:szCs w:val="20"/>
        </w:rPr>
      </w:pPr>
    </w:p>
    <w:p w14:paraId="0A59611A" w14:textId="77777777" w:rsidR="00ED4694" w:rsidRPr="00B15634" w:rsidRDefault="00ED4694" w:rsidP="00ED4694">
      <w:pPr>
        <w:pStyle w:val="Paragraphedeliste"/>
        <w:numPr>
          <w:ilvl w:val="0"/>
          <w:numId w:val="7"/>
        </w:numPr>
        <w:jc w:val="both"/>
        <w:rPr>
          <w:rFonts w:ascii="Arial" w:hAnsi="Arial" w:cs="Arial"/>
          <w:color w:val="00B0F0"/>
          <w:sz w:val="20"/>
          <w:szCs w:val="20"/>
          <w:u w:val="single"/>
        </w:rPr>
      </w:pPr>
      <w:r w:rsidRPr="00B15634">
        <w:rPr>
          <w:rFonts w:ascii="Arial" w:hAnsi="Arial" w:cs="Arial"/>
          <w:color w:val="00B0F0"/>
          <w:sz w:val="20"/>
          <w:szCs w:val="20"/>
          <w:u w:val="single"/>
        </w:rPr>
        <w:t>Hémoglobine glyquée : HbA1c</w:t>
      </w:r>
    </w:p>
    <w:p w14:paraId="21EEC956" w14:textId="77777777" w:rsidR="00ED4694" w:rsidRPr="00B15634" w:rsidRDefault="00ED4694" w:rsidP="00ED4694">
      <w:pPr>
        <w:jc w:val="both"/>
        <w:rPr>
          <w:rFonts w:ascii="Arial" w:hAnsi="Arial" w:cs="Arial"/>
          <w:sz w:val="20"/>
          <w:szCs w:val="20"/>
          <w:u w:val="single"/>
        </w:rPr>
      </w:pPr>
    </w:p>
    <w:p w14:paraId="60AEA622"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Il s’agit de l’hémoglobine avec du glucose accroché.</w:t>
      </w:r>
    </w:p>
    <w:p w14:paraId="2728418B" w14:textId="77777777" w:rsidR="00ED4694" w:rsidRPr="00B15634" w:rsidRDefault="00ED4694" w:rsidP="00ED4694">
      <w:pPr>
        <w:jc w:val="both"/>
        <w:rPr>
          <w:rFonts w:ascii="Arial" w:hAnsi="Arial" w:cs="Arial"/>
          <w:sz w:val="20"/>
          <w:szCs w:val="20"/>
        </w:rPr>
      </w:pPr>
      <w:r w:rsidRPr="00B15634">
        <w:rPr>
          <w:rFonts w:ascii="Arial" w:hAnsi="Arial" w:cs="Arial"/>
          <w:b/>
          <w:bCs/>
          <w:sz w:val="20"/>
          <w:szCs w:val="20"/>
        </w:rPr>
        <w:t>HbA1c : Reflet de la glycémie depuis les 3 derniers mois</w:t>
      </w:r>
      <w:r w:rsidRPr="00B15634">
        <w:rPr>
          <w:rFonts w:ascii="Arial" w:hAnsi="Arial" w:cs="Arial"/>
          <w:sz w:val="20"/>
          <w:szCs w:val="20"/>
        </w:rPr>
        <w:t xml:space="preserve"> (= durée de vie d’un globule rouge) : mesurer la teneur en molécules de glucose associées à l’hémoglobine des hématies. </w:t>
      </w:r>
    </w:p>
    <w:p w14:paraId="4E672725"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L’hémoglobine accroche du glucose de manière irréversible tellement il y a de glucose dans le sang. Il faut être en dessous de 6,5% pour considérer qu’on a un taux de sucre normal.</w:t>
      </w:r>
    </w:p>
    <w:p w14:paraId="66559260" w14:textId="77777777" w:rsidR="00ED4694" w:rsidRPr="00B15634" w:rsidRDefault="00ED4694" w:rsidP="00ED4694">
      <w:pPr>
        <w:jc w:val="both"/>
        <w:rPr>
          <w:rFonts w:ascii="Arial" w:hAnsi="Arial" w:cs="Arial"/>
          <w:color w:val="00B0F0"/>
          <w:sz w:val="20"/>
          <w:szCs w:val="20"/>
        </w:rPr>
      </w:pPr>
      <w:r w:rsidRPr="00B15634">
        <w:rPr>
          <w:rFonts w:ascii="Arial" w:hAnsi="Arial" w:cs="Arial"/>
          <w:sz w:val="20"/>
          <w:szCs w:val="20"/>
        </w:rPr>
        <w:t xml:space="preserve"> </w:t>
      </w:r>
    </w:p>
    <w:p w14:paraId="7BDD6834" w14:textId="77777777" w:rsidR="00ED4694" w:rsidRPr="00B15634" w:rsidRDefault="00ED4694" w:rsidP="00ED4694">
      <w:pPr>
        <w:pStyle w:val="Paragraphedeliste"/>
        <w:numPr>
          <w:ilvl w:val="0"/>
          <w:numId w:val="7"/>
        </w:numPr>
        <w:jc w:val="both"/>
        <w:rPr>
          <w:rFonts w:ascii="Arial" w:hAnsi="Arial" w:cs="Arial"/>
          <w:color w:val="00B0F0"/>
          <w:sz w:val="20"/>
          <w:szCs w:val="20"/>
          <w:u w:val="single"/>
        </w:rPr>
      </w:pPr>
      <w:r w:rsidRPr="00B15634">
        <w:rPr>
          <w:rFonts w:ascii="Arial" w:hAnsi="Arial" w:cs="Arial"/>
          <w:color w:val="00B0F0"/>
          <w:sz w:val="20"/>
          <w:szCs w:val="20"/>
          <w:u w:val="single"/>
        </w:rPr>
        <w:t>Corps cétoniques</w:t>
      </w:r>
    </w:p>
    <w:p w14:paraId="77F39257" w14:textId="77777777" w:rsidR="00ED4694" w:rsidRPr="00B15634" w:rsidRDefault="00ED4694" w:rsidP="00ED4694">
      <w:pPr>
        <w:jc w:val="both"/>
        <w:rPr>
          <w:rFonts w:ascii="Arial" w:hAnsi="Arial" w:cs="Arial"/>
          <w:sz w:val="20"/>
          <w:szCs w:val="20"/>
          <w:u w:val="single"/>
        </w:rPr>
      </w:pPr>
    </w:p>
    <w:p w14:paraId="564212C2"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Le glucose et les lipides sont assimilés et dégradés par l’organisme (= </w:t>
      </w:r>
      <w:r w:rsidRPr="00B15634">
        <w:rPr>
          <w:rFonts w:ascii="Arial" w:hAnsi="Arial" w:cs="Arial"/>
          <w:b/>
          <w:bCs/>
          <w:sz w:val="20"/>
          <w:szCs w:val="20"/>
        </w:rPr>
        <w:t>glycolyse</w:t>
      </w:r>
      <w:r w:rsidRPr="00B15634">
        <w:rPr>
          <w:rFonts w:ascii="Arial" w:hAnsi="Arial" w:cs="Arial"/>
          <w:sz w:val="20"/>
          <w:szCs w:val="20"/>
        </w:rPr>
        <w:t xml:space="preserve"> et </w:t>
      </w:r>
      <w:r w:rsidRPr="00B15634">
        <w:rPr>
          <w:rFonts w:ascii="Arial" w:hAnsi="Arial" w:cs="Arial"/>
          <w:b/>
          <w:bCs/>
          <w:sz w:val="20"/>
          <w:szCs w:val="20"/>
        </w:rPr>
        <w:t>lipolyse</w:t>
      </w:r>
      <w:r w:rsidRPr="00B15634">
        <w:rPr>
          <w:rFonts w:ascii="Arial" w:hAnsi="Arial" w:cs="Arial"/>
          <w:sz w:val="20"/>
          <w:szCs w:val="20"/>
        </w:rPr>
        <w:t xml:space="preserve">) pour produire notamment </w:t>
      </w:r>
      <w:r w:rsidRPr="00B15634">
        <w:rPr>
          <w:rFonts w:ascii="Arial" w:hAnsi="Arial" w:cs="Arial"/>
          <w:b/>
          <w:bCs/>
          <w:sz w:val="20"/>
          <w:szCs w:val="20"/>
        </w:rPr>
        <w:t>l’acétyl-CoA</w:t>
      </w:r>
      <w:r w:rsidRPr="00B15634">
        <w:rPr>
          <w:rFonts w:ascii="Arial" w:hAnsi="Arial" w:cs="Arial"/>
          <w:sz w:val="20"/>
          <w:szCs w:val="20"/>
        </w:rPr>
        <w:t xml:space="preserve">, un précurseur de nombreuses voies métaboliques sont la </w:t>
      </w:r>
      <w:r w:rsidRPr="00B15634">
        <w:rPr>
          <w:rFonts w:ascii="Arial" w:hAnsi="Arial" w:cs="Arial"/>
          <w:b/>
          <w:bCs/>
          <w:sz w:val="20"/>
          <w:szCs w:val="20"/>
          <w:u w:val="single"/>
        </w:rPr>
        <w:t>cétogenèse</w:t>
      </w:r>
      <w:r w:rsidRPr="00B15634">
        <w:rPr>
          <w:rFonts w:ascii="Arial" w:hAnsi="Arial" w:cs="Arial"/>
          <w:sz w:val="20"/>
          <w:szCs w:val="20"/>
        </w:rPr>
        <w:t xml:space="preserve"> </w:t>
      </w:r>
      <w:r w:rsidRPr="00B15634">
        <w:rPr>
          <w:rFonts w:ascii="Arial" w:hAnsi="Arial" w:cs="Arial"/>
          <w:b/>
          <w:bCs/>
          <w:sz w:val="20"/>
          <w:szCs w:val="20"/>
        </w:rPr>
        <w:t>dans le foie en cas de jeûne</w:t>
      </w:r>
      <w:r w:rsidRPr="00B15634">
        <w:rPr>
          <w:rFonts w:ascii="Arial" w:hAnsi="Arial" w:cs="Arial"/>
          <w:sz w:val="20"/>
          <w:szCs w:val="20"/>
        </w:rPr>
        <w:t>. Ce sont des substrats énergétiques facilement mobilisables et alternatifs pour le cerveau, SN, muscles.</w:t>
      </w:r>
    </w:p>
    <w:p w14:paraId="3FD67FC2" w14:textId="77777777" w:rsidR="00ED4694" w:rsidRPr="00B15634" w:rsidRDefault="00ED4694" w:rsidP="00ED4694">
      <w:pPr>
        <w:jc w:val="both"/>
        <w:rPr>
          <w:rFonts w:ascii="Arial" w:hAnsi="Arial" w:cs="Arial"/>
          <w:b/>
          <w:bCs/>
          <w:sz w:val="20"/>
          <w:szCs w:val="20"/>
        </w:rPr>
      </w:pPr>
      <w:r w:rsidRPr="00B15634">
        <w:rPr>
          <w:rFonts w:ascii="Arial" w:hAnsi="Arial" w:cs="Arial"/>
          <w:sz w:val="20"/>
          <w:szCs w:val="20"/>
        </w:rPr>
        <w:t xml:space="preserve">Production de </w:t>
      </w:r>
      <w:r w:rsidRPr="00B15634">
        <w:rPr>
          <w:rFonts w:ascii="Arial" w:hAnsi="Arial" w:cs="Arial"/>
          <w:b/>
          <w:bCs/>
          <w:sz w:val="20"/>
          <w:szCs w:val="20"/>
        </w:rPr>
        <w:t>3 corps cétoniques</w:t>
      </w:r>
      <w:r w:rsidRPr="00B15634">
        <w:rPr>
          <w:rFonts w:ascii="Arial" w:hAnsi="Arial" w:cs="Arial"/>
          <w:sz w:val="20"/>
          <w:szCs w:val="20"/>
        </w:rPr>
        <w:t xml:space="preserve"> : </w:t>
      </w:r>
      <w:r w:rsidRPr="00B15634">
        <w:rPr>
          <w:rFonts w:ascii="Arial" w:hAnsi="Arial" w:cs="Arial"/>
          <w:b/>
          <w:bCs/>
          <w:sz w:val="20"/>
          <w:szCs w:val="20"/>
        </w:rPr>
        <w:t>acétoacétate, acétone, β-hydroxybutyrate</w:t>
      </w:r>
    </w:p>
    <w:p w14:paraId="22F002CE" w14:textId="77777777" w:rsidR="00ED4694" w:rsidRPr="00B15634" w:rsidRDefault="00ED4694" w:rsidP="00ED4694">
      <w:pPr>
        <w:jc w:val="both"/>
        <w:rPr>
          <w:rFonts w:ascii="Arial" w:hAnsi="Arial" w:cs="Arial"/>
          <w:sz w:val="20"/>
          <w:szCs w:val="20"/>
        </w:rPr>
      </w:pPr>
    </w:p>
    <w:p w14:paraId="6CA85DB1"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Chez le diabétique, il y a beaucoup de fabrications de corps cétoniques tout le temps. A forte quantité </w:t>
      </w:r>
      <w:r w:rsidRPr="00B15634">
        <w:rPr>
          <w:rFonts w:ascii="Arial" w:hAnsi="Arial" w:cs="Arial"/>
          <w:b/>
          <w:bCs/>
          <w:sz w:val="20"/>
          <w:szCs w:val="20"/>
        </w:rPr>
        <w:t>c’est toxique</w:t>
      </w:r>
      <w:r w:rsidRPr="00B15634">
        <w:rPr>
          <w:rFonts w:ascii="Arial" w:hAnsi="Arial" w:cs="Arial"/>
          <w:sz w:val="20"/>
          <w:szCs w:val="20"/>
        </w:rPr>
        <w:t xml:space="preserve">. A terme, ça peut entrainer une </w:t>
      </w:r>
      <w:r w:rsidRPr="00B15634">
        <w:rPr>
          <w:rFonts w:ascii="Arial" w:hAnsi="Arial" w:cs="Arial"/>
          <w:b/>
          <w:bCs/>
          <w:sz w:val="20"/>
          <w:szCs w:val="20"/>
          <w:u w:val="single"/>
        </w:rPr>
        <w:t>acidocétose</w:t>
      </w:r>
      <w:r w:rsidRPr="00B15634">
        <w:rPr>
          <w:rFonts w:ascii="Arial" w:hAnsi="Arial" w:cs="Arial"/>
          <w:sz w:val="20"/>
          <w:szCs w:val="20"/>
        </w:rPr>
        <w:t>. Ils vont être éliminés dans les urines (=</w:t>
      </w:r>
      <w:r w:rsidRPr="00B15634">
        <w:rPr>
          <w:rFonts w:ascii="Arial" w:hAnsi="Arial" w:cs="Arial"/>
          <w:b/>
          <w:bCs/>
          <w:sz w:val="20"/>
          <w:szCs w:val="20"/>
        </w:rPr>
        <w:t>cétonurie</w:t>
      </w:r>
      <w:r w:rsidRPr="00B15634">
        <w:rPr>
          <w:rFonts w:ascii="Arial" w:hAnsi="Arial" w:cs="Arial"/>
          <w:sz w:val="20"/>
          <w:szCs w:val="20"/>
        </w:rPr>
        <w:t xml:space="preserve">) et </w:t>
      </w:r>
      <w:r w:rsidRPr="00B15634">
        <w:rPr>
          <w:rFonts w:ascii="Arial" w:hAnsi="Arial" w:cs="Arial"/>
          <w:b/>
          <w:bCs/>
          <w:sz w:val="20"/>
          <w:szCs w:val="20"/>
        </w:rPr>
        <w:t>entrainent avec elle l’eau et les électrolytes</w:t>
      </w:r>
      <w:r w:rsidRPr="00B15634">
        <w:rPr>
          <w:rFonts w:ascii="Arial" w:hAnsi="Arial" w:cs="Arial"/>
          <w:sz w:val="20"/>
          <w:szCs w:val="20"/>
        </w:rPr>
        <w:t xml:space="preserve"> </w:t>
      </w:r>
      <w:r w:rsidRPr="00B15634">
        <w:rPr>
          <w:rFonts w:ascii="Arial" w:hAnsi="Arial" w:cs="Arial"/>
          <w:b/>
          <w:bCs/>
          <w:sz w:val="20"/>
          <w:szCs w:val="20"/>
        </w:rPr>
        <w:t xml:space="preserve">(=&gt; acidose métabolique, risque de déshydratation, nausées/vomissements, douleurs abdominales, hypotension artérielle, œdème cérébral, coma, décès </w:t>
      </w:r>
      <w:r w:rsidRPr="00B15634">
        <w:rPr>
          <w:rFonts w:ascii="Arial" w:hAnsi="Arial" w:cs="Arial"/>
          <w:sz w:val="20"/>
          <w:szCs w:val="20"/>
        </w:rPr>
        <w:t>…)</w:t>
      </w:r>
    </w:p>
    <w:p w14:paraId="121F4CBC" w14:textId="77777777" w:rsidR="00ED4694" w:rsidRPr="00B15634" w:rsidRDefault="00ED4694" w:rsidP="00ED4694">
      <w:pPr>
        <w:jc w:val="both"/>
        <w:rPr>
          <w:rFonts w:ascii="Arial" w:hAnsi="Arial" w:cs="Arial"/>
          <w:sz w:val="20"/>
          <w:szCs w:val="20"/>
        </w:rPr>
      </w:pPr>
    </w:p>
    <w:p w14:paraId="55CF7E78"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D’où le dosage de corps cétoniques dans les urines. Il n’y en a pas en temps normal et il faut agir vite si le dosage est positif.</w:t>
      </w:r>
    </w:p>
    <w:p w14:paraId="1433A7F3"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La cétonémie est le dosage des corps cétoniques dans le sang. </w:t>
      </w:r>
    </w:p>
    <w:p w14:paraId="1CBECD67" w14:textId="77777777" w:rsidR="00ED4694" w:rsidRPr="00B15634" w:rsidRDefault="00ED4694" w:rsidP="00ED4694">
      <w:pPr>
        <w:jc w:val="both"/>
        <w:rPr>
          <w:rFonts w:ascii="Arial" w:hAnsi="Arial" w:cs="Arial"/>
          <w:sz w:val="20"/>
          <w:szCs w:val="20"/>
        </w:rPr>
      </w:pPr>
    </w:p>
    <w:p w14:paraId="5EDA9DC4" w14:textId="77777777" w:rsidR="00ED4694" w:rsidRPr="00B15634" w:rsidRDefault="00ED4694" w:rsidP="00ED4694">
      <w:pPr>
        <w:pStyle w:val="Paragraphedeliste"/>
        <w:numPr>
          <w:ilvl w:val="0"/>
          <w:numId w:val="7"/>
        </w:numPr>
        <w:jc w:val="both"/>
        <w:rPr>
          <w:rFonts w:ascii="Arial" w:hAnsi="Arial" w:cs="Arial"/>
          <w:sz w:val="20"/>
          <w:szCs w:val="20"/>
          <w:u w:val="single"/>
        </w:rPr>
      </w:pPr>
      <w:r w:rsidRPr="00B15634">
        <w:rPr>
          <w:rFonts w:ascii="Arial" w:hAnsi="Arial" w:cs="Arial"/>
          <w:color w:val="00B0F0"/>
          <w:sz w:val="20"/>
          <w:szCs w:val="20"/>
          <w:u w:val="single"/>
        </w:rPr>
        <w:t>Insuline, C-peptide, glucagon, Anticorps anti-insuline</w:t>
      </w:r>
    </w:p>
    <w:p w14:paraId="03E34EA2" w14:textId="77777777" w:rsidR="00ED4694" w:rsidRPr="00B15634" w:rsidRDefault="00ED4694" w:rsidP="00ED4694">
      <w:pPr>
        <w:jc w:val="both"/>
        <w:rPr>
          <w:rFonts w:ascii="Arial" w:hAnsi="Arial" w:cs="Arial"/>
          <w:sz w:val="20"/>
          <w:szCs w:val="20"/>
        </w:rPr>
      </w:pPr>
    </w:p>
    <w:p w14:paraId="424C5BF1"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L’insuline et le glucagon sont des hormones produites par le pancréas. Ils ont pour rôle de </w:t>
      </w:r>
      <w:r w:rsidRPr="00B15634">
        <w:rPr>
          <w:rFonts w:ascii="Arial" w:hAnsi="Arial" w:cs="Arial"/>
          <w:b/>
          <w:bCs/>
          <w:sz w:val="20"/>
          <w:szCs w:val="20"/>
        </w:rPr>
        <w:t>réguler la glycémie</w:t>
      </w:r>
      <w:r w:rsidRPr="00B15634">
        <w:rPr>
          <w:rFonts w:ascii="Arial" w:hAnsi="Arial" w:cs="Arial"/>
          <w:sz w:val="20"/>
          <w:szCs w:val="20"/>
        </w:rPr>
        <w:t xml:space="preserve">. Ils sont complémentaires. </w:t>
      </w:r>
    </w:p>
    <w:p w14:paraId="06700425" w14:textId="77777777" w:rsidR="00ED4694" w:rsidRPr="00B15634" w:rsidRDefault="00ED4694" w:rsidP="00ED4694">
      <w:pPr>
        <w:jc w:val="both"/>
        <w:rPr>
          <w:rFonts w:ascii="Arial" w:hAnsi="Arial" w:cs="Arial"/>
          <w:sz w:val="20"/>
          <w:szCs w:val="20"/>
        </w:rPr>
      </w:pPr>
    </w:p>
    <w:p w14:paraId="125BBFE2" w14:textId="77777777" w:rsidR="00ED4694" w:rsidRPr="00B15634" w:rsidRDefault="00ED4694" w:rsidP="00ED4694">
      <w:pPr>
        <w:jc w:val="both"/>
        <w:rPr>
          <w:rFonts w:ascii="Arial" w:hAnsi="Arial" w:cs="Arial"/>
          <w:sz w:val="20"/>
          <w:szCs w:val="20"/>
        </w:rPr>
      </w:pPr>
      <w:r w:rsidRPr="00B15634">
        <w:rPr>
          <w:rFonts w:ascii="Arial" w:hAnsi="Arial" w:cs="Arial"/>
          <w:b/>
          <w:bCs/>
          <w:sz w:val="20"/>
          <w:szCs w:val="20"/>
        </w:rPr>
        <w:t>L’insuline</w:t>
      </w:r>
      <w:r w:rsidRPr="00B15634">
        <w:rPr>
          <w:rFonts w:ascii="Arial" w:hAnsi="Arial" w:cs="Arial"/>
          <w:sz w:val="20"/>
          <w:szCs w:val="20"/>
        </w:rPr>
        <w:t xml:space="preserve"> est </w:t>
      </w:r>
      <w:r w:rsidRPr="00B15634">
        <w:rPr>
          <w:rFonts w:ascii="Arial" w:hAnsi="Arial" w:cs="Arial"/>
          <w:b/>
          <w:bCs/>
          <w:sz w:val="20"/>
          <w:szCs w:val="20"/>
        </w:rPr>
        <w:t>hypoglycémiante</w:t>
      </w:r>
      <w:r w:rsidRPr="00B15634">
        <w:rPr>
          <w:rFonts w:ascii="Arial" w:hAnsi="Arial" w:cs="Arial"/>
          <w:sz w:val="20"/>
          <w:szCs w:val="20"/>
        </w:rPr>
        <w:t xml:space="preserve">. Elle est sécrétée quand le taux de glycémie est trop important. Elle est produite par les cellules β des ilots de Langherans du pancréas. </w:t>
      </w:r>
    </w:p>
    <w:p w14:paraId="64DCFCAB"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Elle favorise l’entrée du glucose dans les organes et son utilisation (= </w:t>
      </w:r>
      <w:r w:rsidRPr="00B15634">
        <w:rPr>
          <w:rFonts w:ascii="Arial" w:hAnsi="Arial" w:cs="Arial"/>
          <w:b/>
          <w:bCs/>
          <w:color w:val="00B050"/>
          <w:sz w:val="20"/>
          <w:szCs w:val="20"/>
        </w:rPr>
        <w:t>glycolyse</w:t>
      </w:r>
      <w:r w:rsidRPr="00B15634">
        <w:rPr>
          <w:rFonts w:ascii="Arial" w:hAnsi="Arial" w:cs="Arial"/>
          <w:sz w:val="20"/>
          <w:szCs w:val="20"/>
        </w:rPr>
        <w:t xml:space="preserve">) et/ou son stockage sous forme de glycogène (= </w:t>
      </w:r>
      <w:r w:rsidRPr="00B15634">
        <w:rPr>
          <w:rFonts w:ascii="Arial" w:hAnsi="Arial" w:cs="Arial"/>
          <w:b/>
          <w:bCs/>
          <w:color w:val="00B050"/>
          <w:sz w:val="20"/>
          <w:szCs w:val="20"/>
        </w:rPr>
        <w:t>glycogénogenèse</w:t>
      </w:r>
      <w:r w:rsidRPr="00B15634">
        <w:rPr>
          <w:rFonts w:ascii="Arial" w:hAnsi="Arial" w:cs="Arial"/>
          <w:sz w:val="20"/>
          <w:szCs w:val="20"/>
        </w:rPr>
        <w:t xml:space="preserve">) dans les tissus métaboliques (foie, muscles, tissu adipeux) et/ou sa transformation en triglycérides (= </w:t>
      </w:r>
      <w:r w:rsidRPr="00B15634">
        <w:rPr>
          <w:rFonts w:ascii="Arial" w:hAnsi="Arial" w:cs="Arial"/>
          <w:b/>
          <w:bCs/>
          <w:color w:val="00B050"/>
          <w:sz w:val="20"/>
          <w:szCs w:val="20"/>
        </w:rPr>
        <w:t>lipogenèse</w:t>
      </w:r>
      <w:r w:rsidRPr="00B15634">
        <w:rPr>
          <w:rFonts w:ascii="Arial" w:hAnsi="Arial" w:cs="Arial"/>
          <w:sz w:val="20"/>
          <w:szCs w:val="20"/>
        </w:rPr>
        <w:t>) pour un stockage dans le tissu adipeux.</w:t>
      </w:r>
    </w:p>
    <w:p w14:paraId="0CD61579"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Elle va à l’encontre des processus hyperglycémiants, donc </w:t>
      </w:r>
      <w:r w:rsidRPr="00B15634">
        <w:rPr>
          <w:rFonts w:ascii="Arial" w:hAnsi="Arial" w:cs="Arial"/>
          <w:b/>
          <w:bCs/>
          <w:sz w:val="20"/>
          <w:szCs w:val="20"/>
        </w:rPr>
        <w:t xml:space="preserve">inhibe la </w:t>
      </w:r>
      <w:r w:rsidRPr="00B15634">
        <w:rPr>
          <w:rFonts w:ascii="Arial" w:hAnsi="Arial" w:cs="Arial"/>
          <w:b/>
          <w:bCs/>
          <w:color w:val="FF0000"/>
          <w:sz w:val="20"/>
          <w:szCs w:val="20"/>
        </w:rPr>
        <w:t>glycogénolyse</w:t>
      </w:r>
      <w:r w:rsidRPr="00B15634">
        <w:rPr>
          <w:rFonts w:ascii="Arial" w:hAnsi="Arial" w:cs="Arial"/>
          <w:b/>
          <w:bCs/>
          <w:sz w:val="20"/>
          <w:szCs w:val="20"/>
        </w:rPr>
        <w:t xml:space="preserve">, la </w:t>
      </w:r>
      <w:r w:rsidRPr="00B15634">
        <w:rPr>
          <w:rFonts w:ascii="Arial" w:hAnsi="Arial" w:cs="Arial"/>
          <w:b/>
          <w:bCs/>
          <w:color w:val="FF0000"/>
          <w:sz w:val="20"/>
          <w:szCs w:val="20"/>
        </w:rPr>
        <w:t>néoglucogenèse</w:t>
      </w:r>
      <w:r w:rsidRPr="00B15634">
        <w:rPr>
          <w:rFonts w:ascii="Arial" w:hAnsi="Arial" w:cs="Arial"/>
          <w:b/>
          <w:bCs/>
          <w:sz w:val="20"/>
          <w:szCs w:val="20"/>
        </w:rPr>
        <w:t xml:space="preserve">, et la </w:t>
      </w:r>
      <w:r w:rsidRPr="00B15634">
        <w:rPr>
          <w:rFonts w:ascii="Arial" w:hAnsi="Arial" w:cs="Arial"/>
          <w:b/>
          <w:bCs/>
          <w:color w:val="FF0000"/>
          <w:sz w:val="20"/>
          <w:szCs w:val="20"/>
        </w:rPr>
        <w:t>lipolyse</w:t>
      </w:r>
      <w:r w:rsidRPr="00B15634">
        <w:rPr>
          <w:rFonts w:ascii="Arial" w:hAnsi="Arial" w:cs="Arial"/>
          <w:b/>
          <w:bCs/>
          <w:sz w:val="20"/>
          <w:szCs w:val="20"/>
        </w:rPr>
        <w:t>.</w:t>
      </w:r>
    </w:p>
    <w:p w14:paraId="0C028546" w14:textId="77777777" w:rsidR="00ED4694" w:rsidRPr="00B15634" w:rsidRDefault="00ED4694" w:rsidP="00ED4694">
      <w:pPr>
        <w:jc w:val="both"/>
        <w:rPr>
          <w:rFonts w:ascii="Arial" w:hAnsi="Arial" w:cs="Arial"/>
          <w:sz w:val="20"/>
          <w:szCs w:val="20"/>
        </w:rPr>
      </w:pPr>
    </w:p>
    <w:p w14:paraId="57BF7863" w14:textId="77777777" w:rsidR="00ED4694" w:rsidRPr="00B15634" w:rsidRDefault="00ED4694" w:rsidP="00ED4694">
      <w:pPr>
        <w:jc w:val="both"/>
        <w:rPr>
          <w:rFonts w:ascii="Arial" w:hAnsi="Arial" w:cs="Arial"/>
          <w:sz w:val="20"/>
          <w:szCs w:val="20"/>
        </w:rPr>
      </w:pPr>
      <w:r w:rsidRPr="00B15634">
        <w:rPr>
          <w:rFonts w:ascii="Arial" w:hAnsi="Arial" w:cs="Arial"/>
          <w:b/>
          <w:bCs/>
          <w:sz w:val="20"/>
          <w:szCs w:val="20"/>
        </w:rPr>
        <w:t>Le glucagon</w:t>
      </w:r>
      <w:r w:rsidRPr="00B15634">
        <w:rPr>
          <w:rFonts w:ascii="Arial" w:hAnsi="Arial" w:cs="Arial"/>
          <w:sz w:val="20"/>
          <w:szCs w:val="20"/>
        </w:rPr>
        <w:t xml:space="preserve"> est </w:t>
      </w:r>
      <w:r w:rsidRPr="00B15634">
        <w:rPr>
          <w:rFonts w:ascii="Arial" w:hAnsi="Arial" w:cs="Arial"/>
          <w:b/>
          <w:bCs/>
          <w:sz w:val="20"/>
          <w:szCs w:val="20"/>
        </w:rPr>
        <w:t>hyperglycémiant</w:t>
      </w:r>
      <w:r w:rsidRPr="00B15634">
        <w:rPr>
          <w:rFonts w:ascii="Arial" w:hAnsi="Arial" w:cs="Arial"/>
          <w:sz w:val="20"/>
          <w:szCs w:val="20"/>
        </w:rPr>
        <w:t xml:space="preserve">. Il est produit par les cellules α des ilots de Langherans. </w:t>
      </w:r>
    </w:p>
    <w:p w14:paraId="677A6360"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lastRenderedPageBreak/>
        <w:t xml:space="preserve">Il est secrété afin de favoriser la mise à disposition du glucose stocké sous forme de glycogène dans le foie (= </w:t>
      </w:r>
      <w:r w:rsidRPr="00B15634">
        <w:rPr>
          <w:rFonts w:ascii="Arial" w:hAnsi="Arial" w:cs="Arial"/>
          <w:b/>
          <w:bCs/>
          <w:color w:val="00B050"/>
          <w:sz w:val="20"/>
          <w:szCs w:val="20"/>
        </w:rPr>
        <w:t>glycogénolyse</w:t>
      </w:r>
      <w:r w:rsidRPr="00B15634">
        <w:rPr>
          <w:rFonts w:ascii="Arial" w:hAnsi="Arial" w:cs="Arial"/>
          <w:sz w:val="20"/>
          <w:szCs w:val="20"/>
        </w:rPr>
        <w:t xml:space="preserve">), mais aussi la sortie du glucose des reins, des muscles et du tissu adipeux, ainsi que l’utilisation des lipides du tissu adipeux (= </w:t>
      </w:r>
      <w:r w:rsidRPr="00B15634">
        <w:rPr>
          <w:rFonts w:ascii="Arial" w:hAnsi="Arial" w:cs="Arial"/>
          <w:b/>
          <w:bCs/>
          <w:color w:val="00B050"/>
          <w:sz w:val="20"/>
          <w:szCs w:val="20"/>
        </w:rPr>
        <w:t>lipolyse</w:t>
      </w:r>
      <w:r w:rsidRPr="00B15634">
        <w:rPr>
          <w:rFonts w:ascii="Arial" w:hAnsi="Arial" w:cs="Arial"/>
          <w:sz w:val="20"/>
          <w:szCs w:val="20"/>
        </w:rPr>
        <w:t xml:space="preserve">), et favorise la production de novo de glucose par le foie (= </w:t>
      </w:r>
      <w:r w:rsidRPr="00B15634">
        <w:rPr>
          <w:rFonts w:ascii="Arial" w:hAnsi="Arial" w:cs="Arial"/>
          <w:b/>
          <w:bCs/>
          <w:color w:val="00B050"/>
          <w:sz w:val="20"/>
          <w:szCs w:val="20"/>
        </w:rPr>
        <w:t>néoglucogenèse</w:t>
      </w:r>
      <w:r w:rsidRPr="00B15634">
        <w:rPr>
          <w:rFonts w:ascii="Arial" w:hAnsi="Arial" w:cs="Arial"/>
          <w:sz w:val="20"/>
          <w:szCs w:val="20"/>
        </w:rPr>
        <w:t xml:space="preserve">), tout ceci afin d’alimenter les autres tissus. </w:t>
      </w:r>
    </w:p>
    <w:p w14:paraId="5D434BEA"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Il va à l’encontre des processus hypoglycémiants, dont </w:t>
      </w:r>
      <w:r w:rsidRPr="00B15634">
        <w:rPr>
          <w:rFonts w:ascii="Arial" w:hAnsi="Arial" w:cs="Arial"/>
          <w:b/>
          <w:bCs/>
          <w:sz w:val="20"/>
          <w:szCs w:val="20"/>
        </w:rPr>
        <w:t xml:space="preserve">inhibe la </w:t>
      </w:r>
      <w:r w:rsidRPr="00B15634">
        <w:rPr>
          <w:rFonts w:ascii="Arial" w:hAnsi="Arial" w:cs="Arial"/>
          <w:b/>
          <w:bCs/>
          <w:color w:val="FF0000"/>
          <w:sz w:val="20"/>
          <w:szCs w:val="20"/>
        </w:rPr>
        <w:t>glycolyse</w:t>
      </w:r>
      <w:r w:rsidRPr="00B15634">
        <w:rPr>
          <w:rFonts w:ascii="Arial" w:hAnsi="Arial" w:cs="Arial"/>
          <w:b/>
          <w:bCs/>
          <w:sz w:val="20"/>
          <w:szCs w:val="20"/>
        </w:rPr>
        <w:t xml:space="preserve">, la </w:t>
      </w:r>
      <w:r w:rsidRPr="00B15634">
        <w:rPr>
          <w:rFonts w:ascii="Arial" w:hAnsi="Arial" w:cs="Arial"/>
          <w:b/>
          <w:bCs/>
          <w:color w:val="FF0000"/>
          <w:sz w:val="20"/>
          <w:szCs w:val="20"/>
        </w:rPr>
        <w:t xml:space="preserve">glycogénogenèse </w:t>
      </w:r>
      <w:r w:rsidRPr="00B15634">
        <w:rPr>
          <w:rFonts w:ascii="Arial" w:hAnsi="Arial" w:cs="Arial"/>
          <w:b/>
          <w:bCs/>
          <w:sz w:val="20"/>
          <w:szCs w:val="20"/>
        </w:rPr>
        <w:t xml:space="preserve">et la </w:t>
      </w:r>
      <w:r w:rsidRPr="00B15634">
        <w:rPr>
          <w:rFonts w:ascii="Arial" w:hAnsi="Arial" w:cs="Arial"/>
          <w:b/>
          <w:bCs/>
          <w:color w:val="FF0000"/>
          <w:sz w:val="20"/>
          <w:szCs w:val="20"/>
        </w:rPr>
        <w:t>lipogenèse</w:t>
      </w:r>
      <w:r w:rsidRPr="00B15634">
        <w:rPr>
          <w:rFonts w:ascii="Arial" w:hAnsi="Arial" w:cs="Arial"/>
          <w:b/>
          <w:bCs/>
          <w:sz w:val="20"/>
          <w:szCs w:val="20"/>
        </w:rPr>
        <w:t>.</w:t>
      </w:r>
      <w:r w:rsidRPr="00B15634">
        <w:rPr>
          <w:rFonts w:ascii="Arial" w:hAnsi="Arial" w:cs="Arial"/>
          <w:sz w:val="20"/>
          <w:szCs w:val="20"/>
        </w:rPr>
        <w:t xml:space="preserve"> </w:t>
      </w:r>
    </w:p>
    <w:p w14:paraId="79C43B60"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Il élimine les déchets azotés issus de la néoglucogenèse via le cycle de l’urée.</w:t>
      </w:r>
    </w:p>
    <w:p w14:paraId="7826DD3D" w14:textId="77777777" w:rsidR="00ED4694" w:rsidRPr="00B15634" w:rsidRDefault="00ED4694" w:rsidP="00ED4694">
      <w:pPr>
        <w:jc w:val="both"/>
        <w:rPr>
          <w:rFonts w:ascii="Arial" w:hAnsi="Arial" w:cs="Arial"/>
          <w:sz w:val="20"/>
          <w:szCs w:val="20"/>
        </w:rPr>
      </w:pPr>
    </w:p>
    <w:p w14:paraId="060267AC"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Ce sont des petites molécules avec 2 chaines pour l’insuline et 1 pour le glucagon.</w:t>
      </w:r>
    </w:p>
    <w:p w14:paraId="254FE45D"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On dose l’insulinémie et le glucagon sanguin. </w:t>
      </w:r>
    </w:p>
    <w:p w14:paraId="04F88414" w14:textId="77777777" w:rsidR="00ED4694" w:rsidRPr="00B15634" w:rsidRDefault="00ED4694" w:rsidP="00ED4694">
      <w:pPr>
        <w:jc w:val="both"/>
        <w:rPr>
          <w:rFonts w:ascii="Arial" w:hAnsi="Arial" w:cs="Arial"/>
          <w:sz w:val="20"/>
          <w:szCs w:val="20"/>
        </w:rPr>
      </w:pPr>
    </w:p>
    <w:p w14:paraId="4CEFA0E6"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Mais aussi on dose le C-peptide sanguin ou urinaire. </w:t>
      </w:r>
    </w:p>
    <w:p w14:paraId="1FFC62C9" w14:textId="77777777" w:rsidR="00ED4694" w:rsidRPr="00B15634" w:rsidRDefault="00ED4694" w:rsidP="00ED4694">
      <w:pPr>
        <w:jc w:val="both"/>
        <w:rPr>
          <w:rFonts w:ascii="Arial" w:hAnsi="Arial" w:cs="Arial"/>
          <w:sz w:val="20"/>
          <w:szCs w:val="20"/>
        </w:rPr>
      </w:pPr>
      <w:r w:rsidRPr="00B15634">
        <w:rPr>
          <w:rFonts w:ascii="Arial" w:hAnsi="Arial" w:cs="Arial"/>
          <w:b/>
          <w:bCs/>
          <w:sz w:val="20"/>
          <w:szCs w:val="20"/>
        </w:rPr>
        <w:t>Le C-peptide</w:t>
      </w:r>
      <w:r w:rsidRPr="00B15634">
        <w:rPr>
          <w:rFonts w:ascii="Arial" w:hAnsi="Arial" w:cs="Arial"/>
          <w:sz w:val="20"/>
          <w:szCs w:val="20"/>
        </w:rPr>
        <w:t xml:space="preserve"> est associé à l’insuline pour former la proinsuline. A partir du moment où on secrète de l’insuline, elle se détache du C-peptide. </w:t>
      </w:r>
    </w:p>
    <w:p w14:paraId="30667A95"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C’est donc un indice de la réelle </w:t>
      </w:r>
      <w:r w:rsidRPr="0016133C">
        <w:rPr>
          <w:rFonts w:ascii="Arial" w:hAnsi="Arial" w:cs="Arial"/>
          <w:b/>
          <w:bCs/>
          <w:sz w:val="20"/>
          <w:szCs w:val="20"/>
        </w:rPr>
        <w:t>sécrétion</w:t>
      </w:r>
      <w:r w:rsidRPr="00B15634">
        <w:rPr>
          <w:rFonts w:ascii="Arial" w:hAnsi="Arial" w:cs="Arial"/>
          <w:sz w:val="20"/>
          <w:szCs w:val="20"/>
        </w:rPr>
        <w:t xml:space="preserve"> de l’insuline. </w:t>
      </w:r>
    </w:p>
    <w:p w14:paraId="66797D7E"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Il est utile pour évaluer le taux d’insuline et sa sécrétion endogène, </w:t>
      </w:r>
      <w:r w:rsidRPr="00B15634">
        <w:rPr>
          <w:rFonts w:ascii="Arial" w:hAnsi="Arial" w:cs="Arial"/>
          <w:b/>
          <w:bCs/>
          <w:sz w:val="20"/>
          <w:szCs w:val="20"/>
        </w:rPr>
        <w:t>déterminer le type de diabète</w:t>
      </w:r>
      <w:r w:rsidRPr="00B15634">
        <w:rPr>
          <w:rFonts w:ascii="Arial" w:hAnsi="Arial" w:cs="Arial"/>
          <w:sz w:val="20"/>
          <w:szCs w:val="20"/>
        </w:rPr>
        <w:t xml:space="preserve"> et de mesurer </w:t>
      </w:r>
      <w:r w:rsidRPr="00B15634">
        <w:rPr>
          <w:rFonts w:ascii="Arial" w:hAnsi="Arial" w:cs="Arial"/>
          <w:b/>
          <w:bCs/>
          <w:sz w:val="20"/>
          <w:szCs w:val="20"/>
        </w:rPr>
        <w:t>l’efficacité de certains traitements</w:t>
      </w:r>
      <w:r w:rsidRPr="00B15634">
        <w:rPr>
          <w:rFonts w:ascii="Arial" w:hAnsi="Arial" w:cs="Arial"/>
          <w:sz w:val="20"/>
          <w:szCs w:val="20"/>
        </w:rPr>
        <w:t xml:space="preserve"> antidiabétiques</w:t>
      </w:r>
    </w:p>
    <w:p w14:paraId="5DD04308" w14:textId="77777777" w:rsidR="00ED4694" w:rsidRPr="00B15634" w:rsidRDefault="00ED4694" w:rsidP="00ED4694">
      <w:pPr>
        <w:jc w:val="both"/>
        <w:rPr>
          <w:rFonts w:ascii="Arial" w:hAnsi="Arial" w:cs="Arial"/>
          <w:sz w:val="20"/>
          <w:szCs w:val="20"/>
        </w:rPr>
      </w:pPr>
    </w:p>
    <w:p w14:paraId="19A87834"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On dose aussi les </w:t>
      </w:r>
      <w:r w:rsidRPr="00B15634">
        <w:rPr>
          <w:rFonts w:ascii="Arial" w:hAnsi="Arial" w:cs="Arial"/>
          <w:b/>
          <w:bCs/>
          <w:sz w:val="20"/>
          <w:szCs w:val="20"/>
        </w:rPr>
        <w:t>anticorps anti-insuline sanguins</w:t>
      </w:r>
      <w:r w:rsidRPr="00B15634">
        <w:rPr>
          <w:rFonts w:ascii="Arial" w:hAnsi="Arial" w:cs="Arial"/>
          <w:sz w:val="20"/>
          <w:szCs w:val="20"/>
        </w:rPr>
        <w:t> :</w:t>
      </w:r>
    </w:p>
    <w:p w14:paraId="6F1824C0"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Lorsqu’un patient est traité, l’insuline injecté représente du non-soi pour le corps donc il produit des anticorps anti-insuline. Le dosage permet de surveiller leur apparition, signe de </w:t>
      </w:r>
      <w:r w:rsidRPr="00B15634">
        <w:rPr>
          <w:rFonts w:ascii="Arial" w:hAnsi="Arial" w:cs="Arial"/>
          <w:b/>
          <w:bCs/>
          <w:sz w:val="20"/>
          <w:szCs w:val="20"/>
        </w:rPr>
        <w:t>l’inefficacité partielle du traitement</w:t>
      </w:r>
      <w:r w:rsidRPr="00B15634">
        <w:rPr>
          <w:rFonts w:ascii="Arial" w:hAnsi="Arial" w:cs="Arial"/>
          <w:sz w:val="20"/>
          <w:szCs w:val="20"/>
        </w:rPr>
        <w:t xml:space="preserve">. </w:t>
      </w:r>
    </w:p>
    <w:p w14:paraId="0C46CCFE" w14:textId="77777777" w:rsidR="00ED4694" w:rsidRPr="00B15634" w:rsidRDefault="00ED4694" w:rsidP="00ED4694">
      <w:pPr>
        <w:jc w:val="both"/>
        <w:rPr>
          <w:rFonts w:ascii="Arial" w:hAnsi="Arial" w:cs="Arial"/>
          <w:sz w:val="20"/>
          <w:szCs w:val="20"/>
        </w:rPr>
      </w:pPr>
    </w:p>
    <w:p w14:paraId="1332EDD7" w14:textId="77777777" w:rsidR="00ED4694" w:rsidRPr="00B15634" w:rsidRDefault="00ED4694" w:rsidP="00ED4694">
      <w:pPr>
        <w:jc w:val="center"/>
        <w:rPr>
          <w:rFonts w:ascii="Arial" w:hAnsi="Arial" w:cs="Arial"/>
          <w:sz w:val="20"/>
          <w:szCs w:val="20"/>
        </w:rPr>
      </w:pPr>
      <w:r w:rsidRPr="00B15634">
        <w:rPr>
          <w:rFonts w:ascii="Arial" w:hAnsi="Arial" w:cs="Arial"/>
          <w:noProof/>
          <w:sz w:val="20"/>
          <w:szCs w:val="20"/>
        </w:rPr>
        <w:drawing>
          <wp:inline distT="0" distB="0" distL="0" distR="0" wp14:anchorId="230FD54F" wp14:editId="31770913">
            <wp:extent cx="3448882" cy="1309207"/>
            <wp:effectExtent l="0" t="0" r="0" b="0"/>
            <wp:docPr id="1991320069" name="Image 1" descr="Une image contenant texte,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20069" name="Image 1" descr="Une image contenant texte, Police, capture d’écran&#10;&#10;Description générée automatiquement"/>
                    <pic:cNvPicPr/>
                  </pic:nvPicPr>
                  <pic:blipFill>
                    <a:blip r:embed="rId8"/>
                    <a:stretch>
                      <a:fillRect/>
                    </a:stretch>
                  </pic:blipFill>
                  <pic:spPr>
                    <a:xfrm>
                      <a:off x="0" y="0"/>
                      <a:ext cx="3517075" cy="1335093"/>
                    </a:xfrm>
                    <a:prstGeom prst="rect">
                      <a:avLst/>
                    </a:prstGeom>
                  </pic:spPr>
                </pic:pic>
              </a:graphicData>
            </a:graphic>
          </wp:inline>
        </w:drawing>
      </w:r>
    </w:p>
    <w:p w14:paraId="23DB021C" w14:textId="77777777" w:rsidR="00ED4694" w:rsidRPr="00B15634" w:rsidRDefault="00ED4694" w:rsidP="00ED4694">
      <w:pPr>
        <w:jc w:val="both"/>
        <w:rPr>
          <w:rFonts w:ascii="Arial" w:hAnsi="Arial" w:cs="Arial"/>
          <w:sz w:val="20"/>
          <w:szCs w:val="20"/>
        </w:rPr>
      </w:pPr>
    </w:p>
    <w:p w14:paraId="23ECBE12" w14:textId="77777777" w:rsidR="00ED4694" w:rsidRPr="00B15634" w:rsidRDefault="00ED4694" w:rsidP="00ED4694">
      <w:pPr>
        <w:jc w:val="both"/>
        <w:rPr>
          <w:rFonts w:ascii="Arial" w:hAnsi="Arial" w:cs="Arial"/>
          <w:sz w:val="20"/>
          <w:szCs w:val="20"/>
        </w:rPr>
      </w:pPr>
    </w:p>
    <w:p w14:paraId="4C448078" w14:textId="77777777" w:rsidR="00ED4694" w:rsidRPr="00B15634" w:rsidRDefault="00ED4694" w:rsidP="00ED4694">
      <w:pPr>
        <w:pStyle w:val="Paragraphedeliste"/>
        <w:numPr>
          <w:ilvl w:val="0"/>
          <w:numId w:val="9"/>
        </w:numPr>
        <w:jc w:val="both"/>
        <w:rPr>
          <w:rFonts w:ascii="Arial" w:hAnsi="Arial" w:cs="Arial"/>
          <w:b/>
          <w:bCs/>
          <w:sz w:val="20"/>
          <w:szCs w:val="20"/>
          <w:u w:val="single"/>
        </w:rPr>
      </w:pPr>
      <w:r w:rsidRPr="00B15634">
        <w:rPr>
          <w:rFonts w:ascii="Arial" w:hAnsi="Arial" w:cs="Arial"/>
          <w:b/>
          <w:bCs/>
          <w:sz w:val="20"/>
          <w:szCs w:val="20"/>
          <w:u w:val="single"/>
        </w:rPr>
        <w:t>Classification des diabètes sucrés</w:t>
      </w:r>
    </w:p>
    <w:p w14:paraId="7B0163D1" w14:textId="77777777" w:rsidR="00ED4694" w:rsidRPr="00B15634" w:rsidRDefault="00ED4694" w:rsidP="00ED4694">
      <w:pPr>
        <w:jc w:val="both"/>
        <w:rPr>
          <w:rFonts w:ascii="Arial" w:hAnsi="Arial" w:cs="Arial"/>
          <w:b/>
          <w:bCs/>
          <w:sz w:val="20"/>
          <w:szCs w:val="20"/>
          <w:u w:val="single"/>
        </w:rPr>
      </w:pPr>
    </w:p>
    <w:p w14:paraId="7F5F3C29"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Il y en a beaucoup. Des monogéniques, néo-natals, gestationnel, des diabètes associés à la prise de médicaments, a d’autres maladies. On va voir les principaux. </w:t>
      </w:r>
    </w:p>
    <w:p w14:paraId="0393FF30" w14:textId="77777777" w:rsidR="00ED4694" w:rsidRPr="00B15634" w:rsidRDefault="00ED4694" w:rsidP="00ED4694">
      <w:pPr>
        <w:jc w:val="both"/>
        <w:rPr>
          <w:rFonts w:ascii="Arial" w:hAnsi="Arial" w:cs="Arial"/>
          <w:sz w:val="20"/>
          <w:szCs w:val="20"/>
        </w:rPr>
      </w:pPr>
    </w:p>
    <w:p w14:paraId="5FB18584" w14:textId="77777777" w:rsidR="00ED4694" w:rsidRPr="00B15634" w:rsidRDefault="00ED4694" w:rsidP="00ED4694">
      <w:pPr>
        <w:jc w:val="both"/>
        <w:rPr>
          <w:rFonts w:ascii="Arial" w:hAnsi="Arial" w:cs="Arial"/>
          <w:b/>
          <w:bCs/>
          <w:color w:val="5B9BD5" w:themeColor="accent5"/>
          <w:sz w:val="20"/>
          <w:szCs w:val="20"/>
        </w:rPr>
      </w:pPr>
      <w:r w:rsidRPr="00B15634">
        <w:rPr>
          <w:rFonts w:ascii="Arial" w:hAnsi="Arial" w:cs="Arial"/>
          <w:b/>
          <w:bCs/>
          <w:color w:val="5B9BD5" w:themeColor="accent5"/>
          <w:sz w:val="20"/>
          <w:szCs w:val="20"/>
          <w:u w:val="single"/>
        </w:rPr>
        <w:t>Chapitre 2</w:t>
      </w:r>
      <w:r w:rsidRPr="00B15634">
        <w:rPr>
          <w:rFonts w:ascii="Arial" w:hAnsi="Arial" w:cs="Arial"/>
          <w:b/>
          <w:bCs/>
          <w:color w:val="5B9BD5" w:themeColor="accent5"/>
          <w:sz w:val="20"/>
          <w:szCs w:val="20"/>
        </w:rPr>
        <w:t xml:space="preserve"> : Etiopathogénie du diabète </w:t>
      </w:r>
    </w:p>
    <w:p w14:paraId="385BF1D2" w14:textId="77777777" w:rsidR="00ED4694" w:rsidRPr="00B15634" w:rsidRDefault="00ED4694" w:rsidP="00ED4694">
      <w:pPr>
        <w:jc w:val="both"/>
        <w:rPr>
          <w:rFonts w:ascii="Arial" w:hAnsi="Arial" w:cs="Arial"/>
          <w:b/>
          <w:bCs/>
          <w:color w:val="5B9BD5" w:themeColor="accent5"/>
          <w:sz w:val="20"/>
          <w:szCs w:val="20"/>
          <w:u w:val="single"/>
        </w:rPr>
      </w:pPr>
    </w:p>
    <w:p w14:paraId="3A58C91A" w14:textId="77777777" w:rsidR="00ED4694" w:rsidRPr="00B15634" w:rsidRDefault="00ED4694" w:rsidP="00ED4694">
      <w:pPr>
        <w:pStyle w:val="Paragraphedeliste"/>
        <w:numPr>
          <w:ilvl w:val="0"/>
          <w:numId w:val="11"/>
        </w:numPr>
        <w:jc w:val="both"/>
        <w:rPr>
          <w:rFonts w:ascii="Arial" w:hAnsi="Arial" w:cs="Arial"/>
          <w:b/>
          <w:bCs/>
          <w:sz w:val="20"/>
          <w:szCs w:val="20"/>
          <w:u w:val="single"/>
        </w:rPr>
      </w:pPr>
      <w:r w:rsidRPr="00B15634">
        <w:rPr>
          <w:rFonts w:ascii="Arial" w:hAnsi="Arial" w:cs="Arial"/>
          <w:b/>
          <w:bCs/>
          <w:sz w:val="20"/>
          <w:szCs w:val="20"/>
          <w:u w:val="single"/>
        </w:rPr>
        <w:t>Diabète de type 2</w:t>
      </w:r>
    </w:p>
    <w:p w14:paraId="7B27ACAE" w14:textId="77777777" w:rsidR="00ED4694" w:rsidRPr="00B15634" w:rsidRDefault="00ED4694" w:rsidP="00ED4694">
      <w:pPr>
        <w:jc w:val="both"/>
        <w:rPr>
          <w:rFonts w:ascii="Arial" w:hAnsi="Arial" w:cs="Arial"/>
          <w:b/>
          <w:bCs/>
          <w:sz w:val="20"/>
          <w:szCs w:val="20"/>
          <w:u w:val="single"/>
        </w:rPr>
      </w:pPr>
    </w:p>
    <w:p w14:paraId="3C187EEE" w14:textId="77777777" w:rsidR="00ED4694" w:rsidRPr="00B15634" w:rsidRDefault="00ED4694" w:rsidP="00ED4694">
      <w:pPr>
        <w:pStyle w:val="Paragraphedeliste"/>
        <w:numPr>
          <w:ilvl w:val="0"/>
          <w:numId w:val="10"/>
        </w:numPr>
        <w:jc w:val="both"/>
        <w:rPr>
          <w:rFonts w:ascii="Arial" w:hAnsi="Arial" w:cs="Arial"/>
          <w:sz w:val="20"/>
          <w:szCs w:val="20"/>
          <w:u w:val="single"/>
        </w:rPr>
      </w:pPr>
      <w:r w:rsidRPr="00B15634">
        <w:rPr>
          <w:rFonts w:ascii="Arial" w:hAnsi="Arial" w:cs="Arial"/>
          <w:color w:val="00B0F0"/>
          <w:sz w:val="20"/>
          <w:szCs w:val="20"/>
          <w:u w:val="single"/>
        </w:rPr>
        <w:t>Définition</w:t>
      </w:r>
    </w:p>
    <w:p w14:paraId="12CA43B6" w14:textId="77777777" w:rsidR="00ED4694" w:rsidRPr="00B15634" w:rsidRDefault="00ED4694" w:rsidP="00ED4694">
      <w:pPr>
        <w:jc w:val="both"/>
        <w:rPr>
          <w:rFonts w:ascii="Arial" w:hAnsi="Arial" w:cs="Arial"/>
          <w:sz w:val="20"/>
          <w:szCs w:val="20"/>
        </w:rPr>
      </w:pPr>
    </w:p>
    <w:p w14:paraId="74944906"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Il représente 70/75 % des diabètes sucrés.</w:t>
      </w:r>
    </w:p>
    <w:p w14:paraId="77C255F3"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Ca concerne plutôt les sujets d’âge mur. Ils sont obèses pour la plupart. Il est associé à des comportements de déséquilibres alimentaire et de sédentarité. </w:t>
      </w:r>
    </w:p>
    <w:p w14:paraId="75684555" w14:textId="77777777" w:rsidR="00ED4694" w:rsidRPr="00B15634" w:rsidRDefault="00ED4694" w:rsidP="00ED4694">
      <w:pPr>
        <w:jc w:val="both"/>
        <w:rPr>
          <w:rFonts w:ascii="Arial" w:hAnsi="Arial" w:cs="Arial"/>
          <w:sz w:val="20"/>
          <w:szCs w:val="20"/>
        </w:rPr>
      </w:pPr>
    </w:p>
    <w:p w14:paraId="3C38CA09"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Il y a des prédispositions génétiques. On s’en est aperçu au niveau des jumeaux homozygotes : si l’un fait du diabète, l’autre aussi (concordance à 90-100%). Il y a une part d’hérédité et d’appartenance à une ethnicité. 5 à 10% sont des formes monogéniques avec altération de la sécrétion d’insuline DT2 dû à certaines mutations de gène(s) impliqué(s) dans le métabolisme des lipides et/ou des glucides.</w:t>
      </w:r>
    </w:p>
    <w:p w14:paraId="69AB945B"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 </w:t>
      </w:r>
    </w:p>
    <w:p w14:paraId="76676622" w14:textId="77777777" w:rsidR="00ED4694" w:rsidRPr="00B15634" w:rsidRDefault="00ED4694" w:rsidP="00ED4694">
      <w:pPr>
        <w:jc w:val="both"/>
        <w:rPr>
          <w:rFonts w:ascii="Arial" w:hAnsi="Arial" w:cs="Arial"/>
          <w:b/>
          <w:bCs/>
          <w:color w:val="FF0000"/>
          <w:sz w:val="20"/>
          <w:szCs w:val="20"/>
        </w:rPr>
      </w:pPr>
      <w:r w:rsidRPr="00B15634">
        <w:rPr>
          <w:rFonts w:ascii="Arial" w:hAnsi="Arial" w:cs="Arial"/>
          <w:color w:val="FF0000"/>
          <w:sz w:val="20"/>
          <w:szCs w:val="20"/>
        </w:rPr>
        <w:t xml:space="preserve">C’est une hyperglycémie chronique du a un </w:t>
      </w:r>
      <w:r w:rsidRPr="00B15634">
        <w:rPr>
          <w:rFonts w:ascii="Arial" w:hAnsi="Arial" w:cs="Arial"/>
          <w:b/>
          <w:bCs/>
          <w:color w:val="FF0000"/>
          <w:sz w:val="20"/>
          <w:szCs w:val="20"/>
        </w:rPr>
        <w:t>trouble de l’action de l’insuline (= insulinorésistance)</w:t>
      </w:r>
      <w:r w:rsidRPr="00B15634">
        <w:rPr>
          <w:rFonts w:ascii="Arial" w:hAnsi="Arial" w:cs="Arial"/>
          <w:color w:val="FF0000"/>
          <w:sz w:val="20"/>
          <w:szCs w:val="20"/>
        </w:rPr>
        <w:t xml:space="preserve"> et/ou à un </w:t>
      </w:r>
      <w:r w:rsidRPr="00B15634">
        <w:rPr>
          <w:rFonts w:ascii="Arial" w:hAnsi="Arial" w:cs="Arial"/>
          <w:b/>
          <w:bCs/>
          <w:color w:val="FF0000"/>
          <w:sz w:val="20"/>
          <w:szCs w:val="20"/>
        </w:rPr>
        <w:t>trouble de sécrétion de l’insuline</w:t>
      </w:r>
    </w:p>
    <w:p w14:paraId="77C628F3" w14:textId="77777777" w:rsidR="00ED4694" w:rsidRPr="00B15634" w:rsidRDefault="00ED4694" w:rsidP="00ED4694">
      <w:pPr>
        <w:jc w:val="both"/>
        <w:rPr>
          <w:rFonts w:ascii="Arial" w:hAnsi="Arial" w:cs="Arial"/>
          <w:color w:val="FF0000"/>
          <w:sz w:val="20"/>
          <w:szCs w:val="20"/>
        </w:rPr>
      </w:pPr>
    </w:p>
    <w:p w14:paraId="081DE333"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Les autres symptômes cliniques : polyphagie, polyurie et polydipsie, infections cutanéo-muqueuses, signes d’atteintes vasculo-nerveuse des membres inférieurs, complications micro et macroangiopathiques</w:t>
      </w:r>
    </w:p>
    <w:p w14:paraId="7DA1C4CF" w14:textId="77777777" w:rsidR="00ED4694" w:rsidRPr="00B15634" w:rsidRDefault="00ED4694" w:rsidP="00ED4694">
      <w:pPr>
        <w:jc w:val="both"/>
        <w:rPr>
          <w:rFonts w:ascii="Arial" w:hAnsi="Arial" w:cs="Arial"/>
          <w:sz w:val="20"/>
          <w:szCs w:val="20"/>
        </w:rPr>
      </w:pPr>
    </w:p>
    <w:p w14:paraId="42083CA0" w14:textId="77777777" w:rsidR="00ED4694" w:rsidRPr="00B15634" w:rsidRDefault="00ED4694" w:rsidP="00ED4694">
      <w:pPr>
        <w:pStyle w:val="Paragraphedeliste"/>
        <w:numPr>
          <w:ilvl w:val="0"/>
          <w:numId w:val="10"/>
        </w:numPr>
        <w:jc w:val="both"/>
        <w:rPr>
          <w:rFonts w:ascii="Arial" w:hAnsi="Arial" w:cs="Arial"/>
          <w:color w:val="00B0F0"/>
          <w:sz w:val="20"/>
          <w:szCs w:val="20"/>
          <w:u w:val="single"/>
        </w:rPr>
      </w:pPr>
      <w:r w:rsidRPr="00B15634">
        <w:rPr>
          <w:rFonts w:ascii="Arial" w:hAnsi="Arial" w:cs="Arial"/>
          <w:color w:val="00B0F0"/>
          <w:sz w:val="20"/>
          <w:szCs w:val="20"/>
          <w:u w:val="single"/>
        </w:rPr>
        <w:t xml:space="preserve">3 phases évolutives </w:t>
      </w:r>
    </w:p>
    <w:p w14:paraId="510A90AE"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 </w:t>
      </w:r>
    </w:p>
    <w:p w14:paraId="1D5D32CA" w14:textId="77777777" w:rsidR="00ED4694" w:rsidRPr="00B15634" w:rsidRDefault="00ED4694" w:rsidP="00ED4694">
      <w:pPr>
        <w:jc w:val="both"/>
        <w:rPr>
          <w:rFonts w:ascii="Arial" w:hAnsi="Arial" w:cs="Arial"/>
          <w:sz w:val="20"/>
          <w:szCs w:val="20"/>
        </w:rPr>
      </w:pPr>
      <w:r w:rsidRPr="00B15634">
        <w:rPr>
          <w:rFonts w:ascii="Arial" w:hAnsi="Arial" w:cs="Arial"/>
          <w:sz w:val="20"/>
          <w:szCs w:val="20"/>
          <w:u w:val="single"/>
        </w:rPr>
        <w:t>1</w:t>
      </w:r>
      <w:r w:rsidRPr="00B15634">
        <w:rPr>
          <w:rFonts w:ascii="Arial" w:hAnsi="Arial" w:cs="Arial"/>
          <w:sz w:val="20"/>
          <w:szCs w:val="20"/>
          <w:u w:val="single"/>
          <w:vertAlign w:val="superscript"/>
        </w:rPr>
        <w:t>ère</w:t>
      </w:r>
      <w:r w:rsidRPr="00B15634">
        <w:rPr>
          <w:rFonts w:ascii="Arial" w:hAnsi="Arial" w:cs="Arial"/>
          <w:sz w:val="20"/>
          <w:szCs w:val="20"/>
          <w:u w:val="single"/>
        </w:rPr>
        <w:t xml:space="preserve"> phase</w:t>
      </w:r>
      <w:r w:rsidRPr="00B15634">
        <w:rPr>
          <w:rFonts w:ascii="Arial" w:hAnsi="Arial" w:cs="Arial"/>
          <w:sz w:val="20"/>
          <w:szCs w:val="20"/>
        </w:rPr>
        <w:t> : anomalies de la glycorégulation</w:t>
      </w:r>
    </w:p>
    <w:p w14:paraId="1B721F1D"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Phase de </w:t>
      </w:r>
      <w:r w:rsidRPr="00B15634">
        <w:rPr>
          <w:rFonts w:ascii="Arial" w:hAnsi="Arial" w:cs="Arial"/>
          <w:b/>
          <w:bCs/>
          <w:color w:val="FF0000"/>
          <w:sz w:val="20"/>
          <w:szCs w:val="20"/>
        </w:rPr>
        <w:t>prédiabète</w:t>
      </w:r>
      <w:r w:rsidRPr="00B15634">
        <w:rPr>
          <w:rFonts w:ascii="Arial" w:hAnsi="Arial" w:cs="Arial"/>
          <w:color w:val="FF0000"/>
          <w:sz w:val="20"/>
          <w:szCs w:val="20"/>
        </w:rPr>
        <w:t xml:space="preserve"> </w:t>
      </w:r>
      <w:r w:rsidRPr="00B15634">
        <w:rPr>
          <w:rFonts w:ascii="Arial" w:hAnsi="Arial" w:cs="Arial"/>
          <w:sz w:val="20"/>
          <w:szCs w:val="20"/>
        </w:rPr>
        <w:t xml:space="preserve">ou </w:t>
      </w:r>
      <w:r w:rsidRPr="00B15634">
        <w:rPr>
          <w:rFonts w:ascii="Arial" w:hAnsi="Arial" w:cs="Arial"/>
          <w:b/>
          <w:bCs/>
          <w:sz w:val="20"/>
          <w:szCs w:val="20"/>
        </w:rPr>
        <w:t>d’hyperglycémie modérée à jeun</w:t>
      </w:r>
      <w:r w:rsidRPr="00B15634">
        <w:rPr>
          <w:rFonts w:ascii="Arial" w:hAnsi="Arial" w:cs="Arial"/>
          <w:sz w:val="20"/>
          <w:szCs w:val="20"/>
        </w:rPr>
        <w:t> : la glycémie à jeun est au-dessus des normes (6 mmol/L ou 1,1 g/L) mais en dessous de la définition du diabète (7 mmol/L ou 1,26 g/L).</w:t>
      </w:r>
    </w:p>
    <w:p w14:paraId="04206A10"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=&gt;Qualification </w:t>
      </w:r>
      <w:r w:rsidRPr="00B15634">
        <w:rPr>
          <w:rFonts w:ascii="Arial" w:hAnsi="Arial" w:cs="Arial"/>
          <w:b/>
          <w:bCs/>
          <w:sz w:val="20"/>
          <w:szCs w:val="20"/>
        </w:rPr>
        <w:t>d’intolérance au glucose</w:t>
      </w:r>
      <w:r w:rsidRPr="00B15634">
        <w:rPr>
          <w:rFonts w:ascii="Arial" w:hAnsi="Arial" w:cs="Arial"/>
          <w:sz w:val="20"/>
          <w:szCs w:val="20"/>
        </w:rPr>
        <w:t xml:space="preserve"> si 2h après l’HGPO la glycémie est entre 1,4 et 2 g/L. Il n’y a aucun symptôme</w:t>
      </w:r>
    </w:p>
    <w:p w14:paraId="6A91A913" w14:textId="77777777" w:rsidR="00ED4694" w:rsidRPr="00B15634" w:rsidRDefault="00ED4694" w:rsidP="00ED4694">
      <w:pPr>
        <w:jc w:val="both"/>
        <w:rPr>
          <w:rFonts w:ascii="Arial" w:hAnsi="Arial" w:cs="Arial"/>
          <w:sz w:val="20"/>
          <w:szCs w:val="20"/>
        </w:rPr>
      </w:pPr>
    </w:p>
    <w:p w14:paraId="71101FC2" w14:textId="77777777" w:rsidR="00ED4694" w:rsidRPr="00B15634" w:rsidRDefault="00ED4694" w:rsidP="00ED4694">
      <w:pPr>
        <w:jc w:val="both"/>
        <w:rPr>
          <w:rFonts w:ascii="Arial" w:hAnsi="Arial" w:cs="Arial"/>
          <w:sz w:val="20"/>
          <w:szCs w:val="20"/>
        </w:rPr>
      </w:pPr>
      <w:r w:rsidRPr="00B15634">
        <w:rPr>
          <w:rFonts w:ascii="Arial" w:hAnsi="Arial" w:cs="Arial"/>
          <w:sz w:val="20"/>
          <w:szCs w:val="20"/>
          <w:u w:val="single"/>
        </w:rPr>
        <w:t>2</w:t>
      </w:r>
      <w:r w:rsidRPr="00B15634">
        <w:rPr>
          <w:rFonts w:ascii="Arial" w:hAnsi="Arial" w:cs="Arial"/>
          <w:sz w:val="20"/>
          <w:szCs w:val="20"/>
          <w:u w:val="single"/>
          <w:vertAlign w:val="superscript"/>
        </w:rPr>
        <w:t>ème</w:t>
      </w:r>
      <w:r w:rsidRPr="00B15634">
        <w:rPr>
          <w:rFonts w:ascii="Arial" w:hAnsi="Arial" w:cs="Arial"/>
          <w:sz w:val="20"/>
          <w:szCs w:val="20"/>
          <w:u w:val="single"/>
        </w:rPr>
        <w:t xml:space="preserve"> phase</w:t>
      </w:r>
      <w:r w:rsidRPr="00B15634">
        <w:rPr>
          <w:rFonts w:ascii="Arial" w:hAnsi="Arial" w:cs="Arial"/>
          <w:sz w:val="20"/>
          <w:szCs w:val="20"/>
        </w:rPr>
        <w:t> : phase infraclinique asymptomatique</w:t>
      </w:r>
    </w:p>
    <w:p w14:paraId="129F37DC" w14:textId="77777777" w:rsidR="00ED4694" w:rsidRPr="00B15634" w:rsidRDefault="00ED4694" w:rsidP="00ED4694">
      <w:pPr>
        <w:jc w:val="both"/>
        <w:rPr>
          <w:rFonts w:ascii="Arial" w:hAnsi="Arial" w:cs="Arial"/>
          <w:sz w:val="20"/>
          <w:szCs w:val="20"/>
        </w:rPr>
      </w:pPr>
      <w:r w:rsidRPr="00B15634">
        <w:rPr>
          <w:rFonts w:ascii="Arial" w:hAnsi="Arial" w:cs="Arial"/>
          <w:b/>
          <w:bCs/>
          <w:color w:val="FF0000"/>
          <w:sz w:val="20"/>
          <w:szCs w:val="20"/>
        </w:rPr>
        <w:lastRenderedPageBreak/>
        <w:t>Hyperglycémie</w:t>
      </w:r>
      <w:r w:rsidRPr="00B15634">
        <w:rPr>
          <w:rFonts w:ascii="Arial" w:hAnsi="Arial" w:cs="Arial"/>
          <w:color w:val="FF0000"/>
          <w:sz w:val="20"/>
          <w:szCs w:val="20"/>
        </w:rPr>
        <w:t xml:space="preserve"> </w:t>
      </w:r>
      <w:r w:rsidRPr="00B15634">
        <w:rPr>
          <w:rFonts w:ascii="Arial" w:hAnsi="Arial" w:cs="Arial"/>
          <w:sz w:val="20"/>
          <w:szCs w:val="20"/>
        </w:rPr>
        <w:t xml:space="preserve">avérée mais </w:t>
      </w:r>
      <w:r w:rsidRPr="00B15634">
        <w:rPr>
          <w:rFonts w:ascii="Arial" w:hAnsi="Arial" w:cs="Arial"/>
          <w:b/>
          <w:bCs/>
          <w:color w:val="FF0000"/>
          <w:sz w:val="20"/>
          <w:szCs w:val="20"/>
        </w:rPr>
        <w:t>sans symptômes ou complications</w:t>
      </w:r>
    </w:p>
    <w:p w14:paraId="012EB96F" w14:textId="77777777" w:rsidR="00ED4694" w:rsidRPr="00B15634" w:rsidRDefault="00ED4694" w:rsidP="00ED4694">
      <w:pPr>
        <w:jc w:val="both"/>
        <w:rPr>
          <w:rFonts w:ascii="Arial" w:hAnsi="Arial" w:cs="Arial"/>
          <w:sz w:val="20"/>
          <w:szCs w:val="20"/>
        </w:rPr>
      </w:pPr>
    </w:p>
    <w:p w14:paraId="788C87E0" w14:textId="77777777" w:rsidR="00ED4694" w:rsidRPr="00B15634" w:rsidRDefault="00ED4694" w:rsidP="00ED4694">
      <w:pPr>
        <w:jc w:val="both"/>
        <w:rPr>
          <w:rFonts w:ascii="Arial" w:hAnsi="Arial" w:cs="Arial"/>
          <w:sz w:val="20"/>
          <w:szCs w:val="20"/>
          <w:u w:val="single"/>
        </w:rPr>
      </w:pPr>
      <w:r w:rsidRPr="00B15634">
        <w:rPr>
          <w:rFonts w:ascii="Arial" w:hAnsi="Arial" w:cs="Arial"/>
          <w:sz w:val="20"/>
          <w:szCs w:val="20"/>
          <w:u w:val="single"/>
        </w:rPr>
        <w:t>3</w:t>
      </w:r>
      <w:r w:rsidRPr="00B15634">
        <w:rPr>
          <w:rFonts w:ascii="Arial" w:hAnsi="Arial" w:cs="Arial"/>
          <w:sz w:val="20"/>
          <w:szCs w:val="20"/>
          <w:u w:val="single"/>
          <w:vertAlign w:val="superscript"/>
        </w:rPr>
        <w:t xml:space="preserve">ème </w:t>
      </w:r>
      <w:r w:rsidRPr="00B15634">
        <w:rPr>
          <w:rFonts w:ascii="Arial" w:hAnsi="Arial" w:cs="Arial"/>
          <w:sz w:val="20"/>
          <w:szCs w:val="20"/>
          <w:u w:val="single"/>
        </w:rPr>
        <w:t>phase</w:t>
      </w:r>
      <w:r w:rsidRPr="00B15634">
        <w:rPr>
          <w:rFonts w:ascii="Arial" w:hAnsi="Arial" w:cs="Arial"/>
          <w:sz w:val="20"/>
          <w:szCs w:val="20"/>
        </w:rPr>
        <w:t> : phase clinique avec symptômes et complications</w:t>
      </w:r>
    </w:p>
    <w:p w14:paraId="42459131" w14:textId="77777777" w:rsidR="00ED4694" w:rsidRPr="00B15634" w:rsidRDefault="00ED4694" w:rsidP="00ED4694">
      <w:pPr>
        <w:jc w:val="both"/>
        <w:rPr>
          <w:rFonts w:ascii="Arial" w:hAnsi="Arial" w:cs="Arial"/>
          <w:sz w:val="20"/>
          <w:szCs w:val="20"/>
        </w:rPr>
      </w:pPr>
      <w:r w:rsidRPr="00B15634">
        <w:rPr>
          <w:rFonts w:ascii="Arial" w:hAnsi="Arial" w:cs="Arial"/>
          <w:b/>
          <w:bCs/>
          <w:color w:val="FF0000"/>
          <w:sz w:val="20"/>
          <w:szCs w:val="20"/>
        </w:rPr>
        <w:t>Hyperglycémie</w:t>
      </w:r>
      <w:r w:rsidRPr="00B15634">
        <w:rPr>
          <w:rFonts w:ascii="Arial" w:hAnsi="Arial" w:cs="Arial"/>
          <w:color w:val="FF0000"/>
          <w:sz w:val="20"/>
          <w:szCs w:val="20"/>
        </w:rPr>
        <w:t xml:space="preserve"> </w:t>
      </w:r>
      <w:r w:rsidRPr="00B15634">
        <w:rPr>
          <w:rFonts w:ascii="Arial" w:hAnsi="Arial" w:cs="Arial"/>
          <w:sz w:val="20"/>
          <w:szCs w:val="20"/>
        </w:rPr>
        <w:t xml:space="preserve">avérée mais </w:t>
      </w:r>
      <w:r w:rsidRPr="00B15634">
        <w:rPr>
          <w:rFonts w:ascii="Arial" w:hAnsi="Arial" w:cs="Arial"/>
          <w:b/>
          <w:bCs/>
          <w:color w:val="FF0000"/>
          <w:sz w:val="20"/>
          <w:szCs w:val="20"/>
        </w:rPr>
        <w:t>avec symptômes et complications</w:t>
      </w:r>
    </w:p>
    <w:p w14:paraId="01DFCAB7"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Microangiopathies : rétinopathie, néphropathie, neuropathie</w:t>
      </w:r>
    </w:p>
    <w:p w14:paraId="01706DA8"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Microangiopathies : IDM, artérite, AVC</w:t>
      </w:r>
    </w:p>
    <w:p w14:paraId="512B68BA"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Acidocétose</w:t>
      </w:r>
    </w:p>
    <w:p w14:paraId="095D75DE"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Hypoglycémie résultat d’un surdosage en insuline ou en médicaments insulinosecréteurs (début du diabète traité mais mal traité)</w:t>
      </w:r>
    </w:p>
    <w:p w14:paraId="617F8543" w14:textId="77777777" w:rsidR="00ED4694" w:rsidRPr="00B15634" w:rsidRDefault="00ED4694" w:rsidP="00ED4694">
      <w:pPr>
        <w:jc w:val="both"/>
        <w:rPr>
          <w:rFonts w:ascii="Arial" w:hAnsi="Arial" w:cs="Arial"/>
          <w:sz w:val="20"/>
          <w:szCs w:val="20"/>
        </w:rPr>
      </w:pPr>
    </w:p>
    <w:p w14:paraId="74283D58" w14:textId="77777777" w:rsidR="00ED4694" w:rsidRPr="00B15634" w:rsidRDefault="00ED4694" w:rsidP="00ED4694">
      <w:pPr>
        <w:pStyle w:val="Paragraphedeliste"/>
        <w:numPr>
          <w:ilvl w:val="0"/>
          <w:numId w:val="10"/>
        </w:numPr>
        <w:jc w:val="both"/>
        <w:rPr>
          <w:rFonts w:ascii="Arial" w:hAnsi="Arial" w:cs="Arial"/>
          <w:color w:val="00B0F0"/>
          <w:sz w:val="20"/>
          <w:szCs w:val="20"/>
          <w:u w:val="single"/>
        </w:rPr>
      </w:pPr>
      <w:r w:rsidRPr="00B15634">
        <w:rPr>
          <w:rFonts w:ascii="Arial" w:hAnsi="Arial" w:cs="Arial"/>
          <w:color w:val="00B0F0"/>
          <w:sz w:val="20"/>
          <w:szCs w:val="20"/>
          <w:u w:val="single"/>
        </w:rPr>
        <w:t>Mécanique de développement</w:t>
      </w:r>
    </w:p>
    <w:p w14:paraId="46C64949" w14:textId="77777777" w:rsidR="00ED4694" w:rsidRPr="00B15634" w:rsidRDefault="00ED4694" w:rsidP="00ED4694">
      <w:pPr>
        <w:jc w:val="both"/>
        <w:rPr>
          <w:rFonts w:ascii="Arial" w:hAnsi="Arial" w:cs="Arial"/>
          <w:sz w:val="20"/>
          <w:szCs w:val="20"/>
          <w:u w:val="single"/>
        </w:rPr>
      </w:pPr>
    </w:p>
    <w:p w14:paraId="3FF65A26" w14:textId="77777777" w:rsidR="00ED4694" w:rsidRPr="00B15634" w:rsidRDefault="00ED4694" w:rsidP="00ED4694">
      <w:pPr>
        <w:pStyle w:val="Paragraphedeliste"/>
        <w:numPr>
          <w:ilvl w:val="0"/>
          <w:numId w:val="12"/>
        </w:numPr>
        <w:jc w:val="both"/>
        <w:rPr>
          <w:rFonts w:ascii="Arial" w:hAnsi="Arial" w:cs="Arial"/>
          <w:color w:val="ED7D31" w:themeColor="accent2"/>
          <w:sz w:val="20"/>
          <w:szCs w:val="20"/>
        </w:rPr>
      </w:pPr>
      <w:r w:rsidRPr="00B15634">
        <w:rPr>
          <w:rFonts w:ascii="Arial" w:hAnsi="Arial" w:cs="Arial"/>
          <w:color w:val="ED7D31" w:themeColor="accent2"/>
          <w:sz w:val="20"/>
          <w:szCs w:val="20"/>
        </w:rPr>
        <w:t xml:space="preserve">La régulation normale de la glycémie </w:t>
      </w:r>
    </w:p>
    <w:p w14:paraId="68ED3B78" w14:textId="77777777" w:rsidR="00ED4694" w:rsidRPr="00B15634" w:rsidRDefault="00ED4694" w:rsidP="00ED4694">
      <w:pPr>
        <w:jc w:val="both"/>
        <w:rPr>
          <w:rFonts w:ascii="Arial" w:hAnsi="Arial" w:cs="Arial"/>
          <w:color w:val="ED7D31" w:themeColor="accent2"/>
          <w:sz w:val="20"/>
          <w:szCs w:val="20"/>
        </w:rPr>
      </w:pPr>
    </w:p>
    <w:p w14:paraId="700F585C" w14:textId="77777777" w:rsidR="00ED4694" w:rsidRPr="00B15634" w:rsidRDefault="00ED4694" w:rsidP="00ED4694">
      <w:pPr>
        <w:jc w:val="both"/>
        <w:rPr>
          <w:rFonts w:ascii="Arial" w:hAnsi="Arial" w:cs="Arial"/>
          <w:sz w:val="20"/>
          <w:szCs w:val="20"/>
        </w:rPr>
      </w:pPr>
      <w:r w:rsidRPr="00B15634">
        <w:rPr>
          <w:rFonts w:ascii="Arial" w:hAnsi="Arial" w:cs="Arial"/>
          <w:noProof/>
          <w:sz w:val="20"/>
          <w:szCs w:val="20"/>
        </w:rPr>
        <w:drawing>
          <wp:anchor distT="0" distB="0" distL="114300" distR="114300" simplePos="0" relativeHeight="251663360" behindDoc="0" locked="0" layoutInCell="1" allowOverlap="1" wp14:anchorId="3EA3DB6B" wp14:editId="2F257695">
            <wp:simplePos x="0" y="0"/>
            <wp:positionH relativeFrom="column">
              <wp:posOffset>3081655</wp:posOffset>
            </wp:positionH>
            <wp:positionV relativeFrom="paragraph">
              <wp:posOffset>17145</wp:posOffset>
            </wp:positionV>
            <wp:extent cx="3532505" cy="1631950"/>
            <wp:effectExtent l="0" t="0" r="0" b="6350"/>
            <wp:wrapThrough wrapText="bothSides">
              <wp:wrapPolygon edited="0">
                <wp:start x="0" y="0"/>
                <wp:lineTo x="0" y="21432"/>
                <wp:lineTo x="21433" y="21432"/>
                <wp:lineTo x="21433" y="0"/>
                <wp:lineTo x="0" y="0"/>
              </wp:wrapPolygon>
            </wp:wrapThrough>
            <wp:docPr id="3474336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33641" name=""/>
                    <pic:cNvPicPr/>
                  </pic:nvPicPr>
                  <pic:blipFill>
                    <a:blip r:embed="rId9">
                      <a:extLst>
                        <a:ext uri="{28A0092B-C50C-407E-A947-70E740481C1C}">
                          <a14:useLocalDpi xmlns:a14="http://schemas.microsoft.com/office/drawing/2010/main" val="0"/>
                        </a:ext>
                      </a:extLst>
                    </a:blip>
                    <a:stretch>
                      <a:fillRect/>
                    </a:stretch>
                  </pic:blipFill>
                  <pic:spPr>
                    <a:xfrm>
                      <a:off x="0" y="0"/>
                      <a:ext cx="3532505" cy="1631950"/>
                    </a:xfrm>
                    <a:prstGeom prst="rect">
                      <a:avLst/>
                    </a:prstGeom>
                  </pic:spPr>
                </pic:pic>
              </a:graphicData>
            </a:graphic>
            <wp14:sizeRelH relativeFrom="margin">
              <wp14:pctWidth>0</wp14:pctWidth>
            </wp14:sizeRelH>
            <wp14:sizeRelV relativeFrom="margin">
              <wp14:pctHeight>0</wp14:pctHeight>
            </wp14:sizeRelV>
          </wp:anchor>
        </w:drawing>
      </w:r>
      <w:r w:rsidRPr="00B15634">
        <w:rPr>
          <w:rFonts w:ascii="Arial" w:hAnsi="Arial" w:cs="Arial"/>
          <w:noProof/>
          <w:sz w:val="20"/>
          <w:szCs w:val="20"/>
        </w:rPr>
        <w:drawing>
          <wp:inline distT="0" distB="0" distL="0" distR="0" wp14:anchorId="4B42FC62" wp14:editId="63D915AA">
            <wp:extent cx="2674380" cy="1641991"/>
            <wp:effectExtent l="0" t="0" r="5715" b="0"/>
            <wp:docPr id="20417504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750474" name=""/>
                    <pic:cNvPicPr/>
                  </pic:nvPicPr>
                  <pic:blipFill>
                    <a:blip r:embed="rId10"/>
                    <a:stretch>
                      <a:fillRect/>
                    </a:stretch>
                  </pic:blipFill>
                  <pic:spPr>
                    <a:xfrm>
                      <a:off x="0" y="0"/>
                      <a:ext cx="2694879" cy="1654577"/>
                    </a:xfrm>
                    <a:prstGeom prst="rect">
                      <a:avLst/>
                    </a:prstGeom>
                  </pic:spPr>
                </pic:pic>
              </a:graphicData>
            </a:graphic>
          </wp:inline>
        </w:drawing>
      </w:r>
      <w:r w:rsidRPr="00B15634">
        <w:rPr>
          <w:rFonts w:ascii="Arial" w:hAnsi="Arial" w:cs="Arial"/>
          <w:noProof/>
          <w:sz w:val="20"/>
          <w:szCs w:val="20"/>
        </w:rPr>
        <w:t xml:space="preserve"> </w:t>
      </w:r>
    </w:p>
    <w:p w14:paraId="17BDC599" w14:textId="77777777" w:rsidR="00ED4694" w:rsidRPr="00B15634" w:rsidRDefault="00ED4694" w:rsidP="00ED4694">
      <w:pPr>
        <w:jc w:val="both"/>
        <w:rPr>
          <w:rFonts w:ascii="Arial" w:hAnsi="Arial" w:cs="Arial"/>
          <w:sz w:val="20"/>
          <w:szCs w:val="20"/>
        </w:rPr>
      </w:pPr>
    </w:p>
    <w:p w14:paraId="665241F1" w14:textId="77777777" w:rsidR="00ED4694" w:rsidRPr="00B15634" w:rsidRDefault="00ED4694" w:rsidP="00ED4694">
      <w:pPr>
        <w:pStyle w:val="Paragraphedeliste"/>
        <w:numPr>
          <w:ilvl w:val="0"/>
          <w:numId w:val="12"/>
        </w:numPr>
        <w:jc w:val="both"/>
        <w:rPr>
          <w:rFonts w:ascii="Arial" w:hAnsi="Arial" w:cs="Arial"/>
          <w:color w:val="ED7D31" w:themeColor="accent2"/>
          <w:sz w:val="20"/>
          <w:szCs w:val="20"/>
        </w:rPr>
      </w:pPr>
      <w:r w:rsidRPr="00B15634">
        <w:rPr>
          <w:rFonts w:ascii="Arial" w:hAnsi="Arial" w:cs="Arial"/>
          <w:color w:val="ED7D31" w:themeColor="accent2"/>
          <w:sz w:val="20"/>
          <w:szCs w:val="20"/>
        </w:rPr>
        <w:t xml:space="preserve">Mise en place du DT2 par insulinorésistance </w:t>
      </w:r>
    </w:p>
    <w:p w14:paraId="7CB89FB3" w14:textId="77777777" w:rsidR="00ED4694" w:rsidRPr="00B15634" w:rsidRDefault="00ED4694" w:rsidP="00ED4694">
      <w:pPr>
        <w:jc w:val="both"/>
        <w:rPr>
          <w:rFonts w:ascii="Arial" w:hAnsi="Arial" w:cs="Arial"/>
          <w:color w:val="ED7D31" w:themeColor="accent2"/>
          <w:sz w:val="20"/>
          <w:szCs w:val="20"/>
        </w:rPr>
      </w:pPr>
    </w:p>
    <w:p w14:paraId="51D39E79"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Par l’action de l’insuline. Lié à une alimentation trop chargée en glucose et lipide. On apporte de manière chronique un excès de glucose à notre corps. Notre organisme secrète de l’insuline mais les </w:t>
      </w:r>
      <w:r w:rsidRPr="00B15634">
        <w:rPr>
          <w:rFonts w:ascii="Arial" w:hAnsi="Arial" w:cs="Arial"/>
          <w:b/>
          <w:bCs/>
          <w:sz w:val="20"/>
          <w:szCs w:val="20"/>
        </w:rPr>
        <w:t>organes absorbent davantage les acides gras que le glucose</w:t>
      </w:r>
      <w:r w:rsidRPr="00B15634">
        <w:rPr>
          <w:rFonts w:ascii="Arial" w:hAnsi="Arial" w:cs="Arial"/>
          <w:sz w:val="20"/>
          <w:szCs w:val="20"/>
        </w:rPr>
        <w:t xml:space="preserve">. Il y a des </w:t>
      </w:r>
      <w:r w:rsidRPr="00B15634">
        <w:rPr>
          <w:rFonts w:ascii="Arial" w:hAnsi="Arial" w:cs="Arial"/>
          <w:b/>
          <w:bCs/>
          <w:sz w:val="20"/>
          <w:szCs w:val="20"/>
        </w:rPr>
        <w:t>méga stocks de triglycérides et de glycogène dans le foie (= stéatose hépatique</w:t>
      </w:r>
      <w:r w:rsidRPr="00B15634">
        <w:rPr>
          <w:rFonts w:ascii="Arial" w:hAnsi="Arial" w:cs="Arial"/>
          <w:sz w:val="20"/>
          <w:szCs w:val="20"/>
        </w:rPr>
        <w:t xml:space="preserve">) et de </w:t>
      </w:r>
      <w:r w:rsidRPr="00B15634">
        <w:rPr>
          <w:rFonts w:ascii="Arial" w:hAnsi="Arial" w:cs="Arial"/>
          <w:b/>
          <w:bCs/>
          <w:sz w:val="20"/>
          <w:szCs w:val="20"/>
        </w:rPr>
        <w:t>triglycérides dans le tissu adipeux</w:t>
      </w:r>
      <w:r w:rsidRPr="00B15634">
        <w:rPr>
          <w:rFonts w:ascii="Arial" w:hAnsi="Arial" w:cs="Arial"/>
          <w:sz w:val="20"/>
          <w:szCs w:val="20"/>
        </w:rPr>
        <w:t xml:space="preserve">. On préfère utiliser les AG que le glucose. Donc l’organisme se dit que l’insuline ne marche pas. C’est une </w:t>
      </w:r>
      <w:r w:rsidRPr="00B15634">
        <w:rPr>
          <w:rFonts w:ascii="Arial" w:hAnsi="Arial" w:cs="Arial"/>
          <w:b/>
          <w:bCs/>
          <w:color w:val="FF0000"/>
          <w:sz w:val="20"/>
          <w:szCs w:val="20"/>
        </w:rPr>
        <w:t>perte d’insensibilité à l’insuline</w:t>
      </w:r>
      <w:r w:rsidRPr="00B15634">
        <w:rPr>
          <w:rFonts w:ascii="Arial" w:hAnsi="Arial" w:cs="Arial"/>
          <w:sz w:val="20"/>
          <w:szCs w:val="20"/>
        </w:rPr>
        <w:t xml:space="preserve">. Face à ça, le corps en secrète plus. On arrive à un </w:t>
      </w:r>
      <w:r w:rsidRPr="00B15634">
        <w:rPr>
          <w:rFonts w:ascii="Arial" w:hAnsi="Arial" w:cs="Arial"/>
          <w:b/>
          <w:bCs/>
          <w:sz w:val="20"/>
          <w:szCs w:val="20"/>
        </w:rPr>
        <w:t>hyperinsulinisme</w:t>
      </w:r>
      <w:r w:rsidRPr="00B15634">
        <w:rPr>
          <w:rFonts w:ascii="Arial" w:hAnsi="Arial" w:cs="Arial"/>
          <w:sz w:val="20"/>
          <w:szCs w:val="20"/>
        </w:rPr>
        <w:t xml:space="preserve">. Ça marche au début mais la perte de sensibilité à l’insuline s’accroit. </w:t>
      </w:r>
    </w:p>
    <w:p w14:paraId="3E7358F4" w14:textId="77777777" w:rsidR="00ED4694" w:rsidRPr="00B15634" w:rsidRDefault="00ED4694" w:rsidP="00ED4694">
      <w:pPr>
        <w:pStyle w:val="Paragraphedeliste"/>
        <w:numPr>
          <w:ilvl w:val="0"/>
          <w:numId w:val="8"/>
        </w:numPr>
        <w:jc w:val="both"/>
        <w:rPr>
          <w:rFonts w:ascii="Arial" w:hAnsi="Arial" w:cs="Arial"/>
          <w:sz w:val="20"/>
          <w:szCs w:val="20"/>
        </w:rPr>
      </w:pPr>
      <w:r w:rsidRPr="00B15634">
        <w:rPr>
          <w:rFonts w:ascii="Arial" w:hAnsi="Arial" w:cs="Arial"/>
          <w:sz w:val="20"/>
          <w:szCs w:val="20"/>
        </w:rPr>
        <w:t xml:space="preserve">Apparition d’une </w:t>
      </w:r>
      <w:r w:rsidRPr="00B15634">
        <w:rPr>
          <w:rFonts w:ascii="Arial" w:hAnsi="Arial" w:cs="Arial"/>
          <w:b/>
          <w:bCs/>
          <w:color w:val="FF0000"/>
          <w:sz w:val="20"/>
          <w:szCs w:val="20"/>
        </w:rPr>
        <w:t>insulinorésistance</w:t>
      </w:r>
      <w:r w:rsidRPr="00B15634">
        <w:rPr>
          <w:rFonts w:ascii="Arial" w:hAnsi="Arial" w:cs="Arial"/>
          <w:sz w:val="20"/>
          <w:szCs w:val="20"/>
        </w:rPr>
        <w:t xml:space="preserve">, arrivé à un point ou l’insuline ne fonctionne même plus </w:t>
      </w:r>
    </w:p>
    <w:p w14:paraId="6A28700A"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Les tissus périphériques manquent, eux, de glucose. Il y a donc une lipolyse des tissus adipeux = excès d’AG libres donc </w:t>
      </w:r>
      <w:r w:rsidRPr="00B15634">
        <w:rPr>
          <w:rFonts w:ascii="Arial" w:hAnsi="Arial" w:cs="Arial"/>
          <w:b/>
          <w:bCs/>
          <w:color w:val="FF0000"/>
          <w:sz w:val="20"/>
          <w:szCs w:val="20"/>
        </w:rPr>
        <w:t>lipotoxicité</w:t>
      </w:r>
      <w:r w:rsidRPr="00B15634">
        <w:rPr>
          <w:rFonts w:ascii="Arial" w:hAnsi="Arial" w:cs="Arial"/>
          <w:sz w:val="20"/>
          <w:szCs w:val="20"/>
        </w:rPr>
        <w:t xml:space="preserve">. Il y a moins de capture et de stockage du glucose dans les muscles, une désinhibition de la néoglucogenèse et accumulation de glucose = </w:t>
      </w:r>
      <w:r w:rsidRPr="00B15634">
        <w:rPr>
          <w:rFonts w:ascii="Arial" w:hAnsi="Arial" w:cs="Arial"/>
          <w:b/>
          <w:bCs/>
          <w:color w:val="FF0000"/>
          <w:sz w:val="20"/>
          <w:szCs w:val="20"/>
        </w:rPr>
        <w:t>glucotoxicité</w:t>
      </w:r>
      <w:r w:rsidRPr="00B15634">
        <w:rPr>
          <w:rFonts w:ascii="Arial" w:hAnsi="Arial" w:cs="Arial"/>
          <w:color w:val="FF0000"/>
          <w:sz w:val="20"/>
          <w:szCs w:val="20"/>
        </w:rPr>
        <w:t xml:space="preserve"> </w:t>
      </w:r>
      <w:r w:rsidRPr="00B15634">
        <w:rPr>
          <w:rFonts w:ascii="Arial" w:hAnsi="Arial" w:cs="Arial"/>
          <w:sz w:val="20"/>
          <w:szCs w:val="20"/>
        </w:rPr>
        <w:t>qui aggrave l’insulinorésistance.</w:t>
      </w:r>
    </w:p>
    <w:p w14:paraId="2C5F22F3"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=&gt;</w:t>
      </w:r>
      <w:r w:rsidRPr="00B15634">
        <w:rPr>
          <w:rFonts w:ascii="Arial" w:hAnsi="Arial" w:cs="Arial"/>
          <w:b/>
          <w:bCs/>
          <w:sz w:val="20"/>
          <w:szCs w:val="20"/>
        </w:rPr>
        <w:t xml:space="preserve">La glycémie n’est plus contrôlée, hyperglycémie chronique = </w:t>
      </w:r>
      <w:r w:rsidRPr="00B15634">
        <w:rPr>
          <w:rFonts w:ascii="Arial" w:hAnsi="Arial" w:cs="Arial"/>
          <w:b/>
          <w:bCs/>
          <w:color w:val="FF0000"/>
          <w:sz w:val="20"/>
          <w:szCs w:val="20"/>
        </w:rPr>
        <w:t xml:space="preserve">DT2 </w:t>
      </w:r>
    </w:p>
    <w:p w14:paraId="58CC8CA8" w14:textId="77777777" w:rsidR="00ED4694" w:rsidRPr="00B15634" w:rsidRDefault="00ED4694" w:rsidP="00ED4694">
      <w:pPr>
        <w:jc w:val="both"/>
        <w:rPr>
          <w:rFonts w:ascii="Arial" w:hAnsi="Arial" w:cs="Arial"/>
          <w:sz w:val="20"/>
          <w:szCs w:val="20"/>
        </w:rPr>
      </w:pPr>
    </w:p>
    <w:p w14:paraId="3A3CF4B4"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Au bout d’un moment le pancréas s’épuise donc il arrête de secréter de l’insuline (</w:t>
      </w:r>
      <w:r w:rsidRPr="00B15634">
        <w:rPr>
          <w:rFonts w:ascii="Arial" w:hAnsi="Arial" w:cs="Arial"/>
          <w:b/>
          <w:bCs/>
          <w:sz w:val="20"/>
          <w:szCs w:val="20"/>
        </w:rPr>
        <w:t>diminution quantitative = insulinopénie</w:t>
      </w:r>
      <w:r w:rsidRPr="00B15634">
        <w:rPr>
          <w:rFonts w:ascii="Arial" w:hAnsi="Arial" w:cs="Arial"/>
          <w:sz w:val="20"/>
          <w:szCs w:val="20"/>
        </w:rPr>
        <w:t>) qui de toute façon ne marche plus (</w:t>
      </w:r>
      <w:r w:rsidRPr="00B15634">
        <w:rPr>
          <w:rFonts w:ascii="Arial" w:hAnsi="Arial" w:cs="Arial"/>
          <w:b/>
          <w:bCs/>
          <w:sz w:val="20"/>
          <w:szCs w:val="20"/>
        </w:rPr>
        <w:t>diminution qualitative</w:t>
      </w:r>
      <w:r w:rsidRPr="00B15634">
        <w:rPr>
          <w:rFonts w:ascii="Arial" w:hAnsi="Arial" w:cs="Arial"/>
          <w:sz w:val="20"/>
          <w:szCs w:val="20"/>
        </w:rPr>
        <w:t>)</w:t>
      </w:r>
    </w:p>
    <w:p w14:paraId="4F8477E7" w14:textId="77777777" w:rsidR="00ED4694" w:rsidRPr="00B15634" w:rsidRDefault="00ED4694" w:rsidP="00ED4694">
      <w:pPr>
        <w:jc w:val="both"/>
        <w:rPr>
          <w:rFonts w:ascii="Arial" w:hAnsi="Arial" w:cs="Arial"/>
          <w:sz w:val="20"/>
          <w:szCs w:val="20"/>
        </w:rPr>
      </w:pPr>
    </w:p>
    <w:p w14:paraId="27F8C2F1" w14:textId="77777777" w:rsidR="00ED4694" w:rsidRPr="00B15634" w:rsidRDefault="00ED4694" w:rsidP="00ED4694">
      <w:pPr>
        <w:pStyle w:val="Paragraphedeliste"/>
        <w:numPr>
          <w:ilvl w:val="0"/>
          <w:numId w:val="12"/>
        </w:numPr>
        <w:jc w:val="both"/>
        <w:rPr>
          <w:rFonts w:ascii="Arial" w:hAnsi="Arial" w:cs="Arial"/>
          <w:color w:val="ED7D31" w:themeColor="accent2"/>
          <w:sz w:val="20"/>
          <w:szCs w:val="20"/>
        </w:rPr>
      </w:pPr>
      <w:r w:rsidRPr="00B15634">
        <w:rPr>
          <w:rFonts w:ascii="Arial" w:hAnsi="Arial" w:cs="Arial"/>
          <w:color w:val="ED7D31" w:themeColor="accent2"/>
          <w:sz w:val="20"/>
          <w:szCs w:val="20"/>
        </w:rPr>
        <w:t>Mise en place du DT2 par déficit de l’insulinosécrétion</w:t>
      </w:r>
    </w:p>
    <w:p w14:paraId="0D5B7238" w14:textId="77777777" w:rsidR="00ED4694" w:rsidRPr="00B15634" w:rsidRDefault="00ED4694" w:rsidP="00ED4694">
      <w:pPr>
        <w:jc w:val="both"/>
        <w:rPr>
          <w:rFonts w:ascii="Arial" w:hAnsi="Arial" w:cs="Arial"/>
          <w:color w:val="ED7D31" w:themeColor="accent2"/>
          <w:sz w:val="20"/>
          <w:szCs w:val="20"/>
        </w:rPr>
      </w:pPr>
    </w:p>
    <w:p w14:paraId="08397995"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Génétiquement, </w:t>
      </w:r>
      <w:r w:rsidRPr="00B15634">
        <w:rPr>
          <w:rFonts w:ascii="Arial" w:hAnsi="Arial" w:cs="Arial"/>
          <w:b/>
          <w:bCs/>
          <w:sz w:val="20"/>
          <w:szCs w:val="20"/>
        </w:rPr>
        <w:t>déficit de la sécrétion d’insuline = insulinopénie</w:t>
      </w:r>
    </w:p>
    <w:p w14:paraId="1FF9F530"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Impossibilité de prendre correctement en charge le glucose, le glucose s’accumule </w:t>
      </w:r>
    </w:p>
    <w:p w14:paraId="534004C8" w14:textId="77777777" w:rsidR="00ED4694" w:rsidRPr="00B15634" w:rsidRDefault="00ED4694" w:rsidP="00ED4694">
      <w:pPr>
        <w:pStyle w:val="Paragraphedeliste"/>
        <w:numPr>
          <w:ilvl w:val="0"/>
          <w:numId w:val="8"/>
        </w:numPr>
        <w:jc w:val="both"/>
        <w:rPr>
          <w:rFonts w:ascii="Arial" w:hAnsi="Arial" w:cs="Arial"/>
          <w:b/>
          <w:bCs/>
          <w:sz w:val="20"/>
          <w:szCs w:val="20"/>
        </w:rPr>
      </w:pPr>
      <w:r w:rsidRPr="00B15634">
        <w:rPr>
          <w:rFonts w:ascii="Arial" w:hAnsi="Arial" w:cs="Arial"/>
          <w:b/>
          <w:bCs/>
          <w:sz w:val="20"/>
          <w:szCs w:val="20"/>
        </w:rPr>
        <w:t xml:space="preserve">Hyperglycémie chronique = </w:t>
      </w:r>
      <w:r w:rsidRPr="00B15634">
        <w:rPr>
          <w:rFonts w:ascii="Arial" w:hAnsi="Arial" w:cs="Arial"/>
          <w:b/>
          <w:bCs/>
          <w:color w:val="FF0000"/>
          <w:sz w:val="20"/>
          <w:szCs w:val="20"/>
        </w:rPr>
        <w:t>DT2</w:t>
      </w:r>
    </w:p>
    <w:p w14:paraId="5A045E65" w14:textId="77777777" w:rsidR="00ED4694" w:rsidRPr="00B15634" w:rsidRDefault="00ED4694" w:rsidP="00ED4694">
      <w:pPr>
        <w:jc w:val="both"/>
        <w:rPr>
          <w:rFonts w:ascii="Arial" w:hAnsi="Arial" w:cs="Arial"/>
          <w:b/>
          <w:bCs/>
          <w:sz w:val="20"/>
          <w:szCs w:val="20"/>
        </w:rPr>
      </w:pPr>
    </w:p>
    <w:p w14:paraId="74A63E8D" w14:textId="77777777" w:rsidR="00ED4694" w:rsidRPr="00B15634" w:rsidRDefault="00ED4694" w:rsidP="00ED4694">
      <w:pPr>
        <w:pStyle w:val="Paragraphedeliste"/>
        <w:numPr>
          <w:ilvl w:val="0"/>
          <w:numId w:val="12"/>
        </w:numPr>
        <w:jc w:val="both"/>
        <w:rPr>
          <w:rFonts w:ascii="Arial" w:hAnsi="Arial" w:cs="Arial"/>
          <w:color w:val="ED7D31" w:themeColor="accent2"/>
          <w:sz w:val="20"/>
          <w:szCs w:val="20"/>
        </w:rPr>
      </w:pPr>
      <w:r w:rsidRPr="00B15634">
        <w:rPr>
          <w:rFonts w:ascii="Arial" w:hAnsi="Arial" w:cs="Arial"/>
          <w:color w:val="ED7D31" w:themeColor="accent2"/>
          <w:sz w:val="20"/>
          <w:szCs w:val="20"/>
        </w:rPr>
        <w:t>Aggravation du DT2 : cercle vicieux</w:t>
      </w:r>
    </w:p>
    <w:p w14:paraId="28BA9CB6" w14:textId="77777777" w:rsidR="00ED4694" w:rsidRDefault="00ED4694" w:rsidP="00ED4694">
      <w:pPr>
        <w:jc w:val="center"/>
        <w:rPr>
          <w:rFonts w:ascii="Arial" w:hAnsi="Arial" w:cs="Arial"/>
          <w:sz w:val="20"/>
          <w:szCs w:val="20"/>
        </w:rPr>
      </w:pPr>
    </w:p>
    <w:p w14:paraId="1A1AC4C4" w14:textId="77777777" w:rsidR="00ED4694" w:rsidRPr="00B15634" w:rsidRDefault="00ED4694" w:rsidP="00ED4694">
      <w:pPr>
        <w:jc w:val="center"/>
        <w:rPr>
          <w:rFonts w:ascii="Arial" w:hAnsi="Arial" w:cs="Arial"/>
          <w:sz w:val="20"/>
          <w:szCs w:val="20"/>
        </w:rPr>
      </w:pPr>
      <w:r w:rsidRPr="00B15634">
        <w:rPr>
          <w:rFonts w:ascii="Arial" w:hAnsi="Arial" w:cs="Arial"/>
          <w:noProof/>
          <w:sz w:val="20"/>
          <w:szCs w:val="20"/>
        </w:rPr>
        <w:drawing>
          <wp:inline distT="0" distB="0" distL="0" distR="0" wp14:anchorId="1A210156" wp14:editId="7F3D0D44">
            <wp:extent cx="3726065" cy="2004015"/>
            <wp:effectExtent l="0" t="0" r="0" b="3175"/>
            <wp:docPr id="5244117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411740" name=""/>
                    <pic:cNvPicPr/>
                  </pic:nvPicPr>
                  <pic:blipFill>
                    <a:blip r:embed="rId11"/>
                    <a:stretch>
                      <a:fillRect/>
                    </a:stretch>
                  </pic:blipFill>
                  <pic:spPr>
                    <a:xfrm>
                      <a:off x="0" y="0"/>
                      <a:ext cx="3754394" cy="2019251"/>
                    </a:xfrm>
                    <a:prstGeom prst="rect">
                      <a:avLst/>
                    </a:prstGeom>
                  </pic:spPr>
                </pic:pic>
              </a:graphicData>
            </a:graphic>
          </wp:inline>
        </w:drawing>
      </w:r>
    </w:p>
    <w:p w14:paraId="0FFB5418" w14:textId="77777777" w:rsidR="00ED4694" w:rsidRPr="00B15634" w:rsidRDefault="00ED4694" w:rsidP="00ED4694">
      <w:pPr>
        <w:rPr>
          <w:rFonts w:ascii="Arial" w:hAnsi="Arial" w:cs="Arial"/>
          <w:color w:val="ED7D31" w:themeColor="accent2"/>
          <w:sz w:val="20"/>
          <w:szCs w:val="20"/>
        </w:rPr>
      </w:pPr>
    </w:p>
    <w:p w14:paraId="37D5DBBC" w14:textId="77777777" w:rsidR="00ED4694" w:rsidRPr="00B15634" w:rsidRDefault="00ED4694" w:rsidP="00ED4694">
      <w:pPr>
        <w:pStyle w:val="Paragraphedeliste"/>
        <w:numPr>
          <w:ilvl w:val="0"/>
          <w:numId w:val="12"/>
        </w:numPr>
        <w:rPr>
          <w:rFonts w:ascii="Arial" w:hAnsi="Arial" w:cs="Arial"/>
          <w:color w:val="ED7D31" w:themeColor="accent2"/>
          <w:sz w:val="20"/>
          <w:szCs w:val="20"/>
        </w:rPr>
      </w:pPr>
      <w:r w:rsidRPr="00B15634">
        <w:rPr>
          <w:rFonts w:ascii="Arial" w:hAnsi="Arial" w:cs="Arial"/>
          <w:color w:val="ED7D31" w:themeColor="accent2"/>
          <w:sz w:val="20"/>
          <w:szCs w:val="20"/>
        </w:rPr>
        <w:lastRenderedPageBreak/>
        <w:t>Schéma bilan de la mise en place du DT2</w:t>
      </w:r>
    </w:p>
    <w:p w14:paraId="225B8BEC" w14:textId="77777777" w:rsidR="00ED4694" w:rsidRPr="00B15634" w:rsidRDefault="00ED4694" w:rsidP="00ED4694">
      <w:pPr>
        <w:jc w:val="center"/>
        <w:rPr>
          <w:rFonts w:ascii="Arial" w:hAnsi="Arial" w:cs="Arial"/>
          <w:sz w:val="20"/>
          <w:szCs w:val="20"/>
        </w:rPr>
      </w:pPr>
      <w:r w:rsidRPr="00B15634">
        <w:rPr>
          <w:rFonts w:ascii="Arial" w:hAnsi="Arial" w:cs="Arial"/>
          <w:noProof/>
          <w:sz w:val="20"/>
          <w:szCs w:val="20"/>
        </w:rPr>
        <w:drawing>
          <wp:inline distT="0" distB="0" distL="0" distR="0" wp14:anchorId="6432DF6A" wp14:editId="0EB1CD23">
            <wp:extent cx="2638756" cy="1963882"/>
            <wp:effectExtent l="0" t="0" r="3175" b="5080"/>
            <wp:docPr id="909613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1350" name=""/>
                    <pic:cNvPicPr/>
                  </pic:nvPicPr>
                  <pic:blipFill>
                    <a:blip r:embed="rId12"/>
                    <a:stretch>
                      <a:fillRect/>
                    </a:stretch>
                  </pic:blipFill>
                  <pic:spPr>
                    <a:xfrm>
                      <a:off x="0" y="0"/>
                      <a:ext cx="2651743" cy="1973547"/>
                    </a:xfrm>
                    <a:prstGeom prst="rect">
                      <a:avLst/>
                    </a:prstGeom>
                  </pic:spPr>
                </pic:pic>
              </a:graphicData>
            </a:graphic>
          </wp:inline>
        </w:drawing>
      </w:r>
    </w:p>
    <w:p w14:paraId="2D13A14C" w14:textId="77777777" w:rsidR="00ED4694" w:rsidRPr="00B15634" w:rsidRDefault="00ED4694" w:rsidP="00ED4694">
      <w:pPr>
        <w:rPr>
          <w:rFonts w:ascii="Arial" w:hAnsi="Arial" w:cs="Arial"/>
          <w:sz w:val="20"/>
          <w:szCs w:val="20"/>
        </w:rPr>
      </w:pPr>
    </w:p>
    <w:p w14:paraId="651F9BCD" w14:textId="77777777" w:rsidR="00ED4694" w:rsidRPr="00B15634" w:rsidRDefault="00ED4694" w:rsidP="00ED4694">
      <w:pPr>
        <w:pStyle w:val="Paragraphedeliste"/>
        <w:numPr>
          <w:ilvl w:val="0"/>
          <w:numId w:val="10"/>
        </w:numPr>
        <w:rPr>
          <w:rFonts w:ascii="Arial" w:hAnsi="Arial" w:cs="Arial"/>
          <w:color w:val="00B0F0"/>
          <w:sz w:val="20"/>
          <w:szCs w:val="20"/>
          <w:u w:val="single"/>
        </w:rPr>
      </w:pPr>
      <w:r w:rsidRPr="00B15634">
        <w:rPr>
          <w:rFonts w:ascii="Arial" w:hAnsi="Arial" w:cs="Arial"/>
          <w:color w:val="00B0F0"/>
          <w:sz w:val="20"/>
          <w:szCs w:val="20"/>
          <w:u w:val="single"/>
        </w:rPr>
        <w:t>Facteurs de risque</w:t>
      </w:r>
    </w:p>
    <w:p w14:paraId="08A8F459" w14:textId="77777777" w:rsidR="00ED4694" w:rsidRPr="00B15634" w:rsidRDefault="00ED4694" w:rsidP="00ED4694">
      <w:pPr>
        <w:jc w:val="both"/>
        <w:rPr>
          <w:rFonts w:ascii="Arial" w:hAnsi="Arial" w:cs="Arial"/>
          <w:sz w:val="20"/>
          <w:szCs w:val="20"/>
        </w:rPr>
      </w:pPr>
    </w:p>
    <w:p w14:paraId="54B2AAE2" w14:textId="77777777" w:rsidR="00ED4694" w:rsidRPr="00B15634" w:rsidRDefault="00ED4694" w:rsidP="00ED4694">
      <w:pPr>
        <w:jc w:val="both"/>
        <w:rPr>
          <w:rFonts w:ascii="Arial" w:hAnsi="Arial" w:cs="Arial"/>
          <w:sz w:val="20"/>
          <w:szCs w:val="20"/>
        </w:rPr>
      </w:pPr>
      <w:r w:rsidRPr="00B15634">
        <w:rPr>
          <w:rFonts w:ascii="Arial" w:hAnsi="Arial" w:cs="Arial"/>
          <w:sz w:val="20"/>
          <w:szCs w:val="20"/>
        </w:rPr>
        <w:t xml:space="preserve">On trouve des facteurs </w:t>
      </w:r>
      <w:r w:rsidRPr="00B15634">
        <w:rPr>
          <w:rFonts w:ascii="Arial" w:hAnsi="Arial" w:cs="Arial"/>
          <w:b/>
          <w:bCs/>
          <w:sz w:val="20"/>
          <w:szCs w:val="20"/>
        </w:rPr>
        <w:t>non modifiables</w:t>
      </w:r>
      <w:r w:rsidRPr="00B15634">
        <w:rPr>
          <w:rFonts w:ascii="Arial" w:hAnsi="Arial" w:cs="Arial"/>
          <w:sz w:val="20"/>
          <w:szCs w:val="20"/>
        </w:rPr>
        <w:t xml:space="preserve"> comme le sexe, l’âge, les facteurs héréditaires et des facteurs </w:t>
      </w:r>
      <w:r w:rsidRPr="00B15634">
        <w:rPr>
          <w:rFonts w:ascii="Arial" w:hAnsi="Arial" w:cs="Arial"/>
          <w:b/>
          <w:bCs/>
          <w:sz w:val="20"/>
          <w:szCs w:val="20"/>
        </w:rPr>
        <w:t>modifiables</w:t>
      </w:r>
      <w:r w:rsidRPr="00B15634">
        <w:rPr>
          <w:rFonts w:ascii="Arial" w:hAnsi="Arial" w:cs="Arial"/>
          <w:sz w:val="20"/>
          <w:szCs w:val="20"/>
        </w:rPr>
        <w:t xml:space="preserve"> (obésité abdominale, sédentarité, tabagisme, hypertension artérielle, risque cardiovasculaire, stress, hypercholestérolémie). </w:t>
      </w:r>
      <w:r w:rsidRPr="00B15634">
        <w:rPr>
          <w:rFonts w:ascii="Arial" w:hAnsi="Arial" w:cs="Arial"/>
          <w:sz w:val="20"/>
          <w:szCs w:val="20"/>
        </w:rPr>
        <w:br/>
        <w:t xml:space="preserve">Le syndrome métabolique est défini par au moins 3 de ces 5 critères : </w:t>
      </w:r>
    </w:p>
    <w:p w14:paraId="655294EA"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b/>
          <w:bCs/>
          <w:sz w:val="20"/>
          <w:szCs w:val="20"/>
        </w:rPr>
        <w:t>Obésité abdominale</w:t>
      </w:r>
      <w:r w:rsidRPr="00B15634">
        <w:rPr>
          <w:rFonts w:ascii="Arial" w:hAnsi="Arial" w:cs="Arial"/>
          <w:sz w:val="20"/>
          <w:szCs w:val="20"/>
        </w:rPr>
        <w:t> : tour de taille H &gt; 102 cm et F &gt; 88 cm</w:t>
      </w:r>
    </w:p>
    <w:p w14:paraId="2C27B5AB"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b/>
          <w:bCs/>
          <w:sz w:val="20"/>
          <w:szCs w:val="20"/>
        </w:rPr>
        <w:t>Hypertriglycéridémie</w:t>
      </w:r>
      <w:r w:rsidRPr="00B15634">
        <w:rPr>
          <w:rFonts w:ascii="Arial" w:hAnsi="Arial" w:cs="Arial"/>
          <w:sz w:val="20"/>
          <w:szCs w:val="20"/>
        </w:rPr>
        <w:t xml:space="preserve"> </w:t>
      </w:r>
      <m:oMath>
        <m:r>
          <w:rPr>
            <w:rFonts w:ascii="Cambria Math" w:hAnsi="Cambria Math" w:cs="Arial"/>
            <w:sz w:val="20"/>
            <w:szCs w:val="20"/>
          </w:rPr>
          <m:t>≥</m:t>
        </m:r>
      </m:oMath>
      <w:r w:rsidRPr="00B15634">
        <w:rPr>
          <w:rFonts w:ascii="Arial" w:eastAsiaTheme="minorEastAsia" w:hAnsi="Arial" w:cs="Arial"/>
          <w:sz w:val="20"/>
          <w:szCs w:val="20"/>
        </w:rPr>
        <w:t xml:space="preserve"> 1,5 g/L (trop de graisses dans le sang)</w:t>
      </w:r>
    </w:p>
    <w:p w14:paraId="0A7120BD"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eastAsiaTheme="minorEastAsia" w:hAnsi="Arial" w:cs="Arial"/>
          <w:b/>
          <w:bCs/>
          <w:sz w:val="20"/>
          <w:szCs w:val="20"/>
        </w:rPr>
        <w:t>HypoHDLémie</w:t>
      </w:r>
      <w:r w:rsidRPr="00B15634">
        <w:rPr>
          <w:rFonts w:ascii="Arial" w:eastAsiaTheme="minorEastAsia" w:hAnsi="Arial" w:cs="Arial"/>
          <w:sz w:val="20"/>
          <w:szCs w:val="20"/>
        </w:rPr>
        <w:t xml:space="preserve"> (pas assez de bon cholestérol HDL dans le sang) : H &lt; 0,40 g/L et F &lt; 0,50 g/L</w:t>
      </w:r>
    </w:p>
    <w:p w14:paraId="3101AE4E"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eastAsiaTheme="minorEastAsia" w:hAnsi="Arial" w:cs="Arial"/>
          <w:b/>
          <w:bCs/>
          <w:sz w:val="20"/>
          <w:szCs w:val="20"/>
        </w:rPr>
        <w:t>Hypertension artérielle</w:t>
      </w:r>
      <w:r w:rsidRPr="00B15634">
        <w:rPr>
          <w:rFonts w:ascii="Arial" w:eastAsiaTheme="minorEastAsia" w:hAnsi="Arial" w:cs="Arial"/>
          <w:sz w:val="20"/>
          <w:szCs w:val="20"/>
        </w:rPr>
        <w:t xml:space="preserve"> </w:t>
      </w:r>
      <m:oMath>
        <m:r>
          <w:rPr>
            <w:rFonts w:ascii="Cambria Math" w:hAnsi="Cambria Math" w:cs="Arial"/>
            <w:sz w:val="20"/>
            <w:szCs w:val="20"/>
          </w:rPr>
          <m:t>≥</m:t>
        </m:r>
      </m:oMath>
      <w:r w:rsidRPr="00B15634">
        <w:rPr>
          <w:rFonts w:ascii="Arial" w:eastAsiaTheme="minorEastAsia" w:hAnsi="Arial" w:cs="Arial"/>
          <w:sz w:val="20"/>
          <w:szCs w:val="20"/>
        </w:rPr>
        <w:t xml:space="preserve"> 130/85 mmHg ou un patient sou traitement anti-hypertension</w:t>
      </w:r>
    </w:p>
    <w:p w14:paraId="2888B04B" w14:textId="77777777" w:rsidR="00ED4694" w:rsidRPr="00B15634" w:rsidRDefault="00ED4694" w:rsidP="00ED4694">
      <w:pPr>
        <w:pStyle w:val="Paragraphedeliste"/>
        <w:numPr>
          <w:ilvl w:val="0"/>
          <w:numId w:val="3"/>
        </w:numPr>
        <w:jc w:val="both"/>
        <w:rPr>
          <w:rFonts w:ascii="Arial" w:hAnsi="Arial" w:cs="Arial"/>
          <w:sz w:val="20"/>
          <w:szCs w:val="20"/>
        </w:rPr>
      </w:pPr>
      <w:r w:rsidRPr="00B15634">
        <w:rPr>
          <w:rFonts w:ascii="Arial" w:hAnsi="Arial" w:cs="Arial"/>
          <w:b/>
          <w:bCs/>
          <w:sz w:val="20"/>
          <w:szCs w:val="20"/>
        </w:rPr>
        <w:t>Hyperglycémie</w:t>
      </w:r>
      <w:r w:rsidRPr="00B15634">
        <w:rPr>
          <w:rFonts w:ascii="Arial" w:hAnsi="Arial" w:cs="Arial"/>
          <w:sz w:val="20"/>
          <w:szCs w:val="20"/>
        </w:rPr>
        <w:t xml:space="preserve"> : intolérance au glucose du diabète, glycémie </w:t>
      </w:r>
      <m:oMath>
        <m:r>
          <w:rPr>
            <w:rFonts w:ascii="Cambria Math" w:hAnsi="Cambria Math" w:cs="Arial"/>
            <w:sz w:val="20"/>
            <w:szCs w:val="20"/>
          </w:rPr>
          <m:t>≥</m:t>
        </m:r>
      </m:oMath>
      <w:r w:rsidRPr="00B15634">
        <w:rPr>
          <w:rFonts w:ascii="Arial" w:eastAsiaTheme="minorEastAsia" w:hAnsi="Arial" w:cs="Arial"/>
          <w:sz w:val="20"/>
          <w:szCs w:val="20"/>
        </w:rPr>
        <w:t xml:space="preserve"> 1,10 g/L</w:t>
      </w:r>
    </w:p>
    <w:p w14:paraId="1EDFEB70" w14:textId="77777777" w:rsidR="00ED4694" w:rsidRPr="00B15634" w:rsidRDefault="00ED4694" w:rsidP="00ED4694">
      <w:pPr>
        <w:jc w:val="both"/>
        <w:rPr>
          <w:rFonts w:ascii="Arial" w:hAnsi="Arial" w:cs="Arial"/>
          <w:sz w:val="20"/>
          <w:szCs w:val="20"/>
        </w:rPr>
      </w:pPr>
    </w:p>
    <w:p w14:paraId="0F57F863" w14:textId="77777777" w:rsidR="00ED4694" w:rsidRPr="00B15634" w:rsidRDefault="00ED4694" w:rsidP="00ED4694">
      <w:pPr>
        <w:pStyle w:val="Paragraphedeliste"/>
        <w:numPr>
          <w:ilvl w:val="0"/>
          <w:numId w:val="11"/>
        </w:numPr>
        <w:jc w:val="both"/>
        <w:rPr>
          <w:rFonts w:ascii="Arial" w:hAnsi="Arial" w:cs="Arial"/>
          <w:b/>
          <w:bCs/>
          <w:sz w:val="20"/>
          <w:szCs w:val="20"/>
          <w:u w:val="single"/>
        </w:rPr>
      </w:pPr>
      <w:r w:rsidRPr="00B15634">
        <w:rPr>
          <w:rFonts w:ascii="Arial" w:hAnsi="Arial" w:cs="Arial"/>
          <w:b/>
          <w:bCs/>
          <w:sz w:val="20"/>
          <w:szCs w:val="20"/>
          <w:u w:val="single"/>
        </w:rPr>
        <w:t>Diabète de type 1</w:t>
      </w:r>
    </w:p>
    <w:p w14:paraId="3CE0B97E" w14:textId="77777777" w:rsidR="00ED4694" w:rsidRPr="00B15634" w:rsidRDefault="00ED4694" w:rsidP="00ED4694">
      <w:pPr>
        <w:pStyle w:val="Paragraphedeliste"/>
        <w:numPr>
          <w:ilvl w:val="0"/>
          <w:numId w:val="13"/>
        </w:numPr>
        <w:jc w:val="both"/>
        <w:rPr>
          <w:rFonts w:ascii="Arial" w:hAnsi="Arial" w:cs="Arial"/>
          <w:color w:val="00B0F0"/>
          <w:sz w:val="20"/>
          <w:szCs w:val="20"/>
          <w:u w:val="single"/>
        </w:rPr>
      </w:pPr>
      <w:r w:rsidRPr="00B15634">
        <w:rPr>
          <w:rFonts w:ascii="Arial" w:hAnsi="Arial" w:cs="Arial"/>
          <w:color w:val="00B0F0"/>
          <w:sz w:val="20"/>
          <w:szCs w:val="20"/>
          <w:u w:val="single"/>
        </w:rPr>
        <w:t xml:space="preserve">Définition </w:t>
      </w:r>
    </w:p>
    <w:p w14:paraId="1438F436" w14:textId="77777777" w:rsidR="00ED4694" w:rsidRPr="00B15634" w:rsidRDefault="00ED4694" w:rsidP="00ED4694">
      <w:pPr>
        <w:pStyle w:val="Sansinterligne"/>
        <w:jc w:val="both"/>
        <w:rPr>
          <w:rFonts w:ascii="Arial" w:hAnsi="Arial" w:cs="Arial"/>
          <w:sz w:val="21"/>
          <w:szCs w:val="21"/>
        </w:rPr>
      </w:pPr>
      <w:r w:rsidRPr="00B15634">
        <w:rPr>
          <w:rFonts w:ascii="Arial" w:hAnsi="Arial" w:cs="Arial"/>
          <w:noProof/>
          <w:sz w:val="20"/>
          <w:szCs w:val="20"/>
        </w:rPr>
        <w:drawing>
          <wp:anchor distT="0" distB="0" distL="114300" distR="114300" simplePos="0" relativeHeight="251664384" behindDoc="1" locked="0" layoutInCell="1" allowOverlap="1" wp14:anchorId="56177335" wp14:editId="5CAB9AA2">
            <wp:simplePos x="0" y="0"/>
            <wp:positionH relativeFrom="column">
              <wp:posOffset>4959419</wp:posOffset>
            </wp:positionH>
            <wp:positionV relativeFrom="paragraph">
              <wp:posOffset>31597</wp:posOffset>
            </wp:positionV>
            <wp:extent cx="1986915" cy="1332865"/>
            <wp:effectExtent l="0" t="0" r="0" b="635"/>
            <wp:wrapTight wrapText="bothSides">
              <wp:wrapPolygon edited="0">
                <wp:start x="0" y="0"/>
                <wp:lineTo x="0" y="21404"/>
                <wp:lineTo x="21400" y="21404"/>
                <wp:lineTo x="21400" y="0"/>
                <wp:lineTo x="0" y="0"/>
              </wp:wrapPolygon>
            </wp:wrapTight>
            <wp:docPr id="20479505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50516"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86915" cy="1332865"/>
                    </a:xfrm>
                    <a:prstGeom prst="rect">
                      <a:avLst/>
                    </a:prstGeom>
                  </pic:spPr>
                </pic:pic>
              </a:graphicData>
            </a:graphic>
            <wp14:sizeRelH relativeFrom="page">
              <wp14:pctWidth>0</wp14:pctWidth>
            </wp14:sizeRelH>
            <wp14:sizeRelV relativeFrom="page">
              <wp14:pctHeight>0</wp14:pctHeight>
            </wp14:sizeRelV>
          </wp:anchor>
        </w:drawing>
      </w:r>
      <w:r w:rsidRPr="00B15634">
        <w:rPr>
          <w:rFonts w:ascii="Arial" w:hAnsi="Arial" w:cs="Arial"/>
          <w:sz w:val="21"/>
          <w:szCs w:val="21"/>
        </w:rPr>
        <w:t xml:space="preserve">Le DT1 est auto-immun </w:t>
      </w:r>
      <w:r w:rsidRPr="00B15634">
        <w:rPr>
          <w:rFonts w:ascii="Arial" w:hAnsi="Arial" w:cs="Arial"/>
          <w:sz w:val="21"/>
          <w:szCs w:val="21"/>
        </w:rPr>
        <w:sym w:font="Symbol" w:char="F0DE"/>
      </w:r>
      <w:r w:rsidRPr="00B15634">
        <w:rPr>
          <w:rFonts w:ascii="Arial" w:hAnsi="Arial" w:cs="Arial"/>
          <w:sz w:val="21"/>
          <w:szCs w:val="21"/>
        </w:rPr>
        <w:t xml:space="preserve"> Maladie multifactorielle se développant sur un terrain génétiquement prédisposé</w:t>
      </w:r>
    </w:p>
    <w:p w14:paraId="67FD827F" w14:textId="77777777" w:rsidR="00ED4694" w:rsidRPr="00B15634" w:rsidRDefault="00ED4694" w:rsidP="00ED4694">
      <w:pPr>
        <w:pStyle w:val="Sansinterligne"/>
        <w:jc w:val="both"/>
        <w:rPr>
          <w:rFonts w:ascii="Arial" w:hAnsi="Arial" w:cs="Arial"/>
          <w:sz w:val="21"/>
          <w:szCs w:val="21"/>
        </w:rPr>
      </w:pPr>
      <w:r w:rsidRPr="00B15634">
        <w:rPr>
          <w:rFonts w:ascii="Arial" w:hAnsi="Arial" w:cs="Arial"/>
          <w:sz w:val="21"/>
          <w:szCs w:val="21"/>
        </w:rPr>
        <w:t xml:space="preserve">Il représente 10-15% des diabètes sucrés avec principalement des sujets jeunes (80 % des cas avant 15 ans) et non obèses pour la plupart </w:t>
      </w:r>
    </w:p>
    <w:p w14:paraId="03843BE6" w14:textId="77777777" w:rsidR="00ED4694" w:rsidRPr="00B15634" w:rsidRDefault="00ED4694" w:rsidP="00ED4694">
      <w:pPr>
        <w:pStyle w:val="Sansinterligne"/>
        <w:jc w:val="both"/>
        <w:rPr>
          <w:rFonts w:ascii="Arial" w:hAnsi="Arial" w:cs="Arial"/>
          <w:color w:val="FF0000"/>
          <w:sz w:val="21"/>
          <w:szCs w:val="21"/>
        </w:rPr>
      </w:pPr>
      <w:r w:rsidRPr="00B15634">
        <w:rPr>
          <w:rFonts w:ascii="Arial" w:hAnsi="Arial" w:cs="Arial"/>
          <w:color w:val="FF0000"/>
          <w:sz w:val="21"/>
          <w:szCs w:val="21"/>
        </w:rPr>
        <w:t xml:space="preserve">Destruction chronique auto-immune et progressive des cellules insulino-sécrétrices (cellules β des îlots de Langerhans) du pancréas </w:t>
      </w:r>
      <w:r w:rsidRPr="00B15634">
        <w:rPr>
          <w:rFonts w:ascii="Arial" w:hAnsi="Arial" w:cs="Arial"/>
          <w:color w:val="FF0000"/>
          <w:sz w:val="21"/>
          <w:szCs w:val="21"/>
        </w:rPr>
        <w:sym w:font="Symbol" w:char="F0DE"/>
      </w:r>
      <w:r w:rsidRPr="00B15634">
        <w:rPr>
          <w:rFonts w:ascii="Arial" w:hAnsi="Arial" w:cs="Arial"/>
          <w:color w:val="FF0000"/>
          <w:sz w:val="21"/>
          <w:szCs w:val="21"/>
        </w:rPr>
        <w:t xml:space="preserve"> Déficience en insuline </w:t>
      </w:r>
    </w:p>
    <w:p w14:paraId="02FAA067" w14:textId="77777777" w:rsidR="00ED4694" w:rsidRPr="00B15634" w:rsidRDefault="00ED4694" w:rsidP="00ED4694">
      <w:pPr>
        <w:pStyle w:val="Sansinterligne"/>
        <w:jc w:val="both"/>
        <w:rPr>
          <w:rFonts w:ascii="Arial" w:hAnsi="Arial" w:cs="Arial"/>
          <w:sz w:val="21"/>
          <w:szCs w:val="21"/>
        </w:rPr>
      </w:pPr>
      <w:r w:rsidRPr="00B15634">
        <w:rPr>
          <w:rFonts w:ascii="Arial" w:hAnsi="Arial" w:cs="Arial"/>
          <w:sz w:val="21"/>
          <w:szCs w:val="21"/>
        </w:rPr>
        <w:t>Il s’agit donc d’un diabète insulinodépendant</w:t>
      </w:r>
    </w:p>
    <w:p w14:paraId="63E84B95" w14:textId="77777777" w:rsidR="00ED4694" w:rsidRPr="00B15634" w:rsidRDefault="00ED4694" w:rsidP="00ED4694">
      <w:pPr>
        <w:pStyle w:val="Sansinterligne"/>
        <w:jc w:val="both"/>
        <w:rPr>
          <w:rFonts w:ascii="Arial" w:hAnsi="Arial" w:cs="Arial"/>
          <w:sz w:val="21"/>
          <w:szCs w:val="21"/>
        </w:rPr>
      </w:pPr>
    </w:p>
    <w:p w14:paraId="61A88DDD" w14:textId="77777777" w:rsidR="00ED4694" w:rsidRPr="00B15634" w:rsidRDefault="00ED4694" w:rsidP="00ED4694">
      <w:pPr>
        <w:pStyle w:val="Paragraphedeliste"/>
        <w:numPr>
          <w:ilvl w:val="0"/>
          <w:numId w:val="13"/>
        </w:numPr>
        <w:tabs>
          <w:tab w:val="left" w:pos="4563"/>
        </w:tabs>
        <w:jc w:val="both"/>
        <w:rPr>
          <w:rFonts w:ascii="Arial" w:hAnsi="Arial" w:cs="Arial"/>
          <w:color w:val="00B0F0"/>
          <w:sz w:val="20"/>
          <w:szCs w:val="20"/>
          <w:u w:val="single"/>
        </w:rPr>
      </w:pPr>
      <w:r w:rsidRPr="00B15634">
        <w:rPr>
          <w:rFonts w:ascii="Arial" w:hAnsi="Arial" w:cs="Arial"/>
          <w:color w:val="00B0F0"/>
          <w:sz w:val="20"/>
          <w:szCs w:val="20"/>
          <w:u w:val="single"/>
        </w:rPr>
        <w:t xml:space="preserve">Tableaux clinique et biologique </w:t>
      </w:r>
    </w:p>
    <w:p w14:paraId="1A5735FF" w14:textId="77777777" w:rsidR="00ED4694" w:rsidRPr="00B15634" w:rsidRDefault="00ED4694" w:rsidP="00ED4694">
      <w:pPr>
        <w:pStyle w:val="Paragraphedeliste"/>
        <w:tabs>
          <w:tab w:val="left" w:pos="4563"/>
        </w:tabs>
        <w:jc w:val="both"/>
        <w:rPr>
          <w:rFonts w:ascii="Arial" w:hAnsi="Arial" w:cs="Arial"/>
          <w:color w:val="00B0F0"/>
          <w:sz w:val="20"/>
          <w:szCs w:val="20"/>
          <w:u w:val="single"/>
        </w:rPr>
      </w:pPr>
    </w:p>
    <w:p w14:paraId="1EBF41E5" w14:textId="77777777" w:rsidR="00ED4694" w:rsidRPr="00B15634" w:rsidRDefault="00ED4694" w:rsidP="00ED4694">
      <w:pPr>
        <w:tabs>
          <w:tab w:val="left" w:pos="4563"/>
        </w:tabs>
        <w:jc w:val="both"/>
        <w:rPr>
          <w:rFonts w:ascii="Arial" w:hAnsi="Arial" w:cs="Arial"/>
          <w:sz w:val="20"/>
          <w:szCs w:val="20"/>
        </w:rPr>
      </w:pPr>
      <w:r w:rsidRPr="00B15634">
        <w:rPr>
          <w:rFonts w:ascii="Arial" w:hAnsi="Arial" w:cs="Arial"/>
          <w:sz w:val="20"/>
          <w:szCs w:val="20"/>
          <w:u w:val="single"/>
        </w:rPr>
        <w:t>Symptômes</w:t>
      </w:r>
      <w:r w:rsidRPr="00B15634">
        <w:rPr>
          <w:rFonts w:ascii="Arial" w:hAnsi="Arial" w:cs="Arial"/>
          <w:sz w:val="20"/>
          <w:szCs w:val="20"/>
        </w:rPr>
        <w:t xml:space="preserve"> : polyurie + polydipsie, amaigrissement avec appétit conservé, risque d’acidocétose en quelques semaines </w:t>
      </w:r>
    </w:p>
    <w:p w14:paraId="2A4FA1E5"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u w:val="single"/>
        </w:rPr>
        <w:t>Biologie</w:t>
      </w:r>
      <w:r w:rsidRPr="00B15634">
        <w:rPr>
          <w:rFonts w:ascii="Arial" w:hAnsi="Arial" w:cs="Arial"/>
          <w:sz w:val="20"/>
          <w:szCs w:val="20"/>
        </w:rPr>
        <w:t xml:space="preserve"> : diagnostic (hyperglycémie, glycosurie, cétonurie), hypoinsulinémie, cétonémie, déshydratation, acidose (↓ bicarbonates, ↑ K+, ↑ urée, ↓ pH), ↑ Hématocrite et protides totaux, ↓ Masse de cellules β pancréatiques fonctionnelles </w:t>
      </w:r>
    </w:p>
    <w:p w14:paraId="4C028E68" w14:textId="77777777" w:rsidR="00ED4694" w:rsidRPr="00B15634" w:rsidRDefault="00ED4694" w:rsidP="00ED4694">
      <w:pPr>
        <w:tabs>
          <w:tab w:val="left" w:pos="4563"/>
        </w:tabs>
        <w:jc w:val="both"/>
        <w:rPr>
          <w:rFonts w:ascii="Arial" w:hAnsi="Arial" w:cs="Arial"/>
          <w:sz w:val="20"/>
          <w:szCs w:val="20"/>
        </w:rPr>
      </w:pPr>
    </w:p>
    <w:p w14:paraId="191DF8CF" w14:textId="77777777" w:rsidR="00ED4694" w:rsidRPr="00B15634" w:rsidRDefault="00ED4694" w:rsidP="00ED4694">
      <w:pPr>
        <w:pStyle w:val="Paragraphedeliste"/>
        <w:numPr>
          <w:ilvl w:val="0"/>
          <w:numId w:val="13"/>
        </w:numPr>
        <w:tabs>
          <w:tab w:val="left" w:pos="4563"/>
        </w:tabs>
        <w:jc w:val="both"/>
        <w:rPr>
          <w:rFonts w:ascii="Arial" w:hAnsi="Arial" w:cs="Arial"/>
          <w:color w:val="00B0F0"/>
          <w:sz w:val="20"/>
          <w:szCs w:val="20"/>
          <w:u w:val="single"/>
        </w:rPr>
      </w:pPr>
      <w:r w:rsidRPr="00B15634">
        <w:rPr>
          <w:rFonts w:ascii="Arial" w:hAnsi="Arial" w:cs="Arial"/>
          <w:color w:val="00B0F0"/>
          <w:sz w:val="20"/>
          <w:szCs w:val="20"/>
          <w:u w:val="single"/>
        </w:rPr>
        <w:t xml:space="preserve">Marqueurs de l’immunité </w:t>
      </w:r>
    </w:p>
    <w:p w14:paraId="2DDEEC8D" w14:textId="77777777" w:rsidR="00ED4694" w:rsidRPr="00B15634" w:rsidRDefault="00ED4694" w:rsidP="00ED4694">
      <w:pPr>
        <w:pStyle w:val="Sansinterligne"/>
        <w:jc w:val="both"/>
        <w:rPr>
          <w:rFonts w:ascii="Arial" w:hAnsi="Arial" w:cs="Arial"/>
          <w:sz w:val="20"/>
          <w:szCs w:val="20"/>
        </w:rPr>
      </w:pPr>
    </w:p>
    <w:p w14:paraId="5C259E69"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Immunité cellulaire : </w:t>
      </w:r>
      <w:r w:rsidRPr="00B15634">
        <w:rPr>
          <w:rFonts w:ascii="Arial" w:hAnsi="Arial" w:cs="Arial"/>
          <w:b/>
          <w:bCs/>
          <w:sz w:val="20"/>
          <w:szCs w:val="20"/>
        </w:rPr>
        <w:t xml:space="preserve">Insulite </w:t>
      </w:r>
      <w:r w:rsidRPr="00B15634">
        <w:rPr>
          <w:rFonts w:ascii="Arial" w:hAnsi="Arial" w:cs="Arial"/>
          <w:sz w:val="20"/>
          <w:szCs w:val="20"/>
        </w:rPr>
        <w:t xml:space="preserve">= infiltration lymphocytaire et inflammatoire des îlots de Langerhans </w:t>
      </w:r>
    </w:p>
    <w:p w14:paraId="2A3AFD09"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Immunité humorale :</w:t>
      </w:r>
    </w:p>
    <w:p w14:paraId="340A0269" w14:textId="77777777" w:rsidR="00ED4694" w:rsidRPr="00B15634" w:rsidRDefault="00ED4694" w:rsidP="00ED4694">
      <w:pPr>
        <w:pStyle w:val="Sansinterligne"/>
        <w:numPr>
          <w:ilvl w:val="0"/>
          <w:numId w:val="3"/>
        </w:numPr>
        <w:jc w:val="both"/>
        <w:rPr>
          <w:rFonts w:ascii="Arial" w:hAnsi="Arial" w:cs="Arial"/>
          <w:sz w:val="20"/>
          <w:szCs w:val="20"/>
        </w:rPr>
      </w:pPr>
      <w:r w:rsidRPr="00B15634">
        <w:rPr>
          <w:rFonts w:ascii="Arial" w:hAnsi="Arial" w:cs="Arial"/>
          <w:b/>
          <w:bCs/>
          <w:color w:val="FF0000"/>
          <w:sz w:val="20"/>
          <w:szCs w:val="20"/>
        </w:rPr>
        <w:t xml:space="preserve">ICA </w:t>
      </w:r>
      <w:r w:rsidRPr="00B15634">
        <w:rPr>
          <w:rFonts w:ascii="Arial" w:hAnsi="Arial" w:cs="Arial"/>
          <w:sz w:val="20"/>
          <w:szCs w:val="20"/>
        </w:rPr>
        <w:t xml:space="preserve">= </w:t>
      </w:r>
      <w:r w:rsidRPr="00B15634">
        <w:rPr>
          <w:rFonts w:ascii="Arial" w:hAnsi="Arial" w:cs="Arial"/>
          <w:i/>
          <w:iCs/>
          <w:sz w:val="20"/>
          <w:szCs w:val="20"/>
        </w:rPr>
        <w:t xml:space="preserve">Islet Cell Antibodies </w:t>
      </w:r>
      <w:r w:rsidRPr="00B15634">
        <w:rPr>
          <w:rFonts w:ascii="Arial" w:hAnsi="Arial" w:cs="Arial"/>
          <w:sz w:val="20"/>
          <w:szCs w:val="20"/>
        </w:rPr>
        <w:t xml:space="preserve">ou </w:t>
      </w:r>
      <w:r w:rsidRPr="00B15634">
        <w:rPr>
          <w:rFonts w:ascii="Arial" w:hAnsi="Arial" w:cs="Arial"/>
          <w:i/>
          <w:iCs/>
          <w:sz w:val="20"/>
          <w:szCs w:val="20"/>
        </w:rPr>
        <w:t xml:space="preserve">Islet Cell cytoplasmic Autoantibodies </w:t>
      </w:r>
      <w:r w:rsidRPr="00B15634">
        <w:rPr>
          <w:rFonts w:ascii="Arial" w:hAnsi="Arial" w:cs="Arial"/>
          <w:sz w:val="20"/>
          <w:szCs w:val="20"/>
        </w:rPr>
        <w:t xml:space="preserve">: chez 60-90 % des DT1 au moment du diagnostic </w:t>
      </w:r>
    </w:p>
    <w:p w14:paraId="7F0B3C33" w14:textId="77777777" w:rsidR="00ED4694" w:rsidRPr="00B15634" w:rsidRDefault="00ED4694" w:rsidP="00ED4694">
      <w:pPr>
        <w:pStyle w:val="Sansinterligne"/>
        <w:numPr>
          <w:ilvl w:val="0"/>
          <w:numId w:val="3"/>
        </w:numPr>
        <w:jc w:val="both"/>
        <w:rPr>
          <w:rFonts w:ascii="Arial" w:hAnsi="Arial" w:cs="Arial"/>
          <w:sz w:val="20"/>
          <w:szCs w:val="20"/>
        </w:rPr>
      </w:pPr>
      <w:r w:rsidRPr="00B15634">
        <w:rPr>
          <w:rFonts w:ascii="Arial" w:hAnsi="Arial" w:cs="Arial"/>
          <w:b/>
          <w:bCs/>
          <w:color w:val="FF0000"/>
          <w:sz w:val="20"/>
          <w:szCs w:val="20"/>
        </w:rPr>
        <w:t xml:space="preserve">IAA </w:t>
      </w:r>
      <w:r w:rsidRPr="00B15634">
        <w:rPr>
          <w:rFonts w:ascii="Arial" w:hAnsi="Arial" w:cs="Arial"/>
          <w:sz w:val="20"/>
          <w:szCs w:val="20"/>
        </w:rPr>
        <w:t xml:space="preserve">= </w:t>
      </w:r>
      <w:r w:rsidRPr="00B15634">
        <w:rPr>
          <w:rFonts w:ascii="Arial" w:hAnsi="Arial" w:cs="Arial"/>
          <w:i/>
          <w:iCs/>
          <w:sz w:val="20"/>
          <w:szCs w:val="20"/>
        </w:rPr>
        <w:t>Insulin Auto-Antibodies</w:t>
      </w:r>
      <w:r w:rsidRPr="00B15634">
        <w:rPr>
          <w:rFonts w:ascii="Arial" w:hAnsi="Arial" w:cs="Arial"/>
          <w:sz w:val="20"/>
          <w:szCs w:val="20"/>
        </w:rPr>
        <w:t xml:space="preserve">, anticorps anti-insuline, déjà présents avant la mise en place d’un traitement par insuline </w:t>
      </w:r>
    </w:p>
    <w:p w14:paraId="6D116A5C" w14:textId="77777777" w:rsidR="00ED4694" w:rsidRPr="00B15634" w:rsidRDefault="00ED4694" w:rsidP="00ED4694">
      <w:pPr>
        <w:pStyle w:val="Sansinterligne"/>
        <w:numPr>
          <w:ilvl w:val="0"/>
          <w:numId w:val="3"/>
        </w:numPr>
        <w:jc w:val="both"/>
        <w:rPr>
          <w:rFonts w:ascii="Arial" w:hAnsi="Arial" w:cs="Arial"/>
          <w:sz w:val="20"/>
          <w:szCs w:val="20"/>
        </w:rPr>
      </w:pPr>
      <w:r w:rsidRPr="00B15634">
        <w:rPr>
          <w:rFonts w:ascii="Arial" w:hAnsi="Arial" w:cs="Arial"/>
          <w:b/>
          <w:bCs/>
          <w:color w:val="FF0000"/>
          <w:sz w:val="20"/>
          <w:szCs w:val="20"/>
        </w:rPr>
        <w:t xml:space="preserve">Anticorps anti-GAD </w:t>
      </w:r>
      <w:r w:rsidRPr="00B15634">
        <w:rPr>
          <w:rFonts w:ascii="Arial" w:hAnsi="Arial" w:cs="Arial"/>
          <w:sz w:val="20"/>
          <w:szCs w:val="20"/>
        </w:rPr>
        <w:t>= décarboxylase de l’acide glutamique, chez 70-90 % des DT1 au moment du diagnostic</w:t>
      </w:r>
    </w:p>
    <w:p w14:paraId="502A32BF" w14:textId="77777777" w:rsidR="00ED4694" w:rsidRPr="00B15634" w:rsidRDefault="00ED4694" w:rsidP="00ED4694">
      <w:pPr>
        <w:pStyle w:val="Sansinterligne"/>
        <w:numPr>
          <w:ilvl w:val="0"/>
          <w:numId w:val="3"/>
        </w:numPr>
        <w:jc w:val="both"/>
        <w:rPr>
          <w:rFonts w:ascii="Arial" w:hAnsi="Arial" w:cs="Arial"/>
          <w:sz w:val="20"/>
          <w:szCs w:val="20"/>
          <w:lang w:val="en-US"/>
        </w:rPr>
      </w:pPr>
      <w:r w:rsidRPr="00B15634">
        <w:rPr>
          <w:rFonts w:ascii="Arial" w:hAnsi="Arial" w:cs="Arial"/>
          <w:b/>
          <w:bCs/>
          <w:color w:val="FF0000"/>
          <w:sz w:val="20"/>
          <w:szCs w:val="20"/>
          <w:lang w:val="en-US"/>
        </w:rPr>
        <w:t xml:space="preserve">Anticorps anti-IA-2 </w:t>
      </w:r>
      <w:r w:rsidRPr="00B15634">
        <w:rPr>
          <w:rFonts w:ascii="Arial" w:hAnsi="Arial" w:cs="Arial"/>
          <w:sz w:val="20"/>
          <w:szCs w:val="20"/>
          <w:lang w:val="en-US"/>
        </w:rPr>
        <w:t xml:space="preserve">= </w:t>
      </w:r>
      <w:r w:rsidRPr="00B15634">
        <w:rPr>
          <w:rFonts w:ascii="Arial" w:hAnsi="Arial" w:cs="Arial"/>
          <w:i/>
          <w:iCs/>
          <w:sz w:val="20"/>
          <w:szCs w:val="20"/>
          <w:lang w:val="en-US"/>
        </w:rPr>
        <w:t>Islet Antigen-2</w:t>
      </w:r>
    </w:p>
    <w:p w14:paraId="7DE9B5CE" w14:textId="77777777" w:rsidR="00ED4694" w:rsidRPr="00B15634" w:rsidRDefault="00ED4694" w:rsidP="00ED4694">
      <w:pPr>
        <w:pStyle w:val="Sansinterligne"/>
        <w:numPr>
          <w:ilvl w:val="0"/>
          <w:numId w:val="3"/>
        </w:numPr>
        <w:jc w:val="both"/>
        <w:rPr>
          <w:rFonts w:ascii="Arial" w:hAnsi="Arial" w:cs="Arial"/>
          <w:sz w:val="20"/>
          <w:szCs w:val="20"/>
        </w:rPr>
      </w:pPr>
      <w:r w:rsidRPr="00B15634">
        <w:rPr>
          <w:rFonts w:ascii="Arial" w:hAnsi="Arial" w:cs="Arial"/>
          <w:b/>
          <w:bCs/>
          <w:color w:val="FF0000"/>
          <w:sz w:val="20"/>
          <w:szCs w:val="20"/>
        </w:rPr>
        <w:t xml:space="preserve">Anticorps anti-ZnT8A </w:t>
      </w:r>
      <w:r w:rsidRPr="00B15634">
        <w:rPr>
          <w:rFonts w:ascii="Arial" w:hAnsi="Arial" w:cs="Arial"/>
          <w:sz w:val="20"/>
          <w:szCs w:val="20"/>
        </w:rPr>
        <w:t xml:space="preserve">= anti-transporteur du zinc </w:t>
      </w:r>
    </w:p>
    <w:p w14:paraId="09F099AC" w14:textId="77777777" w:rsidR="00ED4694" w:rsidRPr="00B15634" w:rsidRDefault="00ED4694" w:rsidP="00ED4694">
      <w:pPr>
        <w:pStyle w:val="Sansinterligne"/>
        <w:jc w:val="both"/>
        <w:rPr>
          <w:rFonts w:ascii="Arial" w:hAnsi="Arial" w:cs="Arial"/>
          <w:sz w:val="20"/>
          <w:szCs w:val="20"/>
        </w:rPr>
      </w:pPr>
    </w:p>
    <w:p w14:paraId="6E441C72" w14:textId="77777777" w:rsidR="00ED4694" w:rsidRPr="00B15634" w:rsidRDefault="00ED4694" w:rsidP="00ED4694">
      <w:pPr>
        <w:pStyle w:val="Sansinterligne"/>
        <w:numPr>
          <w:ilvl w:val="0"/>
          <w:numId w:val="13"/>
        </w:numPr>
        <w:jc w:val="both"/>
        <w:rPr>
          <w:rFonts w:ascii="Arial" w:hAnsi="Arial" w:cs="Arial"/>
          <w:color w:val="00B0F0"/>
          <w:sz w:val="20"/>
          <w:szCs w:val="20"/>
          <w:u w:val="single"/>
        </w:rPr>
      </w:pPr>
      <w:r w:rsidRPr="00B15634">
        <w:rPr>
          <w:rFonts w:ascii="Arial" w:hAnsi="Arial" w:cs="Arial"/>
          <w:color w:val="00B0F0"/>
          <w:sz w:val="20"/>
          <w:szCs w:val="20"/>
          <w:u w:val="single"/>
        </w:rPr>
        <w:t>Facteurs génétiques et environnementaux</w:t>
      </w:r>
    </w:p>
    <w:p w14:paraId="46042DC3" w14:textId="77777777" w:rsidR="00ED4694" w:rsidRPr="00B15634" w:rsidRDefault="00ED4694" w:rsidP="00ED4694">
      <w:pPr>
        <w:pStyle w:val="Sansinterligne"/>
        <w:ind w:left="720"/>
        <w:jc w:val="both"/>
        <w:rPr>
          <w:rFonts w:ascii="Arial" w:hAnsi="Arial" w:cs="Arial"/>
          <w:color w:val="00B0F0"/>
          <w:sz w:val="20"/>
          <w:szCs w:val="20"/>
          <w:u w:val="single"/>
        </w:rPr>
      </w:pPr>
    </w:p>
    <w:p w14:paraId="295C5E7E"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Le DT1 est une maladie associée à une prédisposition génétique. Pourtant, si un individu est atteint de DT1, il y a seulement 30 à 50 % de risque que son jumeau homozygote (« vrai » jumeau) en soit lui aussi atteint</w:t>
      </w:r>
      <w:r w:rsidRPr="00B15634">
        <w:rPr>
          <w:rFonts w:ascii="Arial" w:hAnsi="Arial" w:cs="Arial"/>
          <w:sz w:val="20"/>
          <w:szCs w:val="20"/>
        </w:rPr>
        <w:br/>
      </w:r>
      <w:r w:rsidRPr="00B15634">
        <w:rPr>
          <w:rFonts w:ascii="Arial" w:hAnsi="Arial" w:cs="Arial"/>
          <w:sz w:val="20"/>
          <w:szCs w:val="20"/>
        </w:rPr>
        <w:sym w:font="Symbol" w:char="F0DE"/>
      </w:r>
      <w:r w:rsidRPr="00B15634">
        <w:rPr>
          <w:rFonts w:ascii="Arial" w:hAnsi="Arial" w:cs="Arial"/>
          <w:sz w:val="20"/>
          <w:szCs w:val="20"/>
        </w:rPr>
        <w:t xml:space="preserve"> Ceci suggère une </w:t>
      </w:r>
      <w:r w:rsidRPr="00B15634">
        <w:rPr>
          <w:rFonts w:ascii="Arial" w:hAnsi="Arial" w:cs="Arial"/>
          <w:b/>
          <w:bCs/>
          <w:color w:val="FF0000"/>
          <w:sz w:val="20"/>
          <w:szCs w:val="20"/>
        </w:rPr>
        <w:t xml:space="preserve">influence importante de l’environnement et de l’épigénétique sur le DT1 </w:t>
      </w:r>
    </w:p>
    <w:p w14:paraId="57A1DAA5"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Exemple : Gène de susceptibilité qui interfère avec les voies de tolérance des lymphocytes T et B + Stimuli environnementaux et lésions tissulaires qui activent les lymphocytes </w:t>
      </w:r>
    </w:p>
    <w:p w14:paraId="774DC1BB" w14:textId="77777777" w:rsidR="00ED4694" w:rsidRDefault="00ED4694" w:rsidP="00ED4694">
      <w:pPr>
        <w:pStyle w:val="Sansinterligne"/>
        <w:jc w:val="both"/>
        <w:rPr>
          <w:rFonts w:ascii="Arial" w:hAnsi="Arial" w:cs="Arial"/>
          <w:sz w:val="20"/>
          <w:szCs w:val="20"/>
        </w:rPr>
      </w:pPr>
    </w:p>
    <w:p w14:paraId="7D0E224F" w14:textId="77777777" w:rsidR="00ED4694" w:rsidRDefault="00ED4694" w:rsidP="00ED4694">
      <w:pPr>
        <w:pStyle w:val="Sansinterligne"/>
        <w:jc w:val="both"/>
        <w:rPr>
          <w:rFonts w:ascii="Arial" w:hAnsi="Arial" w:cs="Arial"/>
          <w:sz w:val="20"/>
          <w:szCs w:val="20"/>
        </w:rPr>
      </w:pPr>
    </w:p>
    <w:p w14:paraId="224728D0" w14:textId="77777777" w:rsidR="00ED4694" w:rsidRPr="00B15634" w:rsidRDefault="00ED4694" w:rsidP="00ED4694">
      <w:pPr>
        <w:pStyle w:val="Sansinterligne"/>
        <w:jc w:val="both"/>
        <w:rPr>
          <w:rFonts w:ascii="Arial" w:hAnsi="Arial" w:cs="Arial"/>
          <w:sz w:val="20"/>
          <w:szCs w:val="20"/>
        </w:rPr>
      </w:pPr>
    </w:p>
    <w:p w14:paraId="1EF56DA2" w14:textId="77777777" w:rsidR="00ED4694" w:rsidRPr="00B15634" w:rsidRDefault="00ED4694" w:rsidP="00ED4694">
      <w:pPr>
        <w:pStyle w:val="Sansinterligne"/>
        <w:jc w:val="both"/>
        <w:rPr>
          <w:rFonts w:ascii="Arial" w:hAnsi="Arial" w:cs="Arial"/>
          <w:sz w:val="20"/>
          <w:szCs w:val="20"/>
          <w:u w:val="single"/>
        </w:rPr>
      </w:pPr>
      <w:r w:rsidRPr="00B15634">
        <w:rPr>
          <w:rFonts w:ascii="Arial" w:hAnsi="Arial" w:cs="Arial"/>
          <w:sz w:val="20"/>
          <w:szCs w:val="20"/>
          <w:u w:val="single"/>
        </w:rPr>
        <w:lastRenderedPageBreak/>
        <w:t xml:space="preserve">Facteurs environnementaux aggravants le DT1 : </w:t>
      </w:r>
    </w:p>
    <w:p w14:paraId="487BB0EC"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Prénataux : rubéole congénitale, </w:t>
      </w:r>
      <w:r w:rsidRPr="00B15634">
        <w:rPr>
          <w:rFonts w:ascii="Arial" w:hAnsi="Arial" w:cs="Arial"/>
          <w:b/>
          <w:bCs/>
          <w:sz w:val="20"/>
          <w:szCs w:val="20"/>
        </w:rPr>
        <w:t>infection maternelle entérovirale</w:t>
      </w:r>
      <w:r w:rsidRPr="00B15634">
        <w:rPr>
          <w:rFonts w:ascii="Arial" w:hAnsi="Arial" w:cs="Arial"/>
          <w:sz w:val="20"/>
          <w:szCs w:val="20"/>
        </w:rPr>
        <w:t xml:space="preserve">, césarienne, poids de naissance élevé, </w:t>
      </w:r>
      <w:r w:rsidRPr="00B15634">
        <w:rPr>
          <w:rFonts w:ascii="Arial" w:hAnsi="Arial" w:cs="Arial"/>
          <w:b/>
          <w:bCs/>
          <w:sz w:val="20"/>
          <w:szCs w:val="20"/>
        </w:rPr>
        <w:t>âge de la mère élevé</w:t>
      </w:r>
      <w:r w:rsidRPr="00B15634">
        <w:rPr>
          <w:rFonts w:ascii="Arial" w:hAnsi="Arial" w:cs="Arial"/>
          <w:sz w:val="20"/>
          <w:szCs w:val="20"/>
        </w:rPr>
        <w:t xml:space="preserve">, peu de légumes apportés par la mère </w:t>
      </w:r>
    </w:p>
    <w:p w14:paraId="4C3F3C1A"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Postnataux : </w:t>
      </w:r>
      <w:r w:rsidRPr="00B15634">
        <w:rPr>
          <w:rFonts w:ascii="Arial" w:hAnsi="Arial" w:cs="Arial"/>
          <w:b/>
          <w:bCs/>
          <w:sz w:val="20"/>
          <w:szCs w:val="20"/>
        </w:rPr>
        <w:t>infection entérovirale</w:t>
      </w:r>
      <w:r w:rsidRPr="00B15634">
        <w:rPr>
          <w:rFonts w:ascii="Arial" w:hAnsi="Arial" w:cs="Arial"/>
          <w:sz w:val="20"/>
          <w:szCs w:val="20"/>
        </w:rPr>
        <w:t xml:space="preserve">, infections respiratoires ou entériques, microbiome anormal, exposition précoce aux céréales, racines, œufs et lait de vache, </w:t>
      </w:r>
      <w:r w:rsidRPr="00B15634">
        <w:rPr>
          <w:rFonts w:ascii="Arial" w:hAnsi="Arial" w:cs="Arial"/>
          <w:b/>
          <w:bCs/>
          <w:sz w:val="20"/>
          <w:szCs w:val="20"/>
        </w:rPr>
        <w:t>surpoids</w:t>
      </w:r>
      <w:r w:rsidRPr="00B15634">
        <w:rPr>
          <w:rFonts w:ascii="Arial" w:hAnsi="Arial" w:cs="Arial"/>
          <w:sz w:val="20"/>
          <w:szCs w:val="20"/>
        </w:rPr>
        <w:t xml:space="preserve">, </w:t>
      </w:r>
      <w:r w:rsidRPr="00B15634">
        <w:rPr>
          <w:rFonts w:ascii="Arial" w:hAnsi="Arial" w:cs="Arial"/>
          <w:b/>
          <w:bCs/>
          <w:sz w:val="20"/>
          <w:szCs w:val="20"/>
        </w:rPr>
        <w:t xml:space="preserve">évènements traumatisants </w:t>
      </w:r>
    </w:p>
    <w:p w14:paraId="30F1A0A4"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Au cours de la vie : infections entérovirales persistantes, </w:t>
      </w:r>
      <w:r w:rsidRPr="00B15634">
        <w:rPr>
          <w:rFonts w:ascii="Arial" w:hAnsi="Arial" w:cs="Arial"/>
          <w:b/>
          <w:bCs/>
          <w:sz w:val="20"/>
          <w:szCs w:val="20"/>
        </w:rPr>
        <w:t>surpoids</w:t>
      </w:r>
      <w:r w:rsidRPr="00B15634">
        <w:rPr>
          <w:rFonts w:ascii="Arial" w:hAnsi="Arial" w:cs="Arial"/>
          <w:sz w:val="20"/>
          <w:szCs w:val="20"/>
        </w:rPr>
        <w:t xml:space="preserve">, ingestion de grandes quantités de sucre et de fructose, </w:t>
      </w:r>
      <w:r w:rsidRPr="00B15634">
        <w:rPr>
          <w:rFonts w:ascii="Arial" w:hAnsi="Arial" w:cs="Arial"/>
          <w:b/>
          <w:bCs/>
          <w:sz w:val="20"/>
          <w:szCs w:val="20"/>
        </w:rPr>
        <w:t>puberté</w:t>
      </w:r>
      <w:r w:rsidRPr="00B15634">
        <w:rPr>
          <w:rFonts w:ascii="Arial" w:hAnsi="Arial" w:cs="Arial"/>
          <w:sz w:val="20"/>
          <w:szCs w:val="20"/>
        </w:rPr>
        <w:t xml:space="preserve">, traitement stéroïdien, </w:t>
      </w:r>
      <w:r w:rsidRPr="00B15634">
        <w:rPr>
          <w:rFonts w:ascii="Arial" w:hAnsi="Arial" w:cs="Arial"/>
          <w:b/>
          <w:bCs/>
          <w:sz w:val="20"/>
          <w:szCs w:val="20"/>
        </w:rPr>
        <w:t>insulinorésistance</w:t>
      </w:r>
      <w:r w:rsidRPr="00B15634">
        <w:rPr>
          <w:rFonts w:ascii="Arial" w:hAnsi="Arial" w:cs="Arial"/>
          <w:sz w:val="20"/>
          <w:szCs w:val="20"/>
        </w:rPr>
        <w:t xml:space="preserve">, </w:t>
      </w:r>
      <w:r w:rsidRPr="00B15634">
        <w:rPr>
          <w:rFonts w:ascii="Arial" w:hAnsi="Arial" w:cs="Arial"/>
          <w:b/>
          <w:bCs/>
          <w:sz w:val="20"/>
          <w:szCs w:val="20"/>
        </w:rPr>
        <w:t xml:space="preserve">stress </w:t>
      </w:r>
    </w:p>
    <w:p w14:paraId="40AC7C55" w14:textId="77777777" w:rsidR="00ED4694" w:rsidRPr="00B15634" w:rsidRDefault="00ED4694" w:rsidP="00ED4694">
      <w:pPr>
        <w:pStyle w:val="Sansinterligne"/>
        <w:jc w:val="both"/>
        <w:rPr>
          <w:rFonts w:ascii="Arial" w:hAnsi="Arial" w:cs="Arial"/>
          <w:sz w:val="20"/>
          <w:szCs w:val="20"/>
          <w:u w:val="single"/>
        </w:rPr>
      </w:pPr>
      <w:r w:rsidRPr="00B15634">
        <w:rPr>
          <w:rFonts w:ascii="Arial" w:hAnsi="Arial" w:cs="Arial"/>
          <w:sz w:val="20"/>
          <w:szCs w:val="20"/>
          <w:u w:val="single"/>
        </w:rPr>
        <w:t xml:space="preserve">Facteurs environnementaux protecteurs contre le DT1 : </w:t>
      </w:r>
    </w:p>
    <w:p w14:paraId="342AB108"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Prénataux : haut taux de vitamine D </w:t>
      </w:r>
    </w:p>
    <w:p w14:paraId="64D645D0"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Postnataux : probiotiques, </w:t>
      </w:r>
      <w:r w:rsidRPr="00B15634">
        <w:rPr>
          <w:rFonts w:ascii="Arial" w:hAnsi="Arial" w:cs="Arial"/>
          <w:b/>
          <w:bCs/>
          <w:sz w:val="20"/>
          <w:szCs w:val="20"/>
        </w:rPr>
        <w:t>haut taux d’oméga-3</w:t>
      </w:r>
      <w:r w:rsidRPr="00B15634">
        <w:rPr>
          <w:rFonts w:ascii="Arial" w:hAnsi="Arial" w:cs="Arial"/>
          <w:sz w:val="20"/>
          <w:szCs w:val="20"/>
        </w:rPr>
        <w:t xml:space="preserve">, introduction de la nourriture solide à 4 mois en parallèle de l‘allaitement </w:t>
      </w:r>
    </w:p>
    <w:p w14:paraId="0B412876" w14:textId="77777777" w:rsidR="00ED4694" w:rsidRPr="00B15634" w:rsidRDefault="00ED4694" w:rsidP="00ED4694">
      <w:pPr>
        <w:pStyle w:val="Sansinterligne"/>
        <w:jc w:val="both"/>
        <w:rPr>
          <w:rFonts w:ascii="Arial" w:hAnsi="Arial" w:cs="Arial"/>
          <w:sz w:val="20"/>
          <w:szCs w:val="20"/>
        </w:rPr>
      </w:pPr>
    </w:p>
    <w:p w14:paraId="5DB9FFEC" w14:textId="77777777" w:rsidR="00ED4694" w:rsidRPr="00B15634" w:rsidRDefault="00ED4694" w:rsidP="00ED4694">
      <w:pPr>
        <w:pStyle w:val="Sansinterligne"/>
        <w:numPr>
          <w:ilvl w:val="0"/>
          <w:numId w:val="11"/>
        </w:numPr>
        <w:jc w:val="both"/>
        <w:rPr>
          <w:rFonts w:ascii="Arial" w:hAnsi="Arial" w:cs="Arial"/>
          <w:b/>
          <w:bCs/>
          <w:sz w:val="20"/>
          <w:szCs w:val="20"/>
          <w:u w:val="single"/>
        </w:rPr>
      </w:pPr>
      <w:r w:rsidRPr="00B15634">
        <w:rPr>
          <w:rFonts w:ascii="Arial" w:hAnsi="Arial" w:cs="Arial"/>
          <w:b/>
          <w:bCs/>
          <w:sz w:val="20"/>
          <w:szCs w:val="20"/>
          <w:u w:val="single"/>
        </w:rPr>
        <w:t xml:space="preserve">Diabètes monogéniques </w:t>
      </w:r>
    </w:p>
    <w:p w14:paraId="439BDE65" w14:textId="77777777" w:rsidR="00ED4694" w:rsidRPr="00B15634" w:rsidRDefault="00ED4694" w:rsidP="00ED4694">
      <w:pPr>
        <w:pStyle w:val="Sansinterligne"/>
        <w:numPr>
          <w:ilvl w:val="0"/>
          <w:numId w:val="32"/>
        </w:numPr>
        <w:jc w:val="both"/>
        <w:rPr>
          <w:rFonts w:ascii="Arial" w:hAnsi="Arial" w:cs="Arial"/>
          <w:color w:val="00B0F0"/>
          <w:sz w:val="20"/>
          <w:szCs w:val="20"/>
          <w:u w:val="single"/>
        </w:rPr>
      </w:pPr>
      <w:r w:rsidRPr="00B15634">
        <w:rPr>
          <w:rFonts w:ascii="Arial" w:hAnsi="Arial" w:cs="Arial"/>
          <w:color w:val="00B0F0"/>
          <w:sz w:val="20"/>
          <w:szCs w:val="20"/>
          <w:u w:val="single"/>
        </w:rPr>
        <w:t xml:space="preserve">Généralités </w:t>
      </w:r>
    </w:p>
    <w:p w14:paraId="4DAFA47A" w14:textId="77777777" w:rsidR="00ED4694" w:rsidRPr="00B15634" w:rsidRDefault="00ED4694" w:rsidP="00ED4694">
      <w:pPr>
        <w:pStyle w:val="Sansinterligne"/>
        <w:jc w:val="both"/>
        <w:rPr>
          <w:rFonts w:ascii="Arial" w:hAnsi="Arial" w:cs="Arial"/>
          <w:sz w:val="20"/>
          <w:szCs w:val="20"/>
        </w:rPr>
      </w:pPr>
    </w:p>
    <w:p w14:paraId="6645C9B7"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b/>
          <w:bCs/>
          <w:color w:val="FF0000"/>
          <w:sz w:val="20"/>
          <w:szCs w:val="20"/>
        </w:rPr>
        <w:sym w:font="Wingdings" w:char="F0E0"/>
      </w:r>
      <w:r w:rsidRPr="00B15634">
        <w:rPr>
          <w:rFonts w:ascii="Arial" w:hAnsi="Arial" w:cs="Arial"/>
          <w:b/>
          <w:bCs/>
          <w:color w:val="FF0000"/>
          <w:sz w:val="20"/>
          <w:szCs w:val="20"/>
        </w:rPr>
        <w:t xml:space="preserve"> Défaut génétique qui affecte le développement et/ou la fonction de la cellule β pancréatique </w:t>
      </w:r>
    </w:p>
    <w:p w14:paraId="1E5852D1"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&lt; 5% des diabètes sucrés </w:t>
      </w:r>
    </w:p>
    <w:p w14:paraId="3D6DCD87"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Catégorie qui regroupe de nombreux types de diabètes sucrés : Diabètes néonataux, MODY (</w:t>
      </w:r>
      <w:r w:rsidRPr="00B15634">
        <w:rPr>
          <w:rFonts w:ascii="Arial" w:hAnsi="Arial" w:cs="Arial"/>
          <w:i/>
          <w:iCs/>
          <w:sz w:val="20"/>
          <w:szCs w:val="20"/>
        </w:rPr>
        <w:t>Maturity-Onset Diabetes of the Young</w:t>
      </w:r>
      <w:r w:rsidRPr="00B15634">
        <w:rPr>
          <w:rFonts w:ascii="Arial" w:hAnsi="Arial" w:cs="Arial"/>
          <w:sz w:val="20"/>
          <w:szCs w:val="20"/>
        </w:rPr>
        <w:t>), mitochondrial MIDD (</w:t>
      </w:r>
      <w:r w:rsidRPr="00B15634">
        <w:rPr>
          <w:rFonts w:ascii="Arial" w:hAnsi="Arial" w:cs="Arial"/>
          <w:i/>
          <w:iCs/>
          <w:sz w:val="20"/>
          <w:szCs w:val="20"/>
        </w:rPr>
        <w:t>Maternally Inherited Diabetes and Deafness</w:t>
      </w:r>
      <w:r w:rsidRPr="00B15634">
        <w:rPr>
          <w:rFonts w:ascii="Arial" w:hAnsi="Arial" w:cs="Arial"/>
          <w:sz w:val="20"/>
          <w:szCs w:val="20"/>
        </w:rPr>
        <w:t xml:space="preserve">) </w:t>
      </w:r>
    </w:p>
    <w:p w14:paraId="38729753"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Ils se caractérisent par des situations cliniques atypiques : </w:t>
      </w:r>
    </w:p>
    <w:p w14:paraId="1F24187B"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Diabète de type 1 sans auto-anticorps et sans cétose </w:t>
      </w:r>
    </w:p>
    <w:p w14:paraId="46CBEB8B"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Diabète de type 2 sans surpoids et sans marqueurs d’insulinorésistance </w:t>
      </w:r>
    </w:p>
    <w:p w14:paraId="18180A91"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Forte histoire familiale de diabète de survenue précoce en l’absence de surpoids </w:t>
      </w:r>
    </w:p>
    <w:p w14:paraId="6D5A12B2"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Hyperglycémie à jeun modérée et stable dans le temps </w:t>
      </w:r>
    </w:p>
    <w:p w14:paraId="338C3572"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Atteintes extra-pancréatiques (notamment rénales), formes syndromiques sévères </w:t>
      </w:r>
    </w:p>
    <w:p w14:paraId="24EB16C8"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Antécédent personnel ou familial de diabète néonatal </w:t>
      </w:r>
    </w:p>
    <w:p w14:paraId="69D5AB41"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Antécédent personnel ou familial d’hypoglycémies néonatales par hyperinsulinisme </w:t>
      </w:r>
    </w:p>
    <w:p w14:paraId="4517CA15" w14:textId="77777777" w:rsidR="00ED4694" w:rsidRPr="00B15634" w:rsidRDefault="00ED4694" w:rsidP="00ED4694">
      <w:pPr>
        <w:pStyle w:val="Sansinterligne"/>
        <w:jc w:val="both"/>
        <w:rPr>
          <w:rFonts w:ascii="Arial" w:hAnsi="Arial" w:cs="Arial"/>
          <w:sz w:val="20"/>
          <w:szCs w:val="20"/>
        </w:rPr>
      </w:pPr>
    </w:p>
    <w:p w14:paraId="3CB06FEE" w14:textId="77777777" w:rsidR="00ED4694" w:rsidRPr="00B15634" w:rsidRDefault="00ED4694" w:rsidP="00ED4694">
      <w:pPr>
        <w:pStyle w:val="Sansinterligne"/>
        <w:numPr>
          <w:ilvl w:val="0"/>
          <w:numId w:val="32"/>
        </w:numPr>
        <w:jc w:val="both"/>
        <w:rPr>
          <w:rFonts w:ascii="Arial" w:hAnsi="Arial" w:cs="Arial"/>
          <w:color w:val="00B0F0"/>
          <w:sz w:val="20"/>
          <w:szCs w:val="20"/>
          <w:u w:val="single"/>
        </w:rPr>
      </w:pPr>
      <w:r w:rsidRPr="00B15634">
        <w:rPr>
          <w:rFonts w:ascii="Arial" w:hAnsi="Arial" w:cs="Arial"/>
          <w:color w:val="00B0F0"/>
          <w:sz w:val="20"/>
          <w:szCs w:val="20"/>
          <w:u w:val="single"/>
        </w:rPr>
        <w:t xml:space="preserve">Diabète néonatal </w:t>
      </w:r>
    </w:p>
    <w:p w14:paraId="57C2D14E" w14:textId="77777777" w:rsidR="00ED4694" w:rsidRPr="00B15634" w:rsidRDefault="00ED4694" w:rsidP="00ED4694">
      <w:pPr>
        <w:pStyle w:val="Sansinterligne"/>
        <w:jc w:val="both"/>
        <w:rPr>
          <w:rFonts w:ascii="Arial" w:hAnsi="Arial" w:cs="Arial"/>
          <w:sz w:val="20"/>
          <w:szCs w:val="20"/>
        </w:rPr>
      </w:pPr>
    </w:p>
    <w:p w14:paraId="67E480FD"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b/>
          <w:bCs/>
          <w:kern w:val="0"/>
          <w:sz w:val="20"/>
          <w:szCs w:val="20"/>
          <w:lang w:eastAsia="fr-FR"/>
          <w14:ligatures w14:val="none"/>
        </w:rPr>
        <w:t>Survient avant 6 mois</w:t>
      </w:r>
      <w:r w:rsidRPr="00B15634">
        <w:rPr>
          <w:rFonts w:ascii="Arial" w:eastAsia="Times New Roman" w:hAnsi="Arial" w:cs="Arial"/>
          <w:kern w:val="0"/>
          <w:sz w:val="20"/>
          <w:szCs w:val="20"/>
          <w:lang w:eastAsia="fr-FR"/>
          <w14:ligatures w14:val="none"/>
        </w:rPr>
        <w:t xml:space="preserve">, 1 naissance sur 100 000 </w:t>
      </w:r>
    </w:p>
    <w:p w14:paraId="44355A14" w14:textId="55E4EC3C"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xml:space="preserve">Hyperglycémie, retard </w:t>
      </w:r>
      <w:r w:rsidR="001573D4" w:rsidRPr="00B15634">
        <w:rPr>
          <w:rFonts w:ascii="Arial" w:eastAsia="Times New Roman" w:hAnsi="Arial" w:cs="Arial"/>
          <w:kern w:val="0"/>
          <w:sz w:val="20"/>
          <w:szCs w:val="20"/>
          <w:lang w:eastAsia="fr-FR"/>
          <w14:ligatures w14:val="none"/>
        </w:rPr>
        <w:t>staturo-pondéral</w:t>
      </w:r>
      <w:r w:rsidRPr="00B15634">
        <w:rPr>
          <w:rFonts w:ascii="Arial" w:eastAsia="Times New Roman" w:hAnsi="Arial" w:cs="Arial"/>
          <w:kern w:val="0"/>
          <w:sz w:val="20"/>
          <w:szCs w:val="20"/>
          <w:lang w:eastAsia="fr-FR"/>
          <w14:ligatures w14:val="none"/>
        </w:rPr>
        <w:t xml:space="preserve">, voire </w:t>
      </w:r>
      <w:r w:rsidR="001573D4" w:rsidRPr="00B15634">
        <w:rPr>
          <w:rFonts w:ascii="Arial" w:eastAsia="Times New Roman" w:hAnsi="Arial" w:cs="Arial"/>
          <w:kern w:val="0"/>
          <w:sz w:val="20"/>
          <w:szCs w:val="20"/>
          <w:lang w:eastAsia="fr-FR"/>
          <w14:ligatures w14:val="none"/>
        </w:rPr>
        <w:t>déshydratation</w:t>
      </w:r>
      <w:r w:rsidRPr="00B15634">
        <w:rPr>
          <w:rFonts w:ascii="Arial" w:eastAsia="Times New Roman" w:hAnsi="Arial" w:cs="Arial"/>
          <w:kern w:val="0"/>
          <w:sz w:val="20"/>
          <w:szCs w:val="20"/>
          <w:lang w:eastAsia="fr-FR"/>
          <w14:ligatures w14:val="none"/>
        </w:rPr>
        <w:t xml:space="preserve"> et </w:t>
      </w:r>
      <w:r w:rsidR="001573D4" w:rsidRPr="00B15634">
        <w:rPr>
          <w:rFonts w:ascii="Arial" w:eastAsia="Times New Roman" w:hAnsi="Arial" w:cs="Arial"/>
          <w:kern w:val="0"/>
          <w:sz w:val="20"/>
          <w:szCs w:val="20"/>
          <w:lang w:eastAsia="fr-FR"/>
          <w14:ligatures w14:val="none"/>
        </w:rPr>
        <w:t>acidocétose</w:t>
      </w:r>
      <w:r w:rsidRPr="00B15634">
        <w:rPr>
          <w:rFonts w:ascii="Arial" w:eastAsia="Times New Roman" w:hAnsi="Arial" w:cs="Arial"/>
          <w:kern w:val="0"/>
          <w:sz w:val="20"/>
          <w:szCs w:val="20"/>
          <w:lang w:eastAsia="fr-FR"/>
          <w14:ligatures w14:val="none"/>
        </w:rPr>
        <w:t xml:space="preserve"> </w:t>
      </w:r>
    </w:p>
    <w:p w14:paraId="4DCD87E2"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xml:space="preserve">Peut être </w:t>
      </w:r>
      <w:r w:rsidRPr="00B15634">
        <w:rPr>
          <w:rFonts w:ascii="Arial" w:eastAsia="Times New Roman" w:hAnsi="Arial" w:cs="Arial"/>
          <w:b/>
          <w:bCs/>
          <w:kern w:val="0"/>
          <w:sz w:val="20"/>
          <w:szCs w:val="20"/>
          <w:lang w:eastAsia="fr-FR"/>
          <w14:ligatures w14:val="none"/>
        </w:rPr>
        <w:t xml:space="preserve">transitoire </w:t>
      </w:r>
      <w:r w:rsidRPr="00B15634">
        <w:rPr>
          <w:rFonts w:ascii="Arial" w:eastAsia="Times New Roman" w:hAnsi="Arial" w:cs="Arial"/>
          <w:kern w:val="0"/>
          <w:sz w:val="20"/>
          <w:szCs w:val="20"/>
          <w:lang w:eastAsia="fr-FR"/>
          <w14:ligatures w14:val="none"/>
        </w:rPr>
        <w:t xml:space="preserve">(premières semaines de vie) </w:t>
      </w:r>
      <w:r w:rsidRPr="00B15634">
        <w:rPr>
          <w:rFonts w:ascii="Arial" w:eastAsia="Times New Roman" w:hAnsi="Arial" w:cs="Arial"/>
          <w:b/>
          <w:bCs/>
          <w:kern w:val="0"/>
          <w:sz w:val="20"/>
          <w:szCs w:val="20"/>
          <w:lang w:eastAsia="fr-FR"/>
          <w14:ligatures w14:val="none"/>
        </w:rPr>
        <w:t xml:space="preserve">ou permanent </w:t>
      </w:r>
      <w:r w:rsidRPr="00B15634">
        <w:rPr>
          <w:rFonts w:ascii="Arial" w:eastAsia="Times New Roman" w:hAnsi="Arial" w:cs="Arial"/>
          <w:kern w:val="0"/>
          <w:sz w:val="20"/>
          <w:szCs w:val="20"/>
          <w:lang w:eastAsia="fr-FR"/>
          <w14:ligatures w14:val="none"/>
        </w:rPr>
        <w:t xml:space="preserve">(réapparition adolescence/âge adulte) </w:t>
      </w:r>
    </w:p>
    <w:p w14:paraId="60E2C20A"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xml:space="preserve">Les gènes les plus souvent impliqués (1/3 des cas) sont </w:t>
      </w:r>
      <w:r w:rsidRPr="00B15634">
        <w:rPr>
          <w:rFonts w:ascii="Arial" w:eastAsia="Times New Roman" w:hAnsi="Arial" w:cs="Arial"/>
          <w:b/>
          <w:bCs/>
          <w:i/>
          <w:iCs/>
          <w:kern w:val="0"/>
          <w:sz w:val="20"/>
          <w:szCs w:val="20"/>
          <w:lang w:eastAsia="fr-FR"/>
          <w14:ligatures w14:val="none"/>
        </w:rPr>
        <w:t xml:space="preserve">KCNJ11 </w:t>
      </w:r>
      <w:r w:rsidRPr="00B15634">
        <w:rPr>
          <w:rFonts w:ascii="Arial" w:eastAsia="Times New Roman" w:hAnsi="Arial" w:cs="Arial"/>
          <w:kern w:val="0"/>
          <w:sz w:val="20"/>
          <w:szCs w:val="20"/>
          <w:lang w:eastAsia="fr-FR"/>
          <w14:ligatures w14:val="none"/>
        </w:rPr>
        <w:t xml:space="preserve">et </w:t>
      </w:r>
      <w:r w:rsidRPr="00B15634">
        <w:rPr>
          <w:rFonts w:ascii="Arial" w:eastAsia="Times New Roman" w:hAnsi="Arial" w:cs="Arial"/>
          <w:b/>
          <w:bCs/>
          <w:i/>
          <w:iCs/>
          <w:kern w:val="0"/>
          <w:sz w:val="20"/>
          <w:szCs w:val="20"/>
          <w:lang w:eastAsia="fr-FR"/>
          <w14:ligatures w14:val="none"/>
        </w:rPr>
        <w:t>ABCC8</w:t>
      </w:r>
      <w:r w:rsidRPr="00B15634">
        <w:rPr>
          <w:rFonts w:ascii="Arial" w:eastAsia="Times New Roman" w:hAnsi="Arial" w:cs="Arial"/>
          <w:kern w:val="0"/>
          <w:sz w:val="20"/>
          <w:szCs w:val="20"/>
          <w:lang w:eastAsia="fr-FR"/>
          <w14:ligatures w14:val="none"/>
        </w:rPr>
        <w:t xml:space="preserve">, qui codent pour deux sous-unités du canal ATP-K+ de la cellule β pancréatique qui régule la sécrétion d’insuline </w:t>
      </w:r>
    </w:p>
    <w:p w14:paraId="763AEAC6" w14:textId="77777777" w:rsidR="00ED4694" w:rsidRPr="00B15634" w:rsidRDefault="00ED4694" w:rsidP="00ED4694">
      <w:pPr>
        <w:pStyle w:val="Sansinterligne"/>
        <w:jc w:val="both"/>
        <w:rPr>
          <w:rFonts w:ascii="Arial" w:hAnsi="Arial" w:cs="Arial"/>
          <w:sz w:val="20"/>
          <w:szCs w:val="20"/>
        </w:rPr>
      </w:pPr>
    </w:p>
    <w:p w14:paraId="4D4D9268" w14:textId="77777777" w:rsidR="00ED4694" w:rsidRPr="00B15634" w:rsidRDefault="00ED4694" w:rsidP="00ED4694">
      <w:pPr>
        <w:pStyle w:val="Sansinterligne"/>
        <w:numPr>
          <w:ilvl w:val="0"/>
          <w:numId w:val="32"/>
        </w:numPr>
        <w:jc w:val="both"/>
        <w:rPr>
          <w:rFonts w:ascii="Arial" w:hAnsi="Arial" w:cs="Arial"/>
          <w:color w:val="00B0F0"/>
          <w:sz w:val="20"/>
          <w:szCs w:val="20"/>
          <w:u w:val="single"/>
        </w:rPr>
      </w:pPr>
      <w:r w:rsidRPr="00B15634">
        <w:rPr>
          <w:rFonts w:ascii="Arial" w:hAnsi="Arial" w:cs="Arial"/>
          <w:color w:val="00B0F0"/>
          <w:sz w:val="20"/>
          <w:szCs w:val="20"/>
          <w:u w:val="single"/>
        </w:rPr>
        <w:t>Diabète MODY</w:t>
      </w:r>
    </w:p>
    <w:p w14:paraId="33F68FF3" w14:textId="77777777" w:rsidR="00ED4694" w:rsidRPr="00B15634" w:rsidRDefault="00ED4694" w:rsidP="00ED4694">
      <w:pPr>
        <w:pStyle w:val="Sansinterligne"/>
        <w:jc w:val="both"/>
        <w:rPr>
          <w:rFonts w:ascii="Arial" w:hAnsi="Arial" w:cs="Arial"/>
          <w:sz w:val="20"/>
          <w:szCs w:val="20"/>
        </w:rPr>
      </w:pPr>
    </w:p>
    <w:p w14:paraId="14FD33E6" w14:textId="77777777" w:rsidR="00ED4694" w:rsidRPr="00B15634" w:rsidRDefault="00ED4694" w:rsidP="00ED4694">
      <w:pPr>
        <w:pStyle w:val="Sansinterligne"/>
        <w:jc w:val="both"/>
        <w:rPr>
          <w:rFonts w:ascii="Arial" w:hAnsi="Arial" w:cs="Arial"/>
          <w:color w:val="FF0000"/>
          <w:sz w:val="20"/>
          <w:szCs w:val="20"/>
        </w:rPr>
      </w:pPr>
      <w:r w:rsidRPr="00B15634">
        <w:rPr>
          <w:rFonts w:ascii="Arial" w:hAnsi="Arial" w:cs="Arial"/>
          <w:b/>
          <w:bCs/>
          <w:color w:val="FF0000"/>
          <w:sz w:val="20"/>
          <w:szCs w:val="20"/>
        </w:rPr>
        <w:t xml:space="preserve">Diabète non insulinodépendant qui survient avant l’âge de 25 ans </w:t>
      </w:r>
      <w:r w:rsidRPr="00B15634">
        <w:rPr>
          <w:rFonts w:ascii="Arial" w:hAnsi="Arial" w:cs="Arial"/>
          <w:color w:val="FF0000"/>
          <w:sz w:val="20"/>
          <w:szCs w:val="20"/>
        </w:rPr>
        <w:t xml:space="preserve">dans un contexte familial compatible avec une hérédité généralement autosomique dominante (3 générations successives et un membre sur deux de la famille atteint) </w:t>
      </w:r>
    </w:p>
    <w:p w14:paraId="50BCB121" w14:textId="77777777" w:rsidR="00ED4694" w:rsidRPr="00B15634" w:rsidRDefault="00ED4694" w:rsidP="00ED4694">
      <w:pPr>
        <w:pStyle w:val="Sansinterligne"/>
        <w:jc w:val="both"/>
        <w:rPr>
          <w:rFonts w:ascii="Arial" w:hAnsi="Arial" w:cs="Arial"/>
          <w:color w:val="FF0000"/>
          <w:sz w:val="20"/>
          <w:szCs w:val="20"/>
        </w:rPr>
      </w:pPr>
      <w:r w:rsidRPr="00B15634">
        <w:rPr>
          <w:rFonts w:ascii="Arial" w:hAnsi="Arial" w:cs="Arial"/>
          <w:b/>
          <w:bCs/>
          <w:color w:val="FF0000"/>
          <w:sz w:val="20"/>
          <w:szCs w:val="20"/>
        </w:rPr>
        <w:t>Déficience en sécrétion d’insuline +++</w:t>
      </w:r>
      <w:r w:rsidRPr="00B15634">
        <w:rPr>
          <w:rFonts w:ascii="Arial" w:hAnsi="Arial" w:cs="Arial"/>
          <w:color w:val="FF0000"/>
          <w:sz w:val="20"/>
          <w:szCs w:val="20"/>
        </w:rPr>
        <w:t xml:space="preserve">, pas ou peu d’insulinorésistance associée </w:t>
      </w:r>
    </w:p>
    <w:p w14:paraId="71E43021"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Biologiquement : pas de problème de synthèse d’insuline donc </w:t>
      </w:r>
      <w:r w:rsidRPr="00B15634">
        <w:rPr>
          <w:rFonts w:ascii="Arial" w:hAnsi="Arial" w:cs="Arial"/>
          <w:b/>
          <w:bCs/>
          <w:sz w:val="20"/>
          <w:szCs w:val="20"/>
        </w:rPr>
        <w:t xml:space="preserve">présence de C-peptide sanguin et absence </w:t>
      </w:r>
    </w:p>
    <w:p w14:paraId="5A174677"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b/>
          <w:bCs/>
          <w:sz w:val="20"/>
          <w:szCs w:val="20"/>
        </w:rPr>
        <w:t xml:space="preserve">d’auto-anticorps (contrairement au DT1) </w:t>
      </w:r>
    </w:p>
    <w:p w14:paraId="49F73366"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Plus d’une dizaine de MODY différents de type génétique : mutations des gènes de la glucokinase, des facteurs de transcription nucléaires </w:t>
      </w:r>
      <w:r w:rsidRPr="00B15634">
        <w:rPr>
          <w:rFonts w:ascii="Arial" w:hAnsi="Arial" w:cs="Arial"/>
          <w:i/>
          <w:iCs/>
          <w:sz w:val="20"/>
          <w:szCs w:val="20"/>
        </w:rPr>
        <w:t>(HNF1α</w:t>
      </w:r>
      <w:r w:rsidRPr="00B15634">
        <w:rPr>
          <w:rFonts w:ascii="Arial" w:hAnsi="Arial" w:cs="Arial"/>
          <w:sz w:val="20"/>
          <w:szCs w:val="20"/>
        </w:rPr>
        <w:t xml:space="preserve">, </w:t>
      </w:r>
      <w:r w:rsidRPr="00B15634">
        <w:rPr>
          <w:rFonts w:ascii="Arial" w:hAnsi="Arial" w:cs="Arial"/>
          <w:i/>
          <w:iCs/>
          <w:sz w:val="20"/>
          <w:szCs w:val="20"/>
        </w:rPr>
        <w:t>HNF1β, HNF4α</w:t>
      </w:r>
      <w:r w:rsidRPr="00B15634">
        <w:rPr>
          <w:rFonts w:ascii="Arial" w:hAnsi="Arial" w:cs="Arial"/>
          <w:sz w:val="20"/>
          <w:szCs w:val="20"/>
        </w:rPr>
        <w:t>, Neuro D1), du facteur promoteur de l’insuline (</w:t>
      </w:r>
      <w:r w:rsidRPr="00B15634">
        <w:rPr>
          <w:rFonts w:ascii="Arial" w:hAnsi="Arial" w:cs="Arial"/>
          <w:i/>
          <w:iCs/>
          <w:sz w:val="20"/>
          <w:szCs w:val="20"/>
        </w:rPr>
        <w:t>IPF1</w:t>
      </w:r>
      <w:r w:rsidRPr="00B15634">
        <w:rPr>
          <w:rFonts w:ascii="Arial" w:hAnsi="Arial" w:cs="Arial"/>
          <w:sz w:val="20"/>
          <w:szCs w:val="20"/>
        </w:rPr>
        <w:t xml:space="preserve">, </w:t>
      </w:r>
      <w:r w:rsidRPr="00B15634">
        <w:rPr>
          <w:rFonts w:ascii="Arial" w:hAnsi="Arial" w:cs="Arial"/>
          <w:i/>
          <w:iCs/>
          <w:sz w:val="20"/>
          <w:szCs w:val="20"/>
        </w:rPr>
        <w:t>PDX1</w:t>
      </w:r>
      <w:r w:rsidRPr="00B15634">
        <w:rPr>
          <w:rFonts w:ascii="Arial" w:hAnsi="Arial" w:cs="Arial"/>
          <w:sz w:val="20"/>
          <w:szCs w:val="20"/>
        </w:rPr>
        <w:t xml:space="preserve">), etc. </w:t>
      </w:r>
    </w:p>
    <w:p w14:paraId="2B7BA6AC" w14:textId="77777777" w:rsidR="00ED4694" w:rsidRPr="00B15634" w:rsidRDefault="00ED4694" w:rsidP="00ED4694">
      <w:pPr>
        <w:pStyle w:val="Sansinterligne"/>
        <w:jc w:val="both"/>
        <w:rPr>
          <w:rFonts w:ascii="Arial" w:hAnsi="Arial" w:cs="Arial"/>
          <w:sz w:val="20"/>
          <w:szCs w:val="20"/>
        </w:rPr>
      </w:pPr>
    </w:p>
    <w:p w14:paraId="41B5ED6D" w14:textId="77777777" w:rsidR="00ED4694" w:rsidRPr="00B15634" w:rsidRDefault="00ED4694" w:rsidP="00ED4694">
      <w:pPr>
        <w:pStyle w:val="Sansinterligne"/>
        <w:numPr>
          <w:ilvl w:val="0"/>
          <w:numId w:val="32"/>
        </w:numPr>
        <w:jc w:val="both"/>
        <w:rPr>
          <w:rFonts w:ascii="Arial" w:hAnsi="Arial" w:cs="Arial"/>
          <w:color w:val="00B0F0"/>
          <w:sz w:val="20"/>
          <w:szCs w:val="20"/>
          <w:u w:val="single"/>
        </w:rPr>
      </w:pPr>
      <w:r w:rsidRPr="00B15634">
        <w:rPr>
          <w:rFonts w:ascii="Arial" w:hAnsi="Arial" w:cs="Arial"/>
          <w:color w:val="00B0F0"/>
          <w:sz w:val="20"/>
          <w:szCs w:val="20"/>
          <w:u w:val="single"/>
        </w:rPr>
        <w:t xml:space="preserve">Diabète MIDD </w:t>
      </w:r>
    </w:p>
    <w:p w14:paraId="7B62395F" w14:textId="77777777" w:rsidR="00ED4694" w:rsidRPr="00B15634" w:rsidRDefault="00ED4694" w:rsidP="00ED4694">
      <w:pPr>
        <w:pStyle w:val="Sansinterligne"/>
        <w:jc w:val="both"/>
        <w:rPr>
          <w:rFonts w:ascii="Arial" w:hAnsi="Arial" w:cs="Arial"/>
          <w:sz w:val="20"/>
          <w:szCs w:val="20"/>
        </w:rPr>
      </w:pPr>
    </w:p>
    <w:p w14:paraId="023FFC5C"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b/>
          <w:bCs/>
          <w:sz w:val="20"/>
          <w:szCs w:val="20"/>
        </w:rPr>
        <w:t xml:space="preserve">Diabète par cytopathie mitochondriale </w:t>
      </w:r>
      <w:r w:rsidRPr="00B15634">
        <w:rPr>
          <w:rFonts w:ascii="Arial" w:hAnsi="Arial" w:cs="Arial"/>
          <w:sz w:val="20"/>
          <w:szCs w:val="20"/>
        </w:rPr>
        <w:t xml:space="preserve">: mutation de l’ADN mitochondrial en position 3243 </w:t>
      </w:r>
    </w:p>
    <w:p w14:paraId="6BC0F8DC"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Transmission maternelle puisque l’ADN mitochondrial est exclusivement transmis par la mère </w:t>
      </w:r>
    </w:p>
    <w:p w14:paraId="65180CE7"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0,2 à 2 % de prévalence selon l’ethnicité </w:t>
      </w:r>
    </w:p>
    <w:p w14:paraId="66B3E9EF"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Peut causer un syndrome pédiatrique mortel : </w:t>
      </w:r>
      <w:r w:rsidRPr="00B15634">
        <w:rPr>
          <w:rFonts w:ascii="Arial" w:hAnsi="Arial" w:cs="Arial"/>
          <w:b/>
          <w:bCs/>
          <w:color w:val="FF0000"/>
          <w:sz w:val="20"/>
          <w:szCs w:val="20"/>
        </w:rPr>
        <w:t xml:space="preserve">MELAS </w:t>
      </w:r>
      <w:r w:rsidRPr="00B15634">
        <w:rPr>
          <w:rFonts w:ascii="Arial" w:hAnsi="Arial" w:cs="Arial"/>
          <w:sz w:val="20"/>
          <w:szCs w:val="20"/>
        </w:rPr>
        <w:t xml:space="preserve">= Myoclonie, Epilepsie, Acidose Lactique, </w:t>
      </w:r>
      <w:r w:rsidRPr="00B15634">
        <w:rPr>
          <w:rFonts w:ascii="Arial" w:hAnsi="Arial" w:cs="Arial"/>
          <w:i/>
          <w:iCs/>
          <w:sz w:val="20"/>
          <w:szCs w:val="20"/>
        </w:rPr>
        <w:t xml:space="preserve">Stroke </w:t>
      </w:r>
      <w:r w:rsidRPr="00B15634">
        <w:rPr>
          <w:rFonts w:ascii="Arial" w:hAnsi="Arial" w:cs="Arial"/>
          <w:sz w:val="20"/>
          <w:szCs w:val="20"/>
        </w:rPr>
        <w:t xml:space="preserve">(AVC) </w:t>
      </w:r>
      <w:r w:rsidRPr="00B15634">
        <w:rPr>
          <w:rFonts w:ascii="Arial" w:hAnsi="Arial" w:cs="Arial"/>
          <w:b/>
          <w:bCs/>
          <w:color w:val="FF0000"/>
          <w:sz w:val="20"/>
          <w:szCs w:val="20"/>
        </w:rPr>
        <w:t xml:space="preserve">ou </w:t>
      </w:r>
    </w:p>
    <w:p w14:paraId="1F2264DF"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se révéler tardivement sous forme de diabète insulinodépendant ou non, caractérisé par une </w:t>
      </w:r>
      <w:r w:rsidRPr="00B15634">
        <w:rPr>
          <w:rFonts w:ascii="Arial" w:hAnsi="Arial" w:cs="Arial"/>
          <w:b/>
          <w:bCs/>
          <w:color w:val="FF0000"/>
          <w:sz w:val="20"/>
          <w:szCs w:val="20"/>
        </w:rPr>
        <w:t xml:space="preserve">insulinodéficience </w:t>
      </w:r>
      <w:r w:rsidRPr="00B15634">
        <w:rPr>
          <w:rFonts w:ascii="Arial" w:hAnsi="Arial" w:cs="Arial"/>
          <w:sz w:val="20"/>
          <w:szCs w:val="20"/>
        </w:rPr>
        <w:t xml:space="preserve">parfois associée à une insulinorésistance secondaire à l’atteinte musculaire </w:t>
      </w:r>
    </w:p>
    <w:p w14:paraId="058479D6" w14:textId="77777777" w:rsidR="00ED4694" w:rsidRPr="00B15634" w:rsidRDefault="00ED4694" w:rsidP="00ED4694">
      <w:pPr>
        <w:pStyle w:val="Sansinterligne"/>
        <w:jc w:val="both"/>
        <w:rPr>
          <w:rFonts w:ascii="Arial" w:hAnsi="Arial" w:cs="Arial"/>
          <w:color w:val="FF0000"/>
          <w:sz w:val="20"/>
          <w:szCs w:val="20"/>
        </w:rPr>
      </w:pPr>
      <w:r w:rsidRPr="00B15634">
        <w:rPr>
          <w:rFonts w:ascii="Arial" w:hAnsi="Arial" w:cs="Arial"/>
          <w:b/>
          <w:bCs/>
          <w:color w:val="FF0000"/>
          <w:sz w:val="20"/>
          <w:szCs w:val="20"/>
        </w:rPr>
        <w:t xml:space="preserve">Hyperglycémie avec surdité neurosensorielle </w:t>
      </w:r>
      <w:r w:rsidRPr="00B15634">
        <w:rPr>
          <w:rFonts w:ascii="Arial" w:hAnsi="Arial" w:cs="Arial"/>
          <w:color w:val="FF0000"/>
          <w:sz w:val="20"/>
          <w:szCs w:val="20"/>
        </w:rPr>
        <w:t xml:space="preserve">et d’autres atteintes tissulaires : dystrophies musculaires, cardiomyopathie, rétinopathie dégénérative, pseudo-AVC, ataxie cérébelleuse, neuropathies périphériques </w:t>
      </w:r>
    </w:p>
    <w:p w14:paraId="4642AA68" w14:textId="77777777" w:rsidR="00ED4694" w:rsidRPr="00B15634" w:rsidRDefault="00ED4694" w:rsidP="00ED4694">
      <w:pPr>
        <w:pStyle w:val="Sansinterligne"/>
        <w:jc w:val="both"/>
        <w:rPr>
          <w:rFonts w:ascii="Arial" w:hAnsi="Arial" w:cs="Arial"/>
          <w:sz w:val="20"/>
          <w:szCs w:val="20"/>
        </w:rPr>
      </w:pPr>
    </w:p>
    <w:p w14:paraId="0690434F" w14:textId="77777777" w:rsidR="00ED4694" w:rsidRPr="00B15634" w:rsidRDefault="00ED4694" w:rsidP="00ED4694">
      <w:pPr>
        <w:pStyle w:val="Sansinterligne"/>
        <w:numPr>
          <w:ilvl w:val="0"/>
          <w:numId w:val="11"/>
        </w:numPr>
        <w:jc w:val="both"/>
        <w:rPr>
          <w:rFonts w:ascii="Arial" w:hAnsi="Arial" w:cs="Arial"/>
          <w:b/>
          <w:bCs/>
          <w:sz w:val="20"/>
          <w:szCs w:val="20"/>
          <w:u w:val="single"/>
        </w:rPr>
      </w:pPr>
      <w:r w:rsidRPr="00B15634">
        <w:rPr>
          <w:rFonts w:ascii="Arial" w:hAnsi="Arial" w:cs="Arial"/>
          <w:b/>
          <w:bCs/>
          <w:sz w:val="20"/>
          <w:szCs w:val="20"/>
          <w:u w:val="single"/>
        </w:rPr>
        <w:t xml:space="preserve">Diabète gestationnel </w:t>
      </w:r>
    </w:p>
    <w:p w14:paraId="6772D3E9" w14:textId="77777777" w:rsidR="00ED4694" w:rsidRPr="00B15634" w:rsidRDefault="00ED4694" w:rsidP="00ED4694">
      <w:pPr>
        <w:pStyle w:val="Sansinterligne"/>
        <w:numPr>
          <w:ilvl w:val="0"/>
          <w:numId w:val="33"/>
        </w:numPr>
        <w:jc w:val="both"/>
        <w:rPr>
          <w:rFonts w:ascii="Arial" w:hAnsi="Arial" w:cs="Arial"/>
          <w:color w:val="00B0F0"/>
          <w:sz w:val="20"/>
          <w:szCs w:val="20"/>
          <w:u w:val="single"/>
        </w:rPr>
      </w:pPr>
      <w:r w:rsidRPr="00B15634">
        <w:rPr>
          <w:rFonts w:ascii="Arial" w:hAnsi="Arial" w:cs="Arial"/>
          <w:color w:val="00B0F0"/>
          <w:sz w:val="20"/>
          <w:szCs w:val="20"/>
          <w:u w:val="single"/>
        </w:rPr>
        <w:t>Définition et facteurs de risque</w:t>
      </w:r>
    </w:p>
    <w:p w14:paraId="3B3883E9" w14:textId="77777777" w:rsidR="00ED4694" w:rsidRPr="00B15634" w:rsidRDefault="00ED4694" w:rsidP="00ED4694">
      <w:pPr>
        <w:pStyle w:val="Sansinterligne"/>
        <w:jc w:val="both"/>
        <w:rPr>
          <w:rFonts w:ascii="Arial" w:hAnsi="Arial" w:cs="Arial"/>
          <w:sz w:val="20"/>
          <w:szCs w:val="20"/>
        </w:rPr>
      </w:pPr>
    </w:p>
    <w:p w14:paraId="02295B90" w14:textId="77777777" w:rsidR="00ED4694" w:rsidRPr="00B15634" w:rsidRDefault="00ED4694" w:rsidP="00ED4694">
      <w:pPr>
        <w:pStyle w:val="Sansinterligne"/>
        <w:jc w:val="both"/>
        <w:rPr>
          <w:rFonts w:ascii="Arial" w:eastAsia="Times New Roman" w:hAnsi="Arial" w:cs="Arial"/>
          <w:color w:val="FF0000"/>
          <w:kern w:val="0"/>
          <w:sz w:val="20"/>
          <w:szCs w:val="20"/>
          <w:lang w:eastAsia="fr-FR"/>
          <w14:ligatures w14:val="none"/>
        </w:rPr>
      </w:pPr>
      <w:r w:rsidRPr="00B15634">
        <w:rPr>
          <w:rFonts w:ascii="Arial" w:eastAsia="Times New Roman" w:hAnsi="Arial" w:cs="Arial"/>
          <w:b/>
          <w:bCs/>
          <w:color w:val="FF0000"/>
          <w:kern w:val="0"/>
          <w:sz w:val="20"/>
          <w:szCs w:val="20"/>
          <w:lang w:eastAsia="fr-FR"/>
          <w14:ligatures w14:val="none"/>
        </w:rPr>
        <w:t xml:space="preserve">Hyperglycémie diagnostiquée pour la première fois pendant la grossesse et qui redevient normale dans les jours qui suivent l’accouchement </w:t>
      </w:r>
    </w:p>
    <w:p w14:paraId="07AA5598" w14:textId="77777777" w:rsidR="00ED4694" w:rsidRPr="00B15634" w:rsidRDefault="00ED4694" w:rsidP="00ED4694">
      <w:pPr>
        <w:pStyle w:val="Sansinterligne"/>
        <w:jc w:val="both"/>
        <w:rPr>
          <w:rFonts w:ascii="Arial" w:eastAsia="Times New Roman" w:hAnsi="Arial" w:cs="Arial"/>
          <w:color w:val="FF0000"/>
          <w:kern w:val="0"/>
          <w:sz w:val="20"/>
          <w:szCs w:val="20"/>
          <w:lang w:eastAsia="fr-FR"/>
          <w14:ligatures w14:val="none"/>
        </w:rPr>
      </w:pPr>
      <w:r w:rsidRPr="00B15634">
        <w:rPr>
          <w:rFonts w:ascii="Arial" w:eastAsia="Times New Roman" w:hAnsi="Arial" w:cs="Arial"/>
          <w:color w:val="FF0000"/>
          <w:kern w:val="0"/>
          <w:sz w:val="20"/>
          <w:szCs w:val="20"/>
          <w:lang w:eastAsia="fr-FR"/>
          <w14:ligatures w14:val="none"/>
        </w:rPr>
        <w:t xml:space="preserve">Parfois, la femme enceinte présentait déjà un diabète de type 2 avant la grossesse mais non diagnostiqué, celui-ci persistera donc après l’accouchement </w:t>
      </w:r>
    </w:p>
    <w:p w14:paraId="2CA25721" w14:textId="77777777" w:rsidR="00ED4694" w:rsidRPr="00B15634" w:rsidRDefault="00ED4694" w:rsidP="00ED4694">
      <w:pPr>
        <w:pStyle w:val="Sansinterligne"/>
        <w:jc w:val="both"/>
        <w:rPr>
          <w:rFonts w:ascii="Arial" w:eastAsia="Times New Roman" w:hAnsi="Arial" w:cs="Arial"/>
          <w:color w:val="FF0000"/>
          <w:kern w:val="0"/>
          <w:sz w:val="20"/>
          <w:szCs w:val="20"/>
          <w:lang w:eastAsia="fr-FR"/>
          <w14:ligatures w14:val="none"/>
        </w:rPr>
      </w:pPr>
      <w:r w:rsidRPr="00B15634">
        <w:rPr>
          <w:rFonts w:ascii="Arial" w:eastAsia="Times New Roman" w:hAnsi="Arial" w:cs="Arial"/>
          <w:color w:val="FF0000"/>
          <w:kern w:val="0"/>
          <w:sz w:val="20"/>
          <w:szCs w:val="20"/>
          <w:lang w:eastAsia="fr-FR"/>
          <w14:ligatures w14:val="none"/>
        </w:rPr>
        <w:t xml:space="preserve">30 à 50 % des diabètes gestationnels (DG) qui apparaissent au cours de la grossesse ne disparaissent pas et déclenchent ensuite un diabète de type 2 en post partum </w:t>
      </w:r>
    </w:p>
    <w:p w14:paraId="6AF54C37"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b/>
          <w:bCs/>
          <w:kern w:val="0"/>
          <w:sz w:val="20"/>
          <w:szCs w:val="20"/>
          <w:lang w:eastAsia="fr-FR"/>
          <w14:ligatures w14:val="none"/>
        </w:rPr>
        <w:lastRenderedPageBreak/>
        <w:t xml:space="preserve">2,5 % des grossesses, 1 femme sur 10 </w:t>
      </w:r>
    </w:p>
    <w:p w14:paraId="5F79D69F"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b/>
          <w:bCs/>
          <w:kern w:val="0"/>
          <w:sz w:val="20"/>
          <w:szCs w:val="20"/>
          <w:lang w:eastAsia="fr-FR"/>
          <w14:ligatures w14:val="none"/>
        </w:rPr>
        <w:t xml:space="preserve">Facteurs de risques : </w:t>
      </w:r>
    </w:p>
    <w:p w14:paraId="602B84ED"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color w:val="FF0000"/>
          <w:kern w:val="0"/>
          <w:sz w:val="20"/>
          <w:szCs w:val="20"/>
          <w:lang w:eastAsia="fr-FR"/>
          <w14:ligatures w14:val="none"/>
        </w:rPr>
        <w:t>-  </w:t>
      </w:r>
      <w:r w:rsidRPr="00B15634">
        <w:rPr>
          <w:rFonts w:ascii="Arial" w:eastAsia="Times New Roman" w:hAnsi="Arial" w:cs="Arial"/>
          <w:b/>
          <w:bCs/>
          <w:color w:val="FF0000"/>
          <w:kern w:val="0"/>
          <w:sz w:val="20"/>
          <w:szCs w:val="20"/>
          <w:lang w:eastAsia="fr-FR"/>
          <w14:ligatures w14:val="none"/>
        </w:rPr>
        <w:t xml:space="preserve">Grossesse tardive </w:t>
      </w:r>
      <w:r w:rsidRPr="00B15634">
        <w:rPr>
          <w:rFonts w:ascii="Arial" w:eastAsia="Times New Roman" w:hAnsi="Arial" w:cs="Arial"/>
          <w:kern w:val="0"/>
          <w:sz w:val="20"/>
          <w:szCs w:val="20"/>
          <w:lang w:eastAsia="fr-FR"/>
          <w14:ligatures w14:val="none"/>
        </w:rPr>
        <w:t xml:space="preserve">: âge de la mère &gt; 35 ans </w:t>
      </w:r>
    </w:p>
    <w:p w14:paraId="009758E9"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color w:val="FF0000"/>
          <w:kern w:val="0"/>
          <w:sz w:val="20"/>
          <w:szCs w:val="20"/>
          <w:lang w:eastAsia="fr-FR"/>
          <w14:ligatures w14:val="none"/>
        </w:rPr>
        <w:t>-  </w:t>
      </w:r>
      <w:r w:rsidRPr="00B15634">
        <w:rPr>
          <w:rFonts w:ascii="Arial" w:eastAsia="Times New Roman" w:hAnsi="Arial" w:cs="Arial"/>
          <w:b/>
          <w:bCs/>
          <w:color w:val="FF0000"/>
          <w:kern w:val="0"/>
          <w:sz w:val="20"/>
          <w:szCs w:val="20"/>
          <w:lang w:eastAsia="fr-FR"/>
          <w14:ligatures w14:val="none"/>
        </w:rPr>
        <w:t xml:space="preserve">Surpoids/obésité </w:t>
      </w:r>
      <w:r w:rsidRPr="00B15634">
        <w:rPr>
          <w:rFonts w:ascii="Arial" w:eastAsia="Times New Roman" w:hAnsi="Arial" w:cs="Arial"/>
          <w:kern w:val="0"/>
          <w:sz w:val="20"/>
          <w:szCs w:val="20"/>
          <w:lang w:eastAsia="fr-FR"/>
          <w14:ligatures w14:val="none"/>
        </w:rPr>
        <w:t xml:space="preserve">avec IMC &gt; 25 </w:t>
      </w:r>
    </w:p>
    <w:p w14:paraId="493A89D5"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w:t>
      </w:r>
      <w:r w:rsidRPr="00B15634">
        <w:rPr>
          <w:rFonts w:ascii="Arial" w:eastAsia="Times New Roman" w:hAnsi="Arial" w:cs="Arial"/>
          <w:b/>
          <w:bCs/>
          <w:kern w:val="0"/>
          <w:sz w:val="20"/>
          <w:szCs w:val="20"/>
          <w:lang w:eastAsia="fr-FR"/>
          <w14:ligatures w14:val="none"/>
        </w:rPr>
        <w:t xml:space="preserve">Antécédents familiaux </w:t>
      </w:r>
      <w:r w:rsidRPr="00B15634">
        <w:rPr>
          <w:rFonts w:ascii="Arial" w:eastAsia="Times New Roman" w:hAnsi="Arial" w:cs="Arial"/>
          <w:kern w:val="0"/>
          <w:sz w:val="20"/>
          <w:szCs w:val="20"/>
          <w:lang w:eastAsia="fr-FR"/>
          <w14:ligatures w14:val="none"/>
        </w:rPr>
        <w:t>au 1</w:t>
      </w:r>
      <w:r w:rsidRPr="00B15634">
        <w:rPr>
          <w:rFonts w:ascii="Arial" w:eastAsia="Times New Roman" w:hAnsi="Arial" w:cs="Arial"/>
          <w:kern w:val="0"/>
          <w:sz w:val="20"/>
          <w:szCs w:val="20"/>
          <w:vertAlign w:val="superscript"/>
          <w:lang w:eastAsia="fr-FR"/>
          <w14:ligatures w14:val="none"/>
        </w:rPr>
        <w:t>er</w:t>
      </w:r>
      <w:r w:rsidRPr="00B15634">
        <w:rPr>
          <w:rFonts w:ascii="Arial" w:eastAsia="Times New Roman" w:hAnsi="Arial" w:cs="Arial"/>
          <w:kern w:val="0"/>
          <w:sz w:val="20"/>
          <w:szCs w:val="20"/>
          <w:lang w:eastAsia="fr-FR"/>
          <w14:ligatures w14:val="none"/>
        </w:rPr>
        <w:t xml:space="preserve"> degré de diabète </w:t>
      </w:r>
    </w:p>
    <w:p w14:paraId="65C68A24" w14:textId="03E36453"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xml:space="preserve">- </w:t>
      </w:r>
      <w:r w:rsidRPr="00B15634">
        <w:rPr>
          <w:rFonts w:ascii="Arial" w:eastAsia="Times New Roman" w:hAnsi="Arial" w:cs="Arial"/>
          <w:b/>
          <w:bCs/>
          <w:kern w:val="0"/>
          <w:sz w:val="20"/>
          <w:szCs w:val="20"/>
          <w:lang w:eastAsia="fr-FR"/>
          <w14:ligatures w14:val="none"/>
        </w:rPr>
        <w:t xml:space="preserve">Antécédents personnels </w:t>
      </w:r>
      <w:r w:rsidRPr="00B15634">
        <w:rPr>
          <w:rFonts w:ascii="Arial" w:eastAsia="Times New Roman" w:hAnsi="Arial" w:cs="Arial"/>
          <w:kern w:val="0"/>
          <w:sz w:val="20"/>
          <w:szCs w:val="20"/>
          <w:lang w:eastAsia="fr-FR"/>
          <w14:ligatures w14:val="none"/>
        </w:rPr>
        <w:t xml:space="preserve">d’intolérance au glucose, de diabète gestationnel lors d’une grossesse précédente,  d’accouchement d’un enfant macrosome (+ 4 kg à terme) </w:t>
      </w:r>
    </w:p>
    <w:p w14:paraId="0CAE839D"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w:t>
      </w:r>
      <w:r w:rsidRPr="00B15634">
        <w:rPr>
          <w:rFonts w:ascii="Arial" w:eastAsia="Times New Roman" w:hAnsi="Arial" w:cs="Arial"/>
          <w:b/>
          <w:bCs/>
          <w:kern w:val="0"/>
          <w:sz w:val="20"/>
          <w:szCs w:val="20"/>
          <w:lang w:eastAsia="fr-FR"/>
          <w14:ligatures w14:val="none"/>
        </w:rPr>
        <w:t xml:space="preserve">Origine </w:t>
      </w:r>
      <w:r w:rsidRPr="00B15634">
        <w:rPr>
          <w:rFonts w:ascii="Arial" w:eastAsia="Times New Roman" w:hAnsi="Arial" w:cs="Arial"/>
          <w:kern w:val="0"/>
          <w:sz w:val="20"/>
          <w:szCs w:val="20"/>
          <w:lang w:eastAsia="fr-FR"/>
          <w14:ligatures w14:val="none"/>
        </w:rPr>
        <w:t xml:space="preserve">: Asie, Antilles, Afrique du Nord </w:t>
      </w:r>
    </w:p>
    <w:p w14:paraId="1DFBCD2B"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xml:space="preserve">-  Prédisposition génétique également pour le diabète MODY 2 = 0,1 % des diabètes gestationnels </w:t>
      </w:r>
    </w:p>
    <w:p w14:paraId="5FFAA7C3"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p>
    <w:p w14:paraId="2E02C612" w14:textId="77777777" w:rsidR="00ED4694" w:rsidRPr="00B15634" w:rsidRDefault="00ED4694" w:rsidP="00ED4694">
      <w:pPr>
        <w:pStyle w:val="Sansinterligne"/>
        <w:numPr>
          <w:ilvl w:val="0"/>
          <w:numId w:val="33"/>
        </w:numPr>
        <w:jc w:val="both"/>
        <w:rPr>
          <w:rFonts w:ascii="Arial" w:eastAsia="Times New Roman" w:hAnsi="Arial" w:cs="Arial"/>
          <w:color w:val="00B0F0"/>
          <w:kern w:val="0"/>
          <w:sz w:val="20"/>
          <w:szCs w:val="20"/>
          <w:u w:val="single"/>
          <w:lang w:eastAsia="fr-FR"/>
          <w14:ligatures w14:val="none"/>
        </w:rPr>
      </w:pPr>
      <w:r w:rsidRPr="00B15634">
        <w:rPr>
          <w:rFonts w:ascii="Arial" w:eastAsia="Times New Roman" w:hAnsi="Arial" w:cs="Arial"/>
          <w:color w:val="00B0F0"/>
          <w:kern w:val="0"/>
          <w:sz w:val="20"/>
          <w:szCs w:val="20"/>
          <w:u w:val="single"/>
          <w:lang w:eastAsia="fr-FR"/>
          <w14:ligatures w14:val="none"/>
        </w:rPr>
        <w:t xml:space="preserve">Dépistage et diagnostic </w:t>
      </w:r>
    </w:p>
    <w:p w14:paraId="3B757F66"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p>
    <w:p w14:paraId="25A5443F" w14:textId="77777777" w:rsidR="00ED4694" w:rsidRPr="00B15634" w:rsidRDefault="00ED4694" w:rsidP="00ED4694">
      <w:pPr>
        <w:pStyle w:val="Sansinterligne"/>
        <w:jc w:val="center"/>
        <w:rPr>
          <w:rFonts w:ascii="Arial" w:hAnsi="Arial" w:cs="Arial"/>
          <w:sz w:val="20"/>
          <w:szCs w:val="20"/>
        </w:rPr>
      </w:pPr>
      <w:r w:rsidRPr="00B15634">
        <w:rPr>
          <w:rFonts w:ascii="Arial" w:hAnsi="Arial" w:cs="Arial"/>
          <w:noProof/>
          <w:sz w:val="20"/>
          <w:szCs w:val="20"/>
        </w:rPr>
        <w:drawing>
          <wp:inline distT="0" distB="0" distL="0" distR="0" wp14:anchorId="3E5825A6" wp14:editId="56A92141">
            <wp:extent cx="4333634" cy="1870344"/>
            <wp:effectExtent l="0" t="0" r="0" b="0"/>
            <wp:docPr id="19982625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262542" name=""/>
                    <pic:cNvPicPr/>
                  </pic:nvPicPr>
                  <pic:blipFill>
                    <a:blip r:embed="rId14"/>
                    <a:stretch>
                      <a:fillRect/>
                    </a:stretch>
                  </pic:blipFill>
                  <pic:spPr>
                    <a:xfrm>
                      <a:off x="0" y="0"/>
                      <a:ext cx="4363155" cy="1883085"/>
                    </a:xfrm>
                    <a:prstGeom prst="rect">
                      <a:avLst/>
                    </a:prstGeom>
                  </pic:spPr>
                </pic:pic>
              </a:graphicData>
            </a:graphic>
          </wp:inline>
        </w:drawing>
      </w:r>
    </w:p>
    <w:p w14:paraId="5037F6B5" w14:textId="77777777" w:rsidR="00ED4694" w:rsidRPr="00B15634" w:rsidRDefault="00ED4694" w:rsidP="00ED4694">
      <w:pPr>
        <w:pStyle w:val="Sansinterligne"/>
        <w:numPr>
          <w:ilvl w:val="0"/>
          <w:numId w:val="33"/>
        </w:numPr>
        <w:jc w:val="both"/>
        <w:rPr>
          <w:rFonts w:ascii="Arial" w:hAnsi="Arial" w:cs="Arial"/>
          <w:color w:val="00B0F0"/>
          <w:sz w:val="20"/>
          <w:szCs w:val="20"/>
          <w:u w:val="single"/>
        </w:rPr>
      </w:pPr>
      <w:r w:rsidRPr="00B15634">
        <w:rPr>
          <w:rFonts w:ascii="Arial" w:hAnsi="Arial" w:cs="Arial"/>
          <w:color w:val="00B0F0"/>
          <w:sz w:val="20"/>
          <w:szCs w:val="20"/>
          <w:u w:val="single"/>
        </w:rPr>
        <w:t xml:space="preserve">Mécanisme de développement </w:t>
      </w:r>
    </w:p>
    <w:p w14:paraId="0E006515"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u w:val="single"/>
          <w:lang w:eastAsia="fr-FR"/>
          <w14:ligatures w14:val="none"/>
        </w:rPr>
        <w:t>Modifications métaboliques (normales) :</w:t>
      </w:r>
      <w:r w:rsidRPr="00B15634">
        <w:rPr>
          <w:rFonts w:ascii="Arial" w:eastAsia="Times New Roman" w:hAnsi="Arial" w:cs="Arial"/>
          <w:kern w:val="0"/>
          <w:sz w:val="20"/>
          <w:szCs w:val="20"/>
          <w:lang w:eastAsia="fr-FR"/>
          <w14:ligatures w14:val="none"/>
        </w:rPr>
        <w:t xml:space="preserve"> </w:t>
      </w:r>
    </w:p>
    <w:p w14:paraId="40329C9D"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xml:space="preserve">-  ++ hypoglycémie </w:t>
      </w:r>
    </w:p>
    <w:p w14:paraId="70AEFF89"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xml:space="preserve">-  ++ cétogenèse </w:t>
      </w:r>
    </w:p>
    <w:p w14:paraId="048E1612"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xml:space="preserve">-  ++ lipolyse </w:t>
      </w:r>
    </w:p>
    <w:p w14:paraId="59F16836"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xml:space="preserve">-  ↓ seuil de réabsorption tubulaire du rein = glycosurie possible </w:t>
      </w:r>
    </w:p>
    <w:p w14:paraId="1D37B7E3" w14:textId="77777777" w:rsidR="00ED4694" w:rsidRPr="00B15634" w:rsidRDefault="00ED4694" w:rsidP="00ED4694">
      <w:pPr>
        <w:pStyle w:val="Sansinterligne"/>
        <w:jc w:val="both"/>
        <w:rPr>
          <w:rFonts w:ascii="Arial" w:eastAsia="Times New Roman" w:hAnsi="Arial" w:cs="Arial"/>
          <w:kern w:val="0"/>
          <w:sz w:val="20"/>
          <w:szCs w:val="20"/>
          <w:u w:val="single"/>
          <w:lang w:eastAsia="fr-FR"/>
          <w14:ligatures w14:val="none"/>
        </w:rPr>
      </w:pPr>
      <w:r w:rsidRPr="00B15634">
        <w:rPr>
          <w:rFonts w:ascii="Arial" w:eastAsia="Times New Roman" w:hAnsi="Arial" w:cs="Arial"/>
          <w:kern w:val="0"/>
          <w:sz w:val="20"/>
          <w:szCs w:val="20"/>
          <w:u w:val="single"/>
          <w:lang w:eastAsia="fr-FR"/>
          <w14:ligatures w14:val="none"/>
        </w:rPr>
        <w:t xml:space="preserve">Modifications hormonales (normales) : </w:t>
      </w:r>
    </w:p>
    <w:p w14:paraId="7D9631E3"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 HPL (</w:t>
      </w:r>
      <w:r w:rsidRPr="00B15634">
        <w:rPr>
          <w:rFonts w:ascii="Arial" w:eastAsia="Times New Roman" w:hAnsi="Arial" w:cs="Arial"/>
          <w:i/>
          <w:iCs/>
          <w:kern w:val="0"/>
          <w:sz w:val="20"/>
          <w:szCs w:val="20"/>
          <w:lang w:eastAsia="fr-FR"/>
          <w14:ligatures w14:val="none"/>
        </w:rPr>
        <w:t>Human Placental Lactogene</w:t>
      </w:r>
      <w:r w:rsidRPr="00B15634">
        <w:rPr>
          <w:rFonts w:ascii="Arial" w:eastAsia="Times New Roman" w:hAnsi="Arial" w:cs="Arial"/>
          <w:kern w:val="0"/>
          <w:sz w:val="20"/>
          <w:szCs w:val="20"/>
          <w:lang w:eastAsia="fr-FR"/>
          <w14:ligatures w14:val="none"/>
        </w:rPr>
        <w:t xml:space="preserve">) </w:t>
      </w:r>
    </w:p>
    <w:p w14:paraId="0604DB09"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xml:space="preserve">-  ++ progestérone </w:t>
      </w:r>
    </w:p>
    <w:p w14:paraId="0353AEA2"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xml:space="preserve">-  ++ prolactine </w:t>
      </w:r>
    </w:p>
    <w:p w14:paraId="3C5F1F78"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xml:space="preserve">-  ++ leptine </w:t>
      </w:r>
    </w:p>
    <w:p w14:paraId="2847154A"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xml:space="preserve">-  ++ cortisol -... </w:t>
      </w:r>
    </w:p>
    <w:p w14:paraId="4A08886E"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b/>
          <w:bCs/>
          <w:color w:val="FF0000"/>
          <w:kern w:val="0"/>
          <w:sz w:val="20"/>
          <w:szCs w:val="20"/>
          <w:lang w:eastAsia="fr-FR"/>
          <w14:ligatures w14:val="none"/>
        </w:rPr>
        <w:t>Mise à disposition de glucose +++ et hypersécrétion d’insuline +++ (besoins en glucose augmentent)</w:t>
      </w:r>
      <w:r w:rsidRPr="00B15634">
        <w:rPr>
          <w:rFonts w:ascii="Arial" w:eastAsia="Times New Roman" w:hAnsi="Arial" w:cs="Arial"/>
          <w:b/>
          <w:bCs/>
          <w:color w:val="FF0000"/>
          <w:kern w:val="0"/>
          <w:sz w:val="20"/>
          <w:szCs w:val="20"/>
          <w:lang w:eastAsia="fr-FR"/>
          <w14:ligatures w14:val="none"/>
        </w:rPr>
        <w:br/>
        <w:t xml:space="preserve">= risque d’insulinorésistance et/ou de déficience de sécrétion en insuline = risque de diabète </w:t>
      </w:r>
    </w:p>
    <w:p w14:paraId="4466C7EA"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p>
    <w:p w14:paraId="361041B0"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p>
    <w:p w14:paraId="28B4C312" w14:textId="77777777" w:rsidR="00ED4694" w:rsidRPr="00B15634" w:rsidRDefault="00ED4694" w:rsidP="00ED4694">
      <w:pPr>
        <w:pStyle w:val="Sansinterligne"/>
        <w:numPr>
          <w:ilvl w:val="0"/>
          <w:numId w:val="33"/>
        </w:numPr>
        <w:jc w:val="both"/>
        <w:rPr>
          <w:rFonts w:ascii="Arial" w:eastAsia="Times New Roman" w:hAnsi="Arial" w:cs="Arial"/>
          <w:color w:val="00B0F0"/>
          <w:kern w:val="0"/>
          <w:sz w:val="20"/>
          <w:szCs w:val="20"/>
          <w:u w:val="single"/>
          <w:lang w:eastAsia="fr-FR"/>
          <w14:ligatures w14:val="none"/>
        </w:rPr>
      </w:pPr>
      <w:r w:rsidRPr="00B15634">
        <w:rPr>
          <w:rFonts w:ascii="Arial" w:eastAsia="Times New Roman" w:hAnsi="Arial" w:cs="Arial"/>
          <w:color w:val="00B0F0"/>
          <w:kern w:val="0"/>
          <w:sz w:val="20"/>
          <w:szCs w:val="20"/>
          <w:u w:val="single"/>
          <w:lang w:eastAsia="fr-FR"/>
          <w14:ligatures w14:val="none"/>
        </w:rPr>
        <w:t xml:space="preserve">Risques maternels et fœtaux / néonataux dus au DG </w:t>
      </w:r>
    </w:p>
    <w:p w14:paraId="39AC63FA"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p>
    <w:p w14:paraId="258450E1" w14:textId="77777777" w:rsidR="00ED4694" w:rsidRPr="00B15634" w:rsidRDefault="00ED4694" w:rsidP="00ED4694">
      <w:pPr>
        <w:pStyle w:val="Sansinterligne"/>
        <w:jc w:val="both"/>
        <w:rPr>
          <w:rFonts w:ascii="Arial" w:eastAsia="Times New Roman" w:hAnsi="Arial" w:cs="Arial"/>
          <w:kern w:val="0"/>
          <w:sz w:val="20"/>
          <w:szCs w:val="20"/>
          <w:u w:val="single"/>
          <w:lang w:eastAsia="fr-FR"/>
          <w14:ligatures w14:val="none"/>
        </w:rPr>
      </w:pPr>
      <w:r w:rsidRPr="00B15634">
        <w:rPr>
          <w:rFonts w:ascii="Arial" w:eastAsia="Times New Roman" w:hAnsi="Arial" w:cs="Arial"/>
          <w:kern w:val="0"/>
          <w:sz w:val="20"/>
          <w:szCs w:val="20"/>
          <w:u w:val="single"/>
          <w:lang w:eastAsia="fr-FR"/>
          <w14:ligatures w14:val="none"/>
        </w:rPr>
        <w:t xml:space="preserve">Risques maternels </w:t>
      </w:r>
    </w:p>
    <w:p w14:paraId="601F8028" w14:textId="77777777" w:rsidR="00ED4694" w:rsidRPr="00B15634" w:rsidRDefault="00ED4694" w:rsidP="00ED4694">
      <w:pPr>
        <w:pStyle w:val="Sansinterligne"/>
        <w:numPr>
          <w:ilvl w:val="0"/>
          <w:numId w:val="3"/>
        </w:numPr>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xml:space="preserve">Sensibilité aux infections </w:t>
      </w:r>
    </w:p>
    <w:p w14:paraId="3384761E" w14:textId="77777777" w:rsidR="00ED4694" w:rsidRPr="00B15634" w:rsidRDefault="00ED4694" w:rsidP="00ED4694">
      <w:pPr>
        <w:pStyle w:val="Sansinterligne"/>
        <w:numPr>
          <w:ilvl w:val="0"/>
          <w:numId w:val="3"/>
        </w:numPr>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xml:space="preserve">Césarienne car macrosomie fœtale </w:t>
      </w:r>
    </w:p>
    <w:p w14:paraId="7BB432D6" w14:textId="77777777" w:rsidR="00ED4694" w:rsidRPr="00B15634" w:rsidRDefault="00ED4694" w:rsidP="00ED4694">
      <w:pPr>
        <w:pStyle w:val="Sansinterligne"/>
        <w:numPr>
          <w:ilvl w:val="0"/>
          <w:numId w:val="3"/>
        </w:numPr>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t xml:space="preserve">30 à 50 % des cas : développement par la suite d’un DT2 </w:t>
      </w:r>
    </w:p>
    <w:p w14:paraId="4B0F490E" w14:textId="77777777" w:rsidR="00ED4694" w:rsidRPr="00B15634" w:rsidRDefault="00ED4694" w:rsidP="00ED4694">
      <w:pPr>
        <w:pStyle w:val="Sansinterligne"/>
        <w:numPr>
          <w:ilvl w:val="0"/>
          <w:numId w:val="3"/>
        </w:numPr>
        <w:jc w:val="both"/>
        <w:rPr>
          <w:rFonts w:ascii="Arial" w:eastAsia="Times New Roman" w:hAnsi="Arial" w:cs="Arial"/>
          <w:kern w:val="0"/>
          <w:sz w:val="20"/>
          <w:szCs w:val="20"/>
          <w:lang w:eastAsia="fr-FR"/>
          <w14:ligatures w14:val="none"/>
        </w:rPr>
      </w:pPr>
      <w:r w:rsidRPr="00B15634">
        <w:rPr>
          <w:rFonts w:ascii="Arial" w:eastAsia="Times New Roman" w:hAnsi="Arial" w:cs="Arial"/>
          <w:b/>
          <w:bCs/>
          <w:kern w:val="0"/>
          <w:sz w:val="20"/>
          <w:szCs w:val="20"/>
          <w:lang w:eastAsia="fr-FR"/>
          <w14:ligatures w14:val="none"/>
        </w:rPr>
        <w:t xml:space="preserve">Hypertension artérielle (HTA) gravidique </w:t>
      </w:r>
      <w:r w:rsidRPr="00B15634">
        <w:rPr>
          <w:rFonts w:ascii="Arial" w:eastAsia="Times New Roman" w:hAnsi="Arial" w:cs="Arial"/>
          <w:kern w:val="0"/>
          <w:sz w:val="20"/>
          <w:szCs w:val="20"/>
          <w:lang w:eastAsia="fr-FR"/>
          <w14:ligatures w14:val="none"/>
        </w:rPr>
        <w:t xml:space="preserve">pour 5% des grossesses </w:t>
      </w:r>
    </w:p>
    <w:p w14:paraId="24728E1B" w14:textId="77777777" w:rsidR="00ED4694" w:rsidRPr="00B15634" w:rsidRDefault="00ED4694" w:rsidP="00ED4694">
      <w:pPr>
        <w:pStyle w:val="Sansinterligne"/>
        <w:numPr>
          <w:ilvl w:val="0"/>
          <w:numId w:val="3"/>
        </w:numPr>
        <w:jc w:val="both"/>
        <w:rPr>
          <w:rFonts w:ascii="Arial" w:eastAsia="Times New Roman" w:hAnsi="Arial" w:cs="Arial"/>
          <w:color w:val="FF0000"/>
          <w:kern w:val="0"/>
          <w:sz w:val="20"/>
          <w:szCs w:val="20"/>
          <w:lang w:eastAsia="fr-FR"/>
          <w14:ligatures w14:val="none"/>
        </w:rPr>
      </w:pPr>
      <w:r w:rsidRPr="00B15634">
        <w:rPr>
          <w:rFonts w:ascii="Arial" w:eastAsia="Times New Roman" w:hAnsi="Arial" w:cs="Arial"/>
          <w:b/>
          <w:bCs/>
          <w:color w:val="FF0000"/>
          <w:kern w:val="0"/>
          <w:sz w:val="20"/>
          <w:szCs w:val="20"/>
          <w:lang w:eastAsia="fr-FR"/>
          <w14:ligatures w14:val="none"/>
        </w:rPr>
        <w:t xml:space="preserve">Pré-éclampsie (= toxémie gravidique) </w:t>
      </w:r>
    </w:p>
    <w:p w14:paraId="59C26A7D" w14:textId="77777777" w:rsidR="00ED4694" w:rsidRPr="00B15634" w:rsidRDefault="00ED4694" w:rsidP="00ED4694">
      <w:pPr>
        <w:pStyle w:val="Sansinterligne"/>
        <w:jc w:val="both"/>
        <w:rPr>
          <w:rFonts w:ascii="Arial" w:eastAsia="Times New Roman" w:hAnsi="Arial" w:cs="Arial"/>
          <w:color w:val="FF0000"/>
          <w:kern w:val="0"/>
          <w:sz w:val="20"/>
          <w:szCs w:val="20"/>
          <w:lang w:eastAsia="fr-FR"/>
          <w14:ligatures w14:val="none"/>
        </w:rPr>
      </w:pPr>
      <w:r w:rsidRPr="00B15634">
        <w:rPr>
          <w:rFonts w:ascii="Arial" w:eastAsia="Times New Roman" w:hAnsi="Arial" w:cs="Arial"/>
          <w:color w:val="FF0000"/>
          <w:kern w:val="0"/>
          <w:sz w:val="20"/>
          <w:szCs w:val="20"/>
          <w:lang w:eastAsia="fr-FR"/>
          <w14:ligatures w14:val="none"/>
        </w:rPr>
        <w:t xml:space="preserve">2 critères : </w:t>
      </w:r>
      <w:r w:rsidRPr="00B15634">
        <w:rPr>
          <w:rFonts w:ascii="Arial" w:eastAsia="Times New Roman" w:hAnsi="Arial" w:cs="Arial"/>
          <w:b/>
          <w:bCs/>
          <w:kern w:val="0"/>
          <w:sz w:val="20"/>
          <w:szCs w:val="20"/>
          <w:lang w:eastAsia="fr-FR"/>
          <w14:ligatures w14:val="none"/>
        </w:rPr>
        <w:t xml:space="preserve">HTA gravidique </w:t>
      </w:r>
      <w:r w:rsidRPr="00B15634">
        <w:rPr>
          <w:rFonts w:ascii="Arial" w:eastAsia="Times New Roman" w:hAnsi="Arial" w:cs="Arial"/>
          <w:kern w:val="0"/>
          <w:sz w:val="20"/>
          <w:szCs w:val="20"/>
          <w:lang w:eastAsia="fr-FR"/>
          <w14:ligatures w14:val="none"/>
        </w:rPr>
        <w:t xml:space="preserve">après 20 semaines d’aménorrhée et </w:t>
      </w:r>
      <w:r w:rsidRPr="00B15634">
        <w:rPr>
          <w:rFonts w:ascii="Arial" w:eastAsia="Times New Roman" w:hAnsi="Arial" w:cs="Arial"/>
          <w:b/>
          <w:bCs/>
          <w:kern w:val="0"/>
          <w:sz w:val="20"/>
          <w:szCs w:val="20"/>
          <w:lang w:eastAsia="fr-FR"/>
          <w14:ligatures w14:val="none"/>
        </w:rPr>
        <w:t xml:space="preserve">Protéinurie </w:t>
      </w:r>
    </w:p>
    <w:p w14:paraId="127C1E98"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sym w:font="Symbol" w:char="F0DE"/>
      </w:r>
      <w:r w:rsidRPr="00B15634">
        <w:rPr>
          <w:rFonts w:ascii="Arial" w:eastAsia="Times New Roman" w:hAnsi="Arial" w:cs="Arial"/>
          <w:kern w:val="0"/>
          <w:sz w:val="20"/>
          <w:szCs w:val="20"/>
          <w:lang w:eastAsia="fr-FR"/>
          <w14:ligatures w14:val="none"/>
        </w:rPr>
        <w:t xml:space="preserve"> Œdèmes, maux de tête, troubles visuels, douleurs abdominales</w:t>
      </w:r>
    </w:p>
    <w:p w14:paraId="3EAE7740"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sym w:font="Symbol" w:char="F0DE"/>
      </w:r>
      <w:r w:rsidRPr="00B15634">
        <w:rPr>
          <w:rFonts w:ascii="Arial" w:eastAsia="Times New Roman" w:hAnsi="Arial" w:cs="Arial"/>
          <w:kern w:val="0"/>
          <w:sz w:val="20"/>
          <w:szCs w:val="20"/>
          <w:lang w:eastAsia="fr-FR"/>
          <w14:ligatures w14:val="none"/>
        </w:rPr>
        <w:t xml:space="preserve"> Condition clinique grave qui constitue une </w:t>
      </w:r>
      <w:r w:rsidRPr="00B15634">
        <w:rPr>
          <w:rFonts w:ascii="Arial" w:eastAsia="Times New Roman" w:hAnsi="Arial" w:cs="Arial"/>
          <w:b/>
          <w:bCs/>
          <w:kern w:val="0"/>
          <w:sz w:val="20"/>
          <w:szCs w:val="20"/>
          <w:lang w:eastAsia="fr-FR"/>
          <w14:ligatures w14:val="none"/>
        </w:rPr>
        <w:t>urgence vitale</w:t>
      </w:r>
      <w:r w:rsidRPr="00B15634">
        <w:rPr>
          <w:rFonts w:ascii="Arial" w:eastAsia="Times New Roman" w:hAnsi="Arial" w:cs="Arial"/>
          <w:kern w:val="0"/>
          <w:sz w:val="20"/>
          <w:szCs w:val="20"/>
          <w:lang w:eastAsia="fr-FR"/>
          <w14:ligatures w14:val="none"/>
        </w:rPr>
        <w:t xml:space="preserve">, à prendre en charge avant l’éclampsie </w:t>
      </w:r>
    </w:p>
    <w:p w14:paraId="46219769" w14:textId="77777777" w:rsidR="00ED4694" w:rsidRPr="00B15634" w:rsidRDefault="00ED4694" w:rsidP="00ED4694">
      <w:pPr>
        <w:pStyle w:val="Sansinterligne"/>
        <w:numPr>
          <w:ilvl w:val="0"/>
          <w:numId w:val="3"/>
        </w:numPr>
        <w:jc w:val="both"/>
        <w:rPr>
          <w:rFonts w:ascii="Arial" w:eastAsia="Times New Roman" w:hAnsi="Arial" w:cs="Arial"/>
          <w:kern w:val="0"/>
          <w:sz w:val="20"/>
          <w:szCs w:val="20"/>
          <w:lang w:eastAsia="fr-FR"/>
          <w14:ligatures w14:val="none"/>
        </w:rPr>
      </w:pPr>
      <w:r w:rsidRPr="00B15634">
        <w:rPr>
          <w:rFonts w:ascii="Arial" w:eastAsia="Times New Roman" w:hAnsi="Arial" w:cs="Arial"/>
          <w:b/>
          <w:bCs/>
          <w:color w:val="FF0000"/>
          <w:kern w:val="0"/>
          <w:sz w:val="20"/>
          <w:szCs w:val="20"/>
          <w:lang w:eastAsia="fr-FR"/>
          <w14:ligatures w14:val="none"/>
        </w:rPr>
        <w:t xml:space="preserve">Eclampsie </w:t>
      </w:r>
    </w:p>
    <w:p w14:paraId="11BA63B9"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sym w:font="Symbol" w:char="F0DE"/>
      </w:r>
      <w:r w:rsidRPr="00B15634">
        <w:rPr>
          <w:rFonts w:ascii="Arial" w:eastAsia="Times New Roman" w:hAnsi="Arial" w:cs="Arial"/>
          <w:kern w:val="0"/>
          <w:sz w:val="20"/>
          <w:szCs w:val="20"/>
          <w:lang w:eastAsia="fr-FR"/>
          <w14:ligatures w14:val="none"/>
        </w:rPr>
        <w:t xml:space="preserve"> Apparition de </w:t>
      </w:r>
      <w:r w:rsidRPr="00B15634">
        <w:rPr>
          <w:rFonts w:ascii="Arial" w:eastAsia="Times New Roman" w:hAnsi="Arial" w:cs="Arial"/>
          <w:b/>
          <w:bCs/>
          <w:kern w:val="0"/>
          <w:sz w:val="20"/>
          <w:szCs w:val="20"/>
          <w:lang w:eastAsia="fr-FR"/>
          <w14:ligatures w14:val="none"/>
        </w:rPr>
        <w:t xml:space="preserve">convulsions </w:t>
      </w:r>
      <w:r w:rsidRPr="00B15634">
        <w:rPr>
          <w:rFonts w:ascii="Arial" w:eastAsia="Times New Roman" w:hAnsi="Arial" w:cs="Arial"/>
          <w:kern w:val="0"/>
          <w:sz w:val="20"/>
          <w:szCs w:val="20"/>
          <w:lang w:eastAsia="fr-FR"/>
          <w14:ligatures w14:val="none"/>
        </w:rPr>
        <w:t xml:space="preserve">dues à une hypertension intracrânienne </w:t>
      </w:r>
    </w:p>
    <w:p w14:paraId="36907C1C"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r w:rsidRPr="00B15634">
        <w:rPr>
          <w:rFonts w:ascii="Arial" w:eastAsia="Times New Roman" w:hAnsi="Arial" w:cs="Arial"/>
          <w:kern w:val="0"/>
          <w:sz w:val="20"/>
          <w:szCs w:val="20"/>
          <w:lang w:eastAsia="fr-FR"/>
          <w14:ligatures w14:val="none"/>
        </w:rPr>
        <w:sym w:font="Symbol" w:char="F0DE"/>
      </w:r>
      <w:r w:rsidRPr="00B15634">
        <w:rPr>
          <w:rFonts w:ascii="Arial" w:eastAsia="Times New Roman" w:hAnsi="Arial" w:cs="Arial"/>
          <w:kern w:val="0"/>
          <w:sz w:val="20"/>
          <w:szCs w:val="20"/>
          <w:lang w:eastAsia="fr-FR"/>
          <w14:ligatures w14:val="none"/>
        </w:rPr>
        <w:t xml:space="preserve"> </w:t>
      </w:r>
      <w:r w:rsidRPr="00B15634">
        <w:rPr>
          <w:rFonts w:ascii="Arial" w:eastAsia="Times New Roman" w:hAnsi="Arial" w:cs="Arial"/>
          <w:b/>
          <w:bCs/>
          <w:kern w:val="0"/>
          <w:sz w:val="20"/>
          <w:szCs w:val="20"/>
          <w:lang w:eastAsia="fr-FR"/>
          <w14:ligatures w14:val="none"/>
        </w:rPr>
        <w:t xml:space="preserve">Insuffisance rénale, AVC hémorragique, décollement du placenta ou hématome rétro-placentaire </w:t>
      </w:r>
    </w:p>
    <w:p w14:paraId="5FF61816" w14:textId="77777777" w:rsidR="00ED4694" w:rsidRPr="00B15634" w:rsidRDefault="00ED4694" w:rsidP="00ED4694">
      <w:pPr>
        <w:pStyle w:val="Sansinterligne"/>
        <w:jc w:val="both"/>
        <w:rPr>
          <w:rFonts w:ascii="Arial" w:eastAsia="Times New Roman" w:hAnsi="Arial" w:cs="Arial"/>
          <w:b/>
          <w:bCs/>
          <w:color w:val="FF0000"/>
          <w:kern w:val="0"/>
          <w:sz w:val="20"/>
          <w:szCs w:val="20"/>
          <w:lang w:eastAsia="fr-FR"/>
          <w14:ligatures w14:val="none"/>
        </w:rPr>
      </w:pPr>
      <w:r w:rsidRPr="00B15634">
        <w:rPr>
          <w:rFonts w:ascii="Arial" w:eastAsia="Times New Roman" w:hAnsi="Arial" w:cs="Arial"/>
          <w:b/>
          <w:bCs/>
          <w:color w:val="FF0000"/>
          <w:kern w:val="0"/>
          <w:sz w:val="20"/>
          <w:szCs w:val="20"/>
          <w:lang w:eastAsia="fr-FR"/>
          <w14:ligatures w14:val="none"/>
        </w:rPr>
        <w:t>La pré-éclampsie et l’éclampsie représentent 5% des grossesses, 40 000 femmes chaque année, 2</w:t>
      </w:r>
      <w:r w:rsidRPr="00B15634">
        <w:rPr>
          <w:rFonts w:ascii="Arial" w:eastAsia="Times New Roman" w:hAnsi="Arial" w:cs="Arial"/>
          <w:b/>
          <w:bCs/>
          <w:color w:val="FF0000"/>
          <w:kern w:val="0"/>
          <w:sz w:val="20"/>
          <w:szCs w:val="20"/>
          <w:vertAlign w:val="superscript"/>
          <w:lang w:eastAsia="fr-FR"/>
          <w14:ligatures w14:val="none"/>
        </w:rPr>
        <w:t>ème</w:t>
      </w:r>
      <w:r w:rsidRPr="00B15634">
        <w:rPr>
          <w:rFonts w:ascii="Arial" w:eastAsia="Times New Roman" w:hAnsi="Arial" w:cs="Arial"/>
          <w:b/>
          <w:bCs/>
          <w:color w:val="FF0000"/>
          <w:kern w:val="0"/>
          <w:position w:val="10"/>
          <w:sz w:val="20"/>
          <w:szCs w:val="20"/>
          <w:lang w:eastAsia="fr-FR"/>
          <w14:ligatures w14:val="none"/>
        </w:rPr>
        <w:t xml:space="preserve"> </w:t>
      </w:r>
      <w:r w:rsidRPr="00B15634">
        <w:rPr>
          <w:rFonts w:ascii="Arial" w:eastAsia="Times New Roman" w:hAnsi="Arial" w:cs="Arial"/>
          <w:b/>
          <w:bCs/>
          <w:color w:val="FF0000"/>
          <w:kern w:val="0"/>
          <w:sz w:val="20"/>
          <w:szCs w:val="20"/>
          <w:lang w:eastAsia="fr-FR"/>
          <w14:ligatures w14:val="none"/>
        </w:rPr>
        <w:t>cause de décès maternel</w:t>
      </w:r>
    </w:p>
    <w:p w14:paraId="7F06DCA1" w14:textId="77777777" w:rsidR="00ED4694" w:rsidRPr="00B15634" w:rsidRDefault="00ED4694" w:rsidP="00ED4694">
      <w:pPr>
        <w:pStyle w:val="Sansinterligne"/>
        <w:jc w:val="both"/>
        <w:rPr>
          <w:rFonts w:ascii="Arial" w:eastAsia="Times New Roman" w:hAnsi="Arial" w:cs="Arial"/>
          <w:b/>
          <w:bCs/>
          <w:color w:val="FF0000"/>
          <w:kern w:val="0"/>
          <w:sz w:val="20"/>
          <w:szCs w:val="20"/>
          <w:lang w:eastAsia="fr-FR"/>
          <w14:ligatures w14:val="none"/>
        </w:rPr>
      </w:pPr>
    </w:p>
    <w:p w14:paraId="454B081F" w14:textId="77777777" w:rsidR="00ED4694" w:rsidRPr="00B15634" w:rsidRDefault="00ED4694" w:rsidP="00ED4694">
      <w:pPr>
        <w:pStyle w:val="Sansinterligne"/>
        <w:jc w:val="both"/>
        <w:rPr>
          <w:rFonts w:ascii="Arial" w:eastAsia="Times New Roman" w:hAnsi="Arial" w:cs="Arial"/>
          <w:kern w:val="0"/>
          <w:sz w:val="20"/>
          <w:szCs w:val="20"/>
          <w:u w:val="single"/>
          <w:lang w:eastAsia="fr-FR"/>
          <w14:ligatures w14:val="none"/>
        </w:rPr>
      </w:pPr>
      <w:r w:rsidRPr="00B15634">
        <w:rPr>
          <w:rFonts w:ascii="Arial" w:hAnsi="Arial" w:cs="Arial"/>
          <w:sz w:val="20"/>
          <w:szCs w:val="20"/>
          <w:u w:val="single"/>
        </w:rPr>
        <w:t xml:space="preserve">Risques fœtaux et néonataux </w:t>
      </w:r>
    </w:p>
    <w:p w14:paraId="6A835C02"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Risques à court terme : </w:t>
      </w:r>
    </w:p>
    <w:p w14:paraId="4C6DB542"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color w:val="FF0000"/>
          <w:sz w:val="20"/>
          <w:szCs w:val="20"/>
        </w:rPr>
        <w:t>-  </w:t>
      </w:r>
      <w:r w:rsidRPr="00B15634">
        <w:rPr>
          <w:rFonts w:ascii="Arial" w:hAnsi="Arial" w:cs="Arial"/>
          <w:b/>
          <w:bCs/>
          <w:color w:val="FF0000"/>
          <w:sz w:val="20"/>
          <w:szCs w:val="20"/>
        </w:rPr>
        <w:t xml:space="preserve">Macrosomie </w:t>
      </w:r>
      <w:r w:rsidRPr="00B15634">
        <w:rPr>
          <w:rFonts w:ascii="Arial" w:hAnsi="Arial" w:cs="Arial"/>
          <w:sz w:val="20"/>
          <w:szCs w:val="20"/>
        </w:rPr>
        <w:t xml:space="preserve">(poids de naissance &gt; 4 kg) </w:t>
      </w:r>
    </w:p>
    <w:p w14:paraId="27CF7A79"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color w:val="FF0000"/>
          <w:sz w:val="20"/>
          <w:szCs w:val="20"/>
        </w:rPr>
        <w:t>-  </w:t>
      </w:r>
      <w:r w:rsidRPr="00B15634">
        <w:rPr>
          <w:rFonts w:ascii="Arial" w:hAnsi="Arial" w:cs="Arial"/>
          <w:b/>
          <w:bCs/>
          <w:color w:val="FF0000"/>
          <w:sz w:val="20"/>
          <w:szCs w:val="20"/>
        </w:rPr>
        <w:t xml:space="preserve">Dystocie </w:t>
      </w:r>
      <w:r w:rsidRPr="00B15634">
        <w:rPr>
          <w:rFonts w:ascii="Arial" w:hAnsi="Arial" w:cs="Arial"/>
          <w:sz w:val="20"/>
          <w:szCs w:val="20"/>
        </w:rPr>
        <w:t xml:space="preserve">(= difficulté rencontrée lors de l’accouchement) due aux épaules, avec risque de traumatismes fœtaux </w:t>
      </w:r>
    </w:p>
    <w:p w14:paraId="5D9A3119"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Détresse respiratoire et complications métaboliques néonatales </w:t>
      </w:r>
    </w:p>
    <w:p w14:paraId="7F5A6E4F"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Mort </w:t>
      </w:r>
      <w:r w:rsidRPr="00B15634">
        <w:rPr>
          <w:rFonts w:ascii="Arial" w:hAnsi="Arial" w:cs="Arial"/>
          <w:i/>
          <w:iCs/>
          <w:sz w:val="20"/>
          <w:szCs w:val="20"/>
        </w:rPr>
        <w:t xml:space="preserve">in utero </w:t>
      </w:r>
      <w:r w:rsidRPr="00B15634">
        <w:rPr>
          <w:rFonts w:ascii="Arial" w:hAnsi="Arial" w:cs="Arial"/>
          <w:sz w:val="20"/>
          <w:szCs w:val="20"/>
        </w:rPr>
        <w:t xml:space="preserve">(rare) </w:t>
      </w:r>
    </w:p>
    <w:p w14:paraId="4B46D1EC"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Risques à long terme : </w:t>
      </w:r>
    </w:p>
    <w:p w14:paraId="76F02312"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w:t>
      </w:r>
      <w:r w:rsidRPr="00B15634">
        <w:rPr>
          <w:rFonts w:ascii="Arial" w:hAnsi="Arial" w:cs="Arial"/>
          <w:b/>
          <w:bCs/>
          <w:sz w:val="20"/>
          <w:szCs w:val="20"/>
        </w:rPr>
        <w:t xml:space="preserve">Obésité </w:t>
      </w:r>
    </w:p>
    <w:p w14:paraId="757E6FA8"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lastRenderedPageBreak/>
        <w:t>-  </w:t>
      </w:r>
      <w:r w:rsidRPr="00B15634">
        <w:rPr>
          <w:rFonts w:ascii="Arial" w:hAnsi="Arial" w:cs="Arial"/>
          <w:b/>
          <w:bCs/>
          <w:sz w:val="20"/>
          <w:szCs w:val="20"/>
        </w:rPr>
        <w:t xml:space="preserve">Diabète de type 2 </w:t>
      </w:r>
    </w:p>
    <w:p w14:paraId="0E8E85A2" w14:textId="77777777" w:rsidR="00ED4694" w:rsidRPr="00B15634" w:rsidRDefault="00ED4694" w:rsidP="00ED4694">
      <w:pPr>
        <w:pStyle w:val="Sansinterligne"/>
        <w:jc w:val="both"/>
        <w:rPr>
          <w:rFonts w:ascii="Arial" w:eastAsia="Times New Roman" w:hAnsi="Arial" w:cs="Arial"/>
          <w:kern w:val="0"/>
          <w:sz w:val="20"/>
          <w:szCs w:val="20"/>
          <w:lang w:eastAsia="fr-FR"/>
          <w14:ligatures w14:val="none"/>
        </w:rPr>
      </w:pPr>
    </w:p>
    <w:p w14:paraId="0CA9463C" w14:textId="77777777" w:rsidR="00ED4694" w:rsidRPr="00B15634" w:rsidRDefault="00ED4694" w:rsidP="00ED4694">
      <w:pPr>
        <w:pStyle w:val="Sansinterligne"/>
        <w:numPr>
          <w:ilvl w:val="0"/>
          <w:numId w:val="11"/>
        </w:numPr>
        <w:jc w:val="both"/>
        <w:rPr>
          <w:rFonts w:ascii="Arial" w:eastAsia="Times New Roman" w:hAnsi="Arial" w:cs="Arial"/>
          <w:b/>
          <w:bCs/>
          <w:kern w:val="0"/>
          <w:sz w:val="20"/>
          <w:szCs w:val="20"/>
          <w:u w:val="single"/>
          <w:lang w:eastAsia="fr-FR"/>
          <w14:ligatures w14:val="none"/>
        </w:rPr>
      </w:pPr>
      <w:r w:rsidRPr="00B15634">
        <w:rPr>
          <w:rFonts w:ascii="Arial" w:eastAsia="Times New Roman" w:hAnsi="Arial" w:cs="Arial"/>
          <w:b/>
          <w:bCs/>
          <w:kern w:val="0"/>
          <w:sz w:val="20"/>
          <w:szCs w:val="20"/>
          <w:u w:val="single"/>
          <w:lang w:eastAsia="fr-FR"/>
          <w14:ligatures w14:val="none"/>
        </w:rPr>
        <w:t xml:space="preserve">Tableau comparatif des différents diabètes </w:t>
      </w:r>
    </w:p>
    <w:p w14:paraId="54F82FFB" w14:textId="77777777" w:rsidR="00ED4694" w:rsidRPr="00B15634" w:rsidRDefault="00ED4694" w:rsidP="00ED4694">
      <w:pPr>
        <w:shd w:val="clear" w:color="auto" w:fill="FFFFFF"/>
        <w:rPr>
          <w:rFonts w:ascii="Arial" w:hAnsi="Arial" w:cs="Arial"/>
        </w:rPr>
      </w:pPr>
      <w:r w:rsidRPr="00B15634">
        <w:rPr>
          <w:rFonts w:ascii="Arial" w:hAnsi="Arial" w:cs="Arial"/>
          <w:noProof/>
        </w:rPr>
        <w:drawing>
          <wp:inline distT="0" distB="0" distL="0" distR="0" wp14:anchorId="316D8D2F" wp14:editId="52CE245B">
            <wp:extent cx="6645910" cy="3187700"/>
            <wp:effectExtent l="0" t="0" r="0" b="0"/>
            <wp:docPr id="5902955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295518" name=""/>
                    <pic:cNvPicPr/>
                  </pic:nvPicPr>
                  <pic:blipFill>
                    <a:blip r:embed="rId15"/>
                    <a:stretch>
                      <a:fillRect/>
                    </a:stretch>
                  </pic:blipFill>
                  <pic:spPr>
                    <a:xfrm>
                      <a:off x="0" y="0"/>
                      <a:ext cx="6645910" cy="3187700"/>
                    </a:xfrm>
                    <a:prstGeom prst="rect">
                      <a:avLst/>
                    </a:prstGeom>
                  </pic:spPr>
                </pic:pic>
              </a:graphicData>
            </a:graphic>
          </wp:inline>
        </w:drawing>
      </w:r>
    </w:p>
    <w:p w14:paraId="50559543" w14:textId="77777777" w:rsidR="00ED4694" w:rsidRPr="00B15634" w:rsidRDefault="00ED4694" w:rsidP="00ED4694">
      <w:pPr>
        <w:shd w:val="clear" w:color="auto" w:fill="FFFFFF"/>
        <w:rPr>
          <w:rFonts w:ascii="Arial" w:hAnsi="Arial" w:cs="Arial"/>
        </w:rPr>
      </w:pPr>
    </w:p>
    <w:p w14:paraId="7E4C0673" w14:textId="77777777" w:rsidR="00ED4694" w:rsidRPr="00B15634" w:rsidRDefault="00ED4694" w:rsidP="00ED4694">
      <w:pPr>
        <w:shd w:val="clear" w:color="auto" w:fill="FFFFFF"/>
        <w:jc w:val="both"/>
        <w:rPr>
          <w:rFonts w:ascii="Arial" w:hAnsi="Arial" w:cs="Arial"/>
          <w:b/>
          <w:bCs/>
          <w:color w:val="5B9BD5" w:themeColor="accent5"/>
          <w:sz w:val="20"/>
          <w:szCs w:val="20"/>
          <w:u w:val="single"/>
        </w:rPr>
      </w:pPr>
      <w:r w:rsidRPr="00B15634">
        <w:rPr>
          <w:rFonts w:ascii="Arial" w:hAnsi="Arial" w:cs="Arial"/>
          <w:b/>
          <w:bCs/>
          <w:color w:val="5B9BD5" w:themeColor="accent5"/>
          <w:sz w:val="20"/>
          <w:szCs w:val="20"/>
          <w:u w:val="single"/>
        </w:rPr>
        <w:t xml:space="preserve">Chapitre 3 : Complications du diabète </w:t>
      </w:r>
    </w:p>
    <w:p w14:paraId="45A0652F" w14:textId="77777777" w:rsidR="00ED4694" w:rsidRPr="00B15634" w:rsidRDefault="00ED4694" w:rsidP="00ED4694">
      <w:pPr>
        <w:pStyle w:val="Sansinterligne"/>
        <w:jc w:val="both"/>
        <w:rPr>
          <w:rFonts w:ascii="Arial" w:hAnsi="Arial" w:cs="Arial"/>
          <w:sz w:val="20"/>
          <w:szCs w:val="20"/>
          <w:lang w:eastAsia="fr-FR"/>
        </w:rPr>
      </w:pPr>
    </w:p>
    <w:p w14:paraId="35569C35" w14:textId="77777777" w:rsidR="00ED4694" w:rsidRPr="00B15634" w:rsidRDefault="00ED4694" w:rsidP="00ED4694">
      <w:pPr>
        <w:pStyle w:val="Sansinterligne"/>
        <w:numPr>
          <w:ilvl w:val="0"/>
          <w:numId w:val="48"/>
        </w:numPr>
        <w:jc w:val="both"/>
        <w:rPr>
          <w:rFonts w:ascii="Arial" w:hAnsi="Arial" w:cs="Arial"/>
          <w:b/>
          <w:bCs/>
          <w:sz w:val="20"/>
          <w:szCs w:val="20"/>
          <w:u w:val="single"/>
          <w:lang w:eastAsia="fr-FR"/>
        </w:rPr>
      </w:pPr>
      <w:r w:rsidRPr="00B15634">
        <w:rPr>
          <w:rFonts w:ascii="Arial" w:hAnsi="Arial" w:cs="Arial"/>
          <w:b/>
          <w:bCs/>
          <w:sz w:val="20"/>
          <w:szCs w:val="20"/>
          <w:u w:val="single"/>
          <w:lang w:eastAsia="fr-FR"/>
        </w:rPr>
        <w:t xml:space="preserve">Complications aiguës </w:t>
      </w:r>
    </w:p>
    <w:p w14:paraId="56B378D1" w14:textId="78DD24FC" w:rsidR="00ED4694" w:rsidRPr="00B15634" w:rsidRDefault="0045505D" w:rsidP="00ED4694">
      <w:pPr>
        <w:pStyle w:val="Sansinterligne"/>
        <w:numPr>
          <w:ilvl w:val="0"/>
          <w:numId w:val="50"/>
        </w:numPr>
        <w:jc w:val="both"/>
        <w:rPr>
          <w:rFonts w:ascii="Arial" w:hAnsi="Arial" w:cs="Arial"/>
          <w:color w:val="FFC000" w:themeColor="accent4"/>
          <w:sz w:val="20"/>
          <w:szCs w:val="20"/>
          <w:u w:val="single"/>
          <w:lang w:eastAsia="fr-FR"/>
        </w:rPr>
      </w:pPr>
      <w:r w:rsidRPr="00B15634">
        <w:rPr>
          <w:rFonts w:ascii="Arial" w:hAnsi="Arial" w:cs="Arial"/>
          <w:color w:val="FFC000" w:themeColor="accent4"/>
          <w:sz w:val="20"/>
          <w:szCs w:val="20"/>
          <w:u w:val="single"/>
          <w:lang w:eastAsia="fr-FR"/>
        </w:rPr>
        <w:t>Hypoglycémie</w:t>
      </w:r>
      <w:r w:rsidR="00ED4694" w:rsidRPr="00B15634">
        <w:rPr>
          <w:rFonts w:ascii="Arial" w:hAnsi="Arial" w:cs="Arial"/>
          <w:color w:val="FFC000" w:themeColor="accent4"/>
          <w:sz w:val="20"/>
          <w:szCs w:val="20"/>
          <w:u w:val="single"/>
          <w:lang w:eastAsia="fr-FR"/>
        </w:rPr>
        <w:t xml:space="preserve">/coma </w:t>
      </w:r>
      <w:r w:rsidRPr="00B15634">
        <w:rPr>
          <w:rFonts w:ascii="Arial" w:hAnsi="Arial" w:cs="Arial"/>
          <w:color w:val="FFC000" w:themeColor="accent4"/>
          <w:sz w:val="20"/>
          <w:szCs w:val="20"/>
          <w:u w:val="single"/>
          <w:lang w:eastAsia="fr-FR"/>
        </w:rPr>
        <w:t>hypoglycémique</w:t>
      </w:r>
      <w:r w:rsidR="00ED4694" w:rsidRPr="00B15634">
        <w:rPr>
          <w:rFonts w:ascii="Arial" w:hAnsi="Arial" w:cs="Arial"/>
          <w:color w:val="FFC000" w:themeColor="accent4"/>
          <w:sz w:val="20"/>
          <w:szCs w:val="20"/>
          <w:u w:val="single"/>
          <w:lang w:eastAsia="fr-FR"/>
        </w:rPr>
        <w:t xml:space="preserve"> </w:t>
      </w:r>
    </w:p>
    <w:p w14:paraId="3E2EC26B" w14:textId="77777777" w:rsidR="00ED4694" w:rsidRPr="00B15634" w:rsidRDefault="00ED4694" w:rsidP="00ED4694">
      <w:pPr>
        <w:pStyle w:val="Sansinterligne"/>
        <w:ind w:left="720"/>
        <w:jc w:val="both"/>
        <w:rPr>
          <w:rFonts w:ascii="Arial" w:hAnsi="Arial" w:cs="Arial"/>
          <w:color w:val="FFC000" w:themeColor="accent4"/>
          <w:sz w:val="20"/>
          <w:szCs w:val="20"/>
          <w:u w:val="single"/>
          <w:lang w:eastAsia="fr-FR"/>
        </w:rPr>
      </w:pPr>
    </w:p>
    <w:p w14:paraId="22E54A34"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Diagnostic par la </w:t>
      </w:r>
      <w:r w:rsidRPr="00B15634">
        <w:rPr>
          <w:rFonts w:ascii="Arial" w:hAnsi="Arial" w:cs="Arial"/>
          <w:sz w:val="20"/>
          <w:szCs w:val="20"/>
          <w:u w:val="single"/>
          <w:lang w:eastAsia="fr-FR"/>
        </w:rPr>
        <w:t>triade de Whipple</w:t>
      </w:r>
      <w:r w:rsidRPr="00B15634">
        <w:rPr>
          <w:rFonts w:ascii="Arial" w:hAnsi="Arial" w:cs="Arial"/>
          <w:sz w:val="20"/>
          <w:szCs w:val="20"/>
          <w:lang w:eastAsia="fr-FR"/>
        </w:rPr>
        <w:t xml:space="preserve"> : </w:t>
      </w:r>
    </w:p>
    <w:p w14:paraId="515C83BB" w14:textId="77777777" w:rsidR="00ED4694" w:rsidRPr="00B15634" w:rsidRDefault="00ED4694" w:rsidP="00ED4694">
      <w:pPr>
        <w:pStyle w:val="Sansinterligne"/>
        <w:numPr>
          <w:ilvl w:val="0"/>
          <w:numId w:val="51"/>
        </w:numPr>
        <w:jc w:val="both"/>
        <w:rPr>
          <w:rFonts w:ascii="Arial" w:hAnsi="Arial" w:cs="Arial"/>
          <w:sz w:val="20"/>
          <w:szCs w:val="20"/>
          <w:lang w:eastAsia="fr-FR"/>
        </w:rPr>
      </w:pPr>
      <w:r w:rsidRPr="00B15634">
        <w:rPr>
          <w:rFonts w:ascii="Arial" w:hAnsi="Arial" w:cs="Arial"/>
          <w:b/>
          <w:bCs/>
          <w:color w:val="FF0000"/>
          <w:sz w:val="20"/>
          <w:szCs w:val="20"/>
          <w:lang w:eastAsia="fr-FR"/>
        </w:rPr>
        <w:t>Symptômes</w:t>
      </w:r>
      <w:r w:rsidRPr="00B15634">
        <w:rPr>
          <w:rFonts w:ascii="Arial" w:hAnsi="Arial" w:cs="Arial"/>
          <w:color w:val="FF0000"/>
          <w:sz w:val="20"/>
          <w:szCs w:val="20"/>
          <w:lang w:eastAsia="fr-FR"/>
        </w:rPr>
        <w:t xml:space="preserve"> : pâleur, sueurs, angoisse, tachycardie </w:t>
      </w:r>
      <w:r w:rsidRPr="00B15634">
        <w:rPr>
          <w:rFonts w:ascii="Arial" w:hAnsi="Arial" w:cs="Arial"/>
          <w:sz w:val="20"/>
          <w:szCs w:val="20"/>
          <w:lang w:eastAsia="fr-FR"/>
        </w:rPr>
        <w:t>(car augmentation du débit sanguin afin d’essayer d’amener ++ de glucose aux organes), fatigue, faim, irritabilité</w:t>
      </w:r>
    </w:p>
    <w:p w14:paraId="65368AC7" w14:textId="77777777" w:rsidR="00ED4694" w:rsidRPr="00B15634" w:rsidRDefault="00ED4694" w:rsidP="00ED4694">
      <w:pPr>
        <w:pStyle w:val="Sansinterligne"/>
        <w:ind w:left="720"/>
        <w:jc w:val="both"/>
        <w:rPr>
          <w:rFonts w:ascii="Arial" w:hAnsi="Arial" w:cs="Arial"/>
          <w:sz w:val="20"/>
          <w:szCs w:val="20"/>
          <w:lang w:eastAsia="fr-FR"/>
        </w:rPr>
      </w:pPr>
      <w:r w:rsidRPr="00B15634">
        <w:rPr>
          <w:rFonts w:ascii="Arial" w:hAnsi="Arial" w:cs="Arial"/>
          <w:sz w:val="20"/>
          <w:szCs w:val="20"/>
          <w:lang w:eastAsia="fr-FR"/>
        </w:rPr>
        <w:t xml:space="preserve">Si hypoglycémie majeure alors syndrome pyramidal avec </w:t>
      </w:r>
      <w:r w:rsidRPr="00B15634">
        <w:rPr>
          <w:rFonts w:ascii="Arial" w:hAnsi="Arial" w:cs="Arial"/>
          <w:color w:val="FF0000"/>
          <w:sz w:val="20"/>
          <w:szCs w:val="20"/>
          <w:lang w:eastAsia="fr-FR"/>
        </w:rPr>
        <w:t xml:space="preserve">signe de Babinski </w:t>
      </w:r>
      <w:r w:rsidRPr="00B15634">
        <w:rPr>
          <w:rFonts w:ascii="Arial" w:hAnsi="Arial" w:cs="Arial"/>
          <w:sz w:val="20"/>
          <w:szCs w:val="20"/>
          <w:lang w:eastAsia="fr-FR"/>
        </w:rPr>
        <w:t xml:space="preserve">(réponse en extension du gros orteil lors de la recherche du réflexe cutané plantaire, normalement flexion du gros orteil) </w:t>
      </w:r>
    </w:p>
    <w:p w14:paraId="7876D912" w14:textId="77777777" w:rsidR="00ED4694" w:rsidRPr="00B15634" w:rsidRDefault="00ED4694" w:rsidP="00ED4694">
      <w:pPr>
        <w:pStyle w:val="Sansinterligne"/>
        <w:numPr>
          <w:ilvl w:val="0"/>
          <w:numId w:val="51"/>
        </w:numPr>
        <w:jc w:val="both"/>
        <w:rPr>
          <w:rFonts w:ascii="Arial" w:hAnsi="Arial" w:cs="Arial"/>
          <w:sz w:val="20"/>
          <w:szCs w:val="20"/>
          <w:lang w:eastAsia="fr-FR"/>
        </w:rPr>
      </w:pPr>
      <w:r w:rsidRPr="00B15634">
        <w:rPr>
          <w:rFonts w:ascii="Arial" w:hAnsi="Arial" w:cs="Arial"/>
          <w:sz w:val="20"/>
          <w:szCs w:val="20"/>
          <w:lang w:eastAsia="fr-FR"/>
        </w:rPr>
        <w:t xml:space="preserve">Confirmation biologique avec une </w:t>
      </w:r>
      <w:r w:rsidRPr="00B15634">
        <w:rPr>
          <w:rFonts w:ascii="Arial" w:hAnsi="Arial" w:cs="Arial"/>
          <w:color w:val="FF0000"/>
          <w:sz w:val="20"/>
          <w:szCs w:val="20"/>
          <w:lang w:eastAsia="fr-FR"/>
        </w:rPr>
        <w:t xml:space="preserve">hypoglycémie importante </w:t>
      </w:r>
      <w:r w:rsidRPr="00B15634">
        <w:rPr>
          <w:rFonts w:ascii="Arial" w:hAnsi="Arial" w:cs="Arial"/>
          <w:sz w:val="20"/>
          <w:szCs w:val="20"/>
          <w:lang w:eastAsia="fr-FR"/>
        </w:rPr>
        <w:t xml:space="preserve">(mineure 2,2 – 3,9 mmol/L, majeure &lt; 2,2 mmol/L) </w:t>
      </w:r>
    </w:p>
    <w:p w14:paraId="02726D25" w14:textId="77777777" w:rsidR="00ED4694" w:rsidRPr="00B15634" w:rsidRDefault="00ED4694" w:rsidP="00ED4694">
      <w:pPr>
        <w:pStyle w:val="Sansinterligne"/>
        <w:numPr>
          <w:ilvl w:val="0"/>
          <w:numId w:val="51"/>
        </w:numPr>
        <w:jc w:val="both"/>
        <w:rPr>
          <w:rFonts w:ascii="Arial" w:hAnsi="Arial" w:cs="Arial"/>
          <w:sz w:val="20"/>
          <w:szCs w:val="20"/>
          <w:lang w:eastAsia="fr-FR"/>
        </w:rPr>
      </w:pPr>
      <w:r w:rsidRPr="00B15634">
        <w:rPr>
          <w:rFonts w:ascii="Arial" w:hAnsi="Arial" w:cs="Arial"/>
          <w:color w:val="FF0000"/>
          <w:sz w:val="20"/>
          <w:szCs w:val="20"/>
          <w:lang w:eastAsia="fr-FR"/>
        </w:rPr>
        <w:t xml:space="preserve">Disparition des symptômes en prenant du glucose </w:t>
      </w:r>
    </w:p>
    <w:p w14:paraId="7AD1E39A" w14:textId="77777777" w:rsidR="00ED4694" w:rsidRPr="00B15634" w:rsidRDefault="00ED4694" w:rsidP="00ED4694">
      <w:pPr>
        <w:pStyle w:val="Sansinterligne"/>
        <w:jc w:val="both"/>
        <w:rPr>
          <w:rFonts w:ascii="Arial" w:hAnsi="Arial" w:cs="Arial"/>
          <w:sz w:val="20"/>
          <w:szCs w:val="20"/>
          <w:lang w:eastAsia="fr-FR"/>
        </w:rPr>
      </w:pPr>
    </w:p>
    <w:p w14:paraId="61158FDE"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Causes</w:t>
      </w:r>
      <w:r w:rsidRPr="00B15634">
        <w:rPr>
          <w:rFonts w:ascii="Arial" w:hAnsi="Arial" w:cs="Arial"/>
          <w:sz w:val="20"/>
          <w:szCs w:val="20"/>
          <w:lang w:eastAsia="fr-FR"/>
        </w:rPr>
        <w:t xml:space="preserve"> :</w:t>
      </w:r>
    </w:p>
    <w:p w14:paraId="133D3169"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w:t>
      </w:r>
      <w:r w:rsidRPr="00B15634">
        <w:rPr>
          <w:rFonts w:ascii="Arial" w:hAnsi="Arial" w:cs="Arial"/>
          <w:color w:val="FF0000"/>
          <w:sz w:val="20"/>
          <w:szCs w:val="20"/>
          <w:lang w:eastAsia="fr-FR"/>
        </w:rPr>
        <w:t xml:space="preserve">Surdosage d’un traitement jouant sur l’insuline </w:t>
      </w:r>
      <w:r w:rsidRPr="00B15634">
        <w:rPr>
          <w:rFonts w:ascii="Arial" w:hAnsi="Arial" w:cs="Arial"/>
          <w:sz w:val="20"/>
          <w:szCs w:val="20"/>
          <w:lang w:eastAsia="fr-FR"/>
        </w:rPr>
        <w:t xml:space="preserve">→ Insuline injectable, Sulfamide hypoglycémiant, Glinide </w:t>
      </w:r>
    </w:p>
    <w:p w14:paraId="2D9D42FE"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Effort physique intense</w:t>
      </w:r>
    </w:p>
    <w:p w14:paraId="051FC672"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Insuffisance d’apport alimentaire</w:t>
      </w:r>
    </w:p>
    <w:p w14:paraId="2F0CB16C"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Insuffisance rénale ou hépatique</w:t>
      </w:r>
    </w:p>
    <w:p w14:paraId="14FF43F2" w14:textId="77777777" w:rsidR="00ED4694" w:rsidRPr="00B15634" w:rsidRDefault="00ED4694" w:rsidP="00ED4694">
      <w:pPr>
        <w:pStyle w:val="Sansinterligne"/>
        <w:jc w:val="both"/>
        <w:rPr>
          <w:rFonts w:ascii="Arial" w:hAnsi="Arial" w:cs="Arial"/>
          <w:sz w:val="20"/>
          <w:szCs w:val="20"/>
          <w:lang w:eastAsia="fr-FR"/>
        </w:rPr>
      </w:pPr>
    </w:p>
    <w:p w14:paraId="1FDE47E0"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Risques</w:t>
      </w:r>
      <w:r w:rsidRPr="00B15634">
        <w:rPr>
          <w:rFonts w:ascii="Arial" w:hAnsi="Arial" w:cs="Arial"/>
          <w:sz w:val="20"/>
          <w:szCs w:val="20"/>
          <w:lang w:eastAsia="fr-FR"/>
        </w:rPr>
        <w:t xml:space="preserve"> :</w:t>
      </w:r>
    </w:p>
    <w:p w14:paraId="2D780F4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w:t>
      </w:r>
      <w:r w:rsidRPr="00B15634">
        <w:rPr>
          <w:rFonts w:ascii="Arial" w:hAnsi="Arial" w:cs="Arial"/>
          <w:color w:val="FF0000"/>
          <w:sz w:val="20"/>
          <w:szCs w:val="20"/>
          <w:lang w:eastAsia="fr-FR"/>
        </w:rPr>
        <w:t xml:space="preserve">Coma hypoglycémique </w:t>
      </w:r>
      <w:r w:rsidRPr="00B15634">
        <w:rPr>
          <w:rFonts w:ascii="Arial" w:hAnsi="Arial" w:cs="Arial"/>
          <w:sz w:val="20"/>
          <w:szCs w:val="20"/>
          <w:lang w:eastAsia="fr-FR"/>
        </w:rPr>
        <w:t>: brutal, le plus fréquent et le plus grave, glycémie &lt; 0,5 g/L</w:t>
      </w:r>
    </w:p>
    <w:p w14:paraId="71EDF0E6"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sym w:font="Symbol" w:char="F0DE"/>
      </w:r>
      <w:r w:rsidRPr="00B15634">
        <w:rPr>
          <w:rFonts w:ascii="Arial" w:hAnsi="Arial" w:cs="Arial"/>
          <w:sz w:val="20"/>
          <w:szCs w:val="20"/>
          <w:lang w:eastAsia="fr-FR"/>
        </w:rPr>
        <w:t xml:space="preserve"> Manque de glucose général et surtout pour le cerveau = débit vasculaire cérébral augmenté afin de tenter d’amener ++ de glucose au cerveau = débit trop rapide pour assurer une bonne oxygénation du cerveau </w:t>
      </w:r>
    </w:p>
    <w:p w14:paraId="503FA1E9"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AVC </w:t>
      </w:r>
    </w:p>
    <w:p w14:paraId="34335950"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Séquelles neurologiques </w:t>
      </w:r>
    </w:p>
    <w:p w14:paraId="30F61A98" w14:textId="77777777" w:rsidR="00ED4694" w:rsidRPr="00B15634" w:rsidRDefault="00ED4694" w:rsidP="00ED4694">
      <w:pPr>
        <w:pStyle w:val="Sansinterligne"/>
        <w:jc w:val="both"/>
        <w:rPr>
          <w:rFonts w:ascii="Arial" w:hAnsi="Arial" w:cs="Arial"/>
          <w:sz w:val="20"/>
          <w:szCs w:val="20"/>
          <w:lang w:eastAsia="fr-FR"/>
        </w:rPr>
      </w:pPr>
    </w:p>
    <w:p w14:paraId="6C670C76" w14:textId="77777777" w:rsidR="00ED4694" w:rsidRDefault="00ED4694" w:rsidP="00ED4694">
      <w:pPr>
        <w:pStyle w:val="Sansinterligne"/>
        <w:numPr>
          <w:ilvl w:val="0"/>
          <w:numId w:val="50"/>
        </w:numPr>
        <w:jc w:val="both"/>
        <w:rPr>
          <w:rFonts w:ascii="Arial" w:hAnsi="Arial" w:cs="Arial"/>
          <w:color w:val="FFC000" w:themeColor="accent4"/>
          <w:sz w:val="20"/>
          <w:szCs w:val="20"/>
          <w:u w:val="single"/>
          <w:lang w:eastAsia="fr-FR"/>
        </w:rPr>
      </w:pPr>
      <w:r w:rsidRPr="00B15634">
        <w:rPr>
          <w:rFonts w:ascii="Arial" w:hAnsi="Arial" w:cs="Arial"/>
          <w:color w:val="FFC000" w:themeColor="accent4"/>
          <w:sz w:val="20"/>
          <w:szCs w:val="20"/>
          <w:u w:val="single"/>
          <w:lang w:eastAsia="fr-FR"/>
        </w:rPr>
        <w:t xml:space="preserve">Acidocétose/coma acidocétosique </w:t>
      </w:r>
    </w:p>
    <w:p w14:paraId="38CD5F4F" w14:textId="77777777" w:rsidR="007A6509" w:rsidRPr="00B15634" w:rsidRDefault="007A6509" w:rsidP="007A6509">
      <w:pPr>
        <w:pStyle w:val="Sansinterligne"/>
        <w:jc w:val="both"/>
        <w:rPr>
          <w:rFonts w:ascii="Arial" w:hAnsi="Arial" w:cs="Arial"/>
          <w:color w:val="FFC000" w:themeColor="accent4"/>
          <w:sz w:val="20"/>
          <w:szCs w:val="20"/>
          <w:u w:val="single"/>
          <w:lang w:eastAsia="fr-FR"/>
        </w:rPr>
      </w:pPr>
    </w:p>
    <w:p w14:paraId="48560380"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Circonstance d’apparition</w:t>
      </w:r>
      <w:r w:rsidRPr="00B15634">
        <w:rPr>
          <w:rFonts w:ascii="Arial" w:hAnsi="Arial" w:cs="Arial"/>
          <w:sz w:val="20"/>
          <w:szCs w:val="20"/>
          <w:lang w:eastAsia="fr-FR"/>
        </w:rPr>
        <w:t xml:space="preserve"> : </w:t>
      </w:r>
    </w:p>
    <w:p w14:paraId="26D1306D"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Inaugurale dans 20% des cas </w:t>
      </w:r>
    </w:p>
    <w:p w14:paraId="423B80CB"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Facteur hyperglycémiant (infection dans 35% des cas) </w:t>
      </w:r>
    </w:p>
    <w:p w14:paraId="7FC8B240"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Erreur thérapeutique (pompe insuline non fonctionnelle) </w:t>
      </w:r>
    </w:p>
    <w:p w14:paraId="516B3E88"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Grossesse (besoin ++ d’insuline dès le 2</w:t>
      </w:r>
      <w:r w:rsidRPr="00B15634">
        <w:rPr>
          <w:rFonts w:ascii="Arial" w:hAnsi="Arial" w:cs="Arial"/>
          <w:sz w:val="20"/>
          <w:szCs w:val="20"/>
          <w:vertAlign w:val="superscript"/>
          <w:lang w:eastAsia="fr-FR"/>
        </w:rPr>
        <w:t>ème</w:t>
      </w:r>
      <w:r w:rsidRPr="00B15634">
        <w:rPr>
          <w:rFonts w:ascii="Arial" w:hAnsi="Arial" w:cs="Arial"/>
          <w:sz w:val="20"/>
          <w:szCs w:val="20"/>
          <w:lang w:eastAsia="fr-FR"/>
        </w:rPr>
        <w:t xml:space="preserve"> trimestre) </w:t>
      </w:r>
      <w:r w:rsidRPr="00B15634">
        <w:rPr>
          <w:rFonts w:ascii="Arial" w:hAnsi="Arial" w:cs="Arial"/>
          <w:color w:val="FF0000"/>
          <w:sz w:val="20"/>
          <w:szCs w:val="20"/>
          <w:lang w:eastAsia="fr-FR"/>
        </w:rPr>
        <w:sym w:font="Symbol" w:char="F0DE"/>
      </w:r>
      <w:r w:rsidRPr="00B15634">
        <w:rPr>
          <w:rFonts w:ascii="Arial" w:hAnsi="Arial" w:cs="Arial"/>
          <w:color w:val="FF0000"/>
          <w:sz w:val="20"/>
          <w:szCs w:val="20"/>
          <w:lang w:eastAsia="fr-FR"/>
        </w:rPr>
        <w:t xml:space="preserve"> Carence profonde en insuline </w:t>
      </w:r>
    </w:p>
    <w:p w14:paraId="1A4AB5DC"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chez les diabétiques de type 1 non traité ou chez le diabétique de type 2 en situation de stress biologique : infection sévère, AVC ou intervention chirurgicale qui induit +++ les catécholamines et le glucagon </w:t>
      </w:r>
    </w:p>
    <w:p w14:paraId="3F2F7337" w14:textId="77777777" w:rsidR="00ED4694" w:rsidRPr="00B15634" w:rsidRDefault="00ED4694" w:rsidP="00ED4694">
      <w:pPr>
        <w:pStyle w:val="Sansinterligne"/>
        <w:jc w:val="both"/>
        <w:rPr>
          <w:rFonts w:ascii="Arial" w:hAnsi="Arial" w:cs="Arial"/>
          <w:sz w:val="20"/>
          <w:szCs w:val="20"/>
          <w:lang w:eastAsia="fr-FR"/>
        </w:rPr>
      </w:pPr>
    </w:p>
    <w:p w14:paraId="1A63EAF6" w14:textId="77777777" w:rsidR="00ED4694" w:rsidRPr="00B15634" w:rsidRDefault="00ED4694" w:rsidP="00ED4694">
      <w:pPr>
        <w:pStyle w:val="Sansinterligne"/>
        <w:jc w:val="both"/>
        <w:rPr>
          <w:rFonts w:ascii="Arial" w:hAnsi="Arial" w:cs="Arial"/>
          <w:b/>
          <w:bCs/>
          <w:sz w:val="20"/>
          <w:szCs w:val="20"/>
          <w:u w:val="single"/>
          <w:lang w:eastAsia="fr-FR"/>
        </w:rPr>
      </w:pPr>
      <w:r w:rsidRPr="00B15634">
        <w:rPr>
          <w:rFonts w:ascii="Arial" w:hAnsi="Arial" w:cs="Arial"/>
          <w:sz w:val="20"/>
          <w:szCs w:val="20"/>
          <w:u w:val="single"/>
          <w:lang w:eastAsia="fr-FR"/>
        </w:rPr>
        <w:t>Symptômes</w:t>
      </w:r>
      <w:r w:rsidRPr="00B15634">
        <w:rPr>
          <w:rFonts w:ascii="Arial" w:hAnsi="Arial" w:cs="Arial"/>
          <w:b/>
          <w:bCs/>
          <w:sz w:val="20"/>
          <w:szCs w:val="20"/>
          <w:u w:val="single"/>
          <w:lang w:eastAsia="fr-FR"/>
        </w:rPr>
        <w:t xml:space="preserve"> : </w:t>
      </w:r>
    </w:p>
    <w:p w14:paraId="06399B04"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Symptômes du diabète accentués : polyurie, polydipsie, asthénie </w:t>
      </w:r>
    </w:p>
    <w:p w14:paraId="6AFC8C0B"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FF0000"/>
          <w:sz w:val="20"/>
          <w:szCs w:val="20"/>
          <w:lang w:eastAsia="fr-FR"/>
        </w:rPr>
        <w:t xml:space="preserve">-  Vomissements, diarrhées </w:t>
      </w:r>
    </w:p>
    <w:p w14:paraId="7595668C"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FF0000"/>
          <w:sz w:val="20"/>
          <w:szCs w:val="20"/>
          <w:lang w:eastAsia="fr-FR"/>
        </w:rPr>
        <w:t xml:space="preserve">-  Odeur acétonique de l’haleine </w:t>
      </w:r>
    </w:p>
    <w:p w14:paraId="7F8C001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FF0000"/>
          <w:sz w:val="20"/>
          <w:szCs w:val="20"/>
          <w:lang w:eastAsia="fr-FR"/>
        </w:rPr>
        <w:lastRenderedPageBreak/>
        <w:t xml:space="preserve">-  Polypnée de Küssmaul </w:t>
      </w:r>
      <w:r w:rsidRPr="00B15634">
        <w:rPr>
          <w:rFonts w:ascii="Arial" w:hAnsi="Arial" w:cs="Arial"/>
          <w:sz w:val="20"/>
          <w:szCs w:val="20"/>
          <w:lang w:eastAsia="fr-FR"/>
        </w:rPr>
        <w:t xml:space="preserve">: trouble respiratoire cyclique : apnée, mouvements respiratoires d’amplitude croissante, mouvements respiratoires d’amplitude décroissante </w:t>
      </w:r>
    </w:p>
    <w:p w14:paraId="38EB8C14" w14:textId="77777777" w:rsidR="00ED4694" w:rsidRPr="00B15634" w:rsidRDefault="00ED4694" w:rsidP="00ED4694">
      <w:pPr>
        <w:pStyle w:val="Sansinterligne"/>
        <w:jc w:val="both"/>
        <w:rPr>
          <w:rFonts w:ascii="Arial" w:hAnsi="Arial" w:cs="Arial"/>
          <w:sz w:val="20"/>
          <w:szCs w:val="20"/>
          <w:lang w:eastAsia="fr-FR"/>
        </w:rPr>
      </w:pPr>
    </w:p>
    <w:p w14:paraId="3F69B781" w14:textId="77777777" w:rsidR="00ED4694" w:rsidRPr="00B15634" w:rsidRDefault="00ED4694" w:rsidP="00ED4694">
      <w:pPr>
        <w:pStyle w:val="Sansinterligne"/>
        <w:jc w:val="both"/>
        <w:rPr>
          <w:rFonts w:ascii="Arial" w:hAnsi="Arial" w:cs="Arial"/>
          <w:b/>
          <w:bCs/>
          <w:sz w:val="20"/>
          <w:szCs w:val="20"/>
          <w:u w:val="single"/>
          <w:lang w:eastAsia="fr-FR"/>
        </w:rPr>
      </w:pPr>
      <w:r w:rsidRPr="00B15634">
        <w:rPr>
          <w:rFonts w:ascii="Arial" w:hAnsi="Arial" w:cs="Arial"/>
          <w:sz w:val="20"/>
          <w:szCs w:val="20"/>
          <w:u w:val="single"/>
          <w:lang w:eastAsia="fr-FR"/>
        </w:rPr>
        <w:t>Biologie</w:t>
      </w:r>
      <w:r w:rsidRPr="00B15634">
        <w:rPr>
          <w:rFonts w:ascii="Arial" w:hAnsi="Arial" w:cs="Arial"/>
          <w:b/>
          <w:bCs/>
          <w:sz w:val="20"/>
          <w:szCs w:val="20"/>
          <w:u w:val="single"/>
          <w:lang w:eastAsia="fr-FR"/>
        </w:rPr>
        <w:t xml:space="preserve"> : </w:t>
      </w:r>
    </w:p>
    <w:p w14:paraId="55B19A57"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FF0000"/>
          <w:sz w:val="20"/>
          <w:szCs w:val="20"/>
          <w:lang w:eastAsia="fr-FR"/>
        </w:rPr>
        <w:t xml:space="preserve">-  Hyperglycémie </w:t>
      </w:r>
      <w:r w:rsidRPr="00B15634">
        <w:rPr>
          <w:rFonts w:ascii="Arial" w:hAnsi="Arial" w:cs="Arial"/>
          <w:sz w:val="20"/>
          <w:szCs w:val="20"/>
          <w:lang w:eastAsia="fr-FR"/>
        </w:rPr>
        <w:t xml:space="preserve">+++ </w:t>
      </w:r>
    </w:p>
    <w:p w14:paraId="197AEA94"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FF0000"/>
          <w:sz w:val="20"/>
          <w:szCs w:val="20"/>
          <w:lang w:eastAsia="fr-FR"/>
        </w:rPr>
        <w:t xml:space="preserve">-  Glycosurie </w:t>
      </w:r>
      <w:r w:rsidRPr="00B15634">
        <w:rPr>
          <w:rFonts w:ascii="Arial" w:hAnsi="Arial" w:cs="Arial"/>
          <w:sz w:val="20"/>
          <w:szCs w:val="20"/>
          <w:lang w:eastAsia="fr-FR"/>
        </w:rPr>
        <w:t xml:space="preserve">+++ </w:t>
      </w:r>
    </w:p>
    <w:p w14:paraId="1B85E39E"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FF0000"/>
          <w:sz w:val="20"/>
          <w:szCs w:val="20"/>
          <w:lang w:eastAsia="fr-FR"/>
        </w:rPr>
        <w:t xml:space="preserve">-  Cétose </w:t>
      </w:r>
      <w:r w:rsidRPr="00B15634">
        <w:rPr>
          <w:rFonts w:ascii="Arial" w:hAnsi="Arial" w:cs="Arial"/>
          <w:sz w:val="20"/>
          <w:szCs w:val="20"/>
          <w:lang w:eastAsia="fr-FR"/>
        </w:rPr>
        <w:t xml:space="preserve">= cétonurie et cétonémie +++ </w:t>
      </w:r>
    </w:p>
    <w:p w14:paraId="7A79F28C"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FF0000"/>
          <w:sz w:val="20"/>
          <w:szCs w:val="20"/>
          <w:lang w:eastAsia="fr-FR"/>
        </w:rPr>
        <w:t xml:space="preserve">-  Acidose métabolique </w:t>
      </w:r>
      <w:r w:rsidRPr="00B15634">
        <w:rPr>
          <w:rFonts w:ascii="Arial" w:hAnsi="Arial" w:cs="Arial"/>
          <w:sz w:val="20"/>
          <w:szCs w:val="20"/>
          <w:lang w:eastAsia="fr-FR"/>
        </w:rPr>
        <w:t>: compensée si ↓ HCO</w:t>
      </w:r>
      <w:r w:rsidRPr="00B15634">
        <w:rPr>
          <w:rFonts w:ascii="Arial" w:hAnsi="Arial" w:cs="Arial"/>
          <w:position w:val="-6"/>
          <w:sz w:val="20"/>
          <w:szCs w:val="20"/>
          <w:lang w:eastAsia="fr-FR"/>
        </w:rPr>
        <w:t>3</w:t>
      </w:r>
      <w:r w:rsidRPr="00B15634">
        <w:rPr>
          <w:rFonts w:ascii="Arial" w:hAnsi="Arial" w:cs="Arial"/>
          <w:position w:val="8"/>
          <w:sz w:val="20"/>
          <w:szCs w:val="20"/>
          <w:lang w:eastAsia="fr-FR"/>
        </w:rPr>
        <w:t>-</w:t>
      </w:r>
      <w:r w:rsidRPr="00B15634">
        <w:rPr>
          <w:rFonts w:ascii="Arial" w:hAnsi="Arial" w:cs="Arial"/>
          <w:sz w:val="20"/>
          <w:szCs w:val="20"/>
          <w:lang w:eastAsia="fr-FR"/>
        </w:rPr>
        <w:t>, ↓ pCO</w:t>
      </w:r>
      <w:r w:rsidRPr="00B15634">
        <w:rPr>
          <w:rFonts w:ascii="Arial" w:hAnsi="Arial" w:cs="Arial"/>
          <w:position w:val="-6"/>
          <w:sz w:val="20"/>
          <w:szCs w:val="20"/>
          <w:lang w:eastAsia="fr-FR"/>
        </w:rPr>
        <w:t xml:space="preserve">2 </w:t>
      </w:r>
      <w:r w:rsidRPr="00B15634">
        <w:rPr>
          <w:rFonts w:ascii="Arial" w:hAnsi="Arial" w:cs="Arial"/>
          <w:sz w:val="20"/>
          <w:szCs w:val="20"/>
          <w:lang w:eastAsia="fr-FR"/>
        </w:rPr>
        <w:t>mais pH normal ; décompensée si ↓ HCO</w:t>
      </w:r>
      <w:r w:rsidRPr="00B15634">
        <w:rPr>
          <w:rFonts w:ascii="Arial" w:hAnsi="Arial" w:cs="Arial"/>
          <w:position w:val="-6"/>
          <w:sz w:val="20"/>
          <w:szCs w:val="20"/>
          <w:lang w:eastAsia="fr-FR"/>
        </w:rPr>
        <w:t>3</w:t>
      </w:r>
      <w:r w:rsidRPr="00B15634">
        <w:rPr>
          <w:rFonts w:ascii="Arial" w:hAnsi="Arial" w:cs="Arial"/>
          <w:position w:val="8"/>
          <w:sz w:val="20"/>
          <w:szCs w:val="20"/>
          <w:lang w:eastAsia="fr-FR"/>
        </w:rPr>
        <w:t xml:space="preserve">- </w:t>
      </w:r>
      <w:r w:rsidRPr="00B15634">
        <w:rPr>
          <w:rFonts w:ascii="Arial" w:hAnsi="Arial" w:cs="Arial"/>
          <w:sz w:val="20"/>
          <w:szCs w:val="20"/>
          <w:lang w:eastAsia="fr-FR"/>
        </w:rPr>
        <w:t xml:space="preserve">et ↓ pH </w:t>
      </w:r>
    </w:p>
    <w:p w14:paraId="335AD002"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FF0000"/>
          <w:sz w:val="20"/>
          <w:szCs w:val="20"/>
          <w:lang w:eastAsia="fr-FR"/>
        </w:rPr>
        <w:t xml:space="preserve">-  Déplétion potassique </w:t>
      </w:r>
      <w:r w:rsidRPr="00B15634">
        <w:rPr>
          <w:rFonts w:ascii="Arial" w:hAnsi="Arial" w:cs="Arial"/>
          <w:sz w:val="20"/>
          <w:szCs w:val="20"/>
          <w:lang w:eastAsia="fr-FR"/>
        </w:rPr>
        <w:t xml:space="preserve">en intracellulaire : hyperkaliémie puis élimination urinaire du K+ </w:t>
      </w:r>
    </w:p>
    <w:p w14:paraId="3DEAACFA"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FF0000"/>
          <w:sz w:val="20"/>
          <w:szCs w:val="20"/>
          <w:lang w:eastAsia="fr-FR"/>
        </w:rPr>
        <w:t xml:space="preserve">-  Déshydratation globale </w:t>
      </w:r>
      <w:r w:rsidRPr="00B15634">
        <w:rPr>
          <w:rFonts w:ascii="Arial" w:hAnsi="Arial" w:cs="Arial"/>
          <w:sz w:val="20"/>
          <w:szCs w:val="20"/>
          <w:lang w:eastAsia="fr-FR"/>
        </w:rPr>
        <w:t xml:space="preserve">: hémoconcentration avec ↑ hématocrite et ↑ protides, hyponatrémie, ↓ urée plasmatique </w:t>
      </w:r>
    </w:p>
    <w:p w14:paraId="6EFABAE6" w14:textId="77777777" w:rsidR="00ED4694" w:rsidRPr="00B15634" w:rsidRDefault="00ED4694" w:rsidP="00ED4694">
      <w:pPr>
        <w:pStyle w:val="Sansinterligne"/>
        <w:jc w:val="both"/>
        <w:rPr>
          <w:rFonts w:ascii="Arial" w:hAnsi="Arial" w:cs="Arial"/>
          <w:color w:val="5B9BD5" w:themeColor="accent5"/>
          <w:sz w:val="20"/>
          <w:szCs w:val="20"/>
          <w:u w:val="single"/>
          <w:lang w:eastAsia="fr-FR"/>
        </w:rPr>
      </w:pPr>
      <w:r w:rsidRPr="00B15634">
        <w:rPr>
          <w:rFonts w:ascii="Arial" w:hAnsi="Arial" w:cs="Arial"/>
          <w:noProof/>
          <w:color w:val="EA7C30"/>
          <w:sz w:val="20"/>
          <w:szCs w:val="20"/>
        </w:rPr>
        <mc:AlternateContent>
          <mc:Choice Requires="wps">
            <w:drawing>
              <wp:anchor distT="0" distB="0" distL="114300" distR="114300" simplePos="0" relativeHeight="251669504" behindDoc="0" locked="0" layoutInCell="1" allowOverlap="1" wp14:anchorId="4955A08F" wp14:editId="74FD5E32">
                <wp:simplePos x="0" y="0"/>
                <wp:positionH relativeFrom="column">
                  <wp:posOffset>4313583</wp:posOffset>
                </wp:positionH>
                <wp:positionV relativeFrom="paragraph">
                  <wp:posOffset>89452</wp:posOffset>
                </wp:positionV>
                <wp:extent cx="2212623" cy="395111"/>
                <wp:effectExtent l="0" t="0" r="10160" b="11430"/>
                <wp:wrapNone/>
                <wp:docPr id="1772649521" name="Rectangle 69"/>
                <wp:cNvGraphicFramePr/>
                <a:graphic xmlns:a="http://schemas.openxmlformats.org/drawingml/2006/main">
                  <a:graphicData uri="http://schemas.microsoft.com/office/word/2010/wordprocessingShape">
                    <wps:wsp>
                      <wps:cNvSpPr/>
                      <wps:spPr>
                        <a:xfrm>
                          <a:off x="0" y="0"/>
                          <a:ext cx="2212623" cy="395111"/>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CD9A2D" id="Rectangle 69" o:spid="_x0000_s1026" style="position:absolute;margin-left:339.65pt;margin-top:7.05pt;width:174.2pt;height:31.1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" fillcolor="white [3212]" strokecolor="white [3212]" strokeweight="1pt"/>
            </w:pict>
          </mc:Fallback>
        </mc:AlternateContent>
      </w:r>
      <w:r w:rsidRPr="00B15634">
        <w:rPr>
          <w:rFonts w:ascii="Arial" w:hAnsi="Arial" w:cs="Arial"/>
          <w:noProof/>
          <w:color w:val="EA7C30"/>
          <w:sz w:val="20"/>
          <w:szCs w:val="20"/>
        </w:rPr>
        <mc:AlternateContent>
          <mc:Choice Requires="wps">
            <w:drawing>
              <wp:anchor distT="0" distB="0" distL="114300" distR="114300" simplePos="0" relativeHeight="251668480" behindDoc="0" locked="0" layoutInCell="1" allowOverlap="1" wp14:anchorId="3713929C" wp14:editId="04EC3A79">
                <wp:simplePos x="0" y="0"/>
                <wp:positionH relativeFrom="column">
                  <wp:posOffset>218661</wp:posOffset>
                </wp:positionH>
                <wp:positionV relativeFrom="paragraph">
                  <wp:posOffset>89453</wp:posOffset>
                </wp:positionV>
                <wp:extent cx="2212623" cy="395111"/>
                <wp:effectExtent l="0" t="0" r="10160" b="11430"/>
                <wp:wrapNone/>
                <wp:docPr id="853232611" name="Rectangle 69"/>
                <wp:cNvGraphicFramePr/>
                <a:graphic xmlns:a="http://schemas.openxmlformats.org/drawingml/2006/main">
                  <a:graphicData uri="http://schemas.microsoft.com/office/word/2010/wordprocessingShape">
                    <wps:wsp>
                      <wps:cNvSpPr/>
                      <wps:spPr>
                        <a:xfrm>
                          <a:off x="0" y="0"/>
                          <a:ext cx="2212623" cy="395111"/>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FF659B" id="Rectangle 69" o:spid="_x0000_s1026" style="position:absolute;margin-left:17.2pt;margin-top:7.05pt;width:174.2pt;height:31.1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" fillcolor="white [3212]" strokecolor="white [3212]" strokeweight="1pt"/>
            </w:pict>
          </mc:Fallback>
        </mc:AlternateContent>
      </w:r>
    </w:p>
    <w:p w14:paraId="23E0FFB8" w14:textId="77777777" w:rsidR="00ED4694" w:rsidRPr="00B15634" w:rsidRDefault="00ED4694" w:rsidP="00ED4694">
      <w:pPr>
        <w:pStyle w:val="Sansinterligne"/>
        <w:jc w:val="center"/>
        <w:rPr>
          <w:rFonts w:ascii="Arial" w:hAnsi="Arial" w:cs="Arial"/>
          <w:color w:val="5B9BD5" w:themeColor="accent5"/>
          <w:sz w:val="20"/>
          <w:szCs w:val="20"/>
          <w:u w:val="single"/>
          <w:lang w:eastAsia="fr-FR"/>
        </w:rPr>
      </w:pPr>
      <w:r w:rsidRPr="00B15634">
        <w:rPr>
          <w:rFonts w:ascii="Arial" w:hAnsi="Arial" w:cs="Arial"/>
          <w:noProof/>
          <w:color w:val="5B9BD5" w:themeColor="accent5"/>
          <w:sz w:val="20"/>
          <w:szCs w:val="20"/>
          <w:lang w:eastAsia="fr-FR"/>
        </w:rPr>
        <w:drawing>
          <wp:inline distT="0" distB="0" distL="0" distR="0" wp14:anchorId="758BF897" wp14:editId="15CCA162">
            <wp:extent cx="5176339" cy="2654939"/>
            <wp:effectExtent l="0" t="0" r="5715" b="0"/>
            <wp:docPr id="13591211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121178" name=""/>
                    <pic:cNvPicPr/>
                  </pic:nvPicPr>
                  <pic:blipFill>
                    <a:blip r:embed="rId16"/>
                    <a:stretch>
                      <a:fillRect/>
                    </a:stretch>
                  </pic:blipFill>
                  <pic:spPr>
                    <a:xfrm>
                      <a:off x="0" y="0"/>
                      <a:ext cx="5193947" cy="2663970"/>
                    </a:xfrm>
                    <a:prstGeom prst="rect">
                      <a:avLst/>
                    </a:prstGeom>
                  </pic:spPr>
                </pic:pic>
              </a:graphicData>
            </a:graphic>
          </wp:inline>
        </w:drawing>
      </w:r>
    </w:p>
    <w:p w14:paraId="09BEFA8E" w14:textId="77777777" w:rsidR="00ED4694" w:rsidRPr="00B15634" w:rsidRDefault="00ED4694" w:rsidP="00ED4694">
      <w:pPr>
        <w:pStyle w:val="Sansinterligne"/>
        <w:jc w:val="both"/>
        <w:rPr>
          <w:rFonts w:ascii="Arial" w:hAnsi="Arial" w:cs="Arial"/>
          <w:sz w:val="20"/>
          <w:szCs w:val="20"/>
          <w:lang w:eastAsia="fr-FR"/>
        </w:rPr>
      </w:pPr>
    </w:p>
    <w:p w14:paraId="7E9EE2B6" w14:textId="77777777" w:rsidR="00ED4694" w:rsidRPr="00B15634" w:rsidRDefault="00ED4694" w:rsidP="00ED4694">
      <w:pPr>
        <w:pStyle w:val="Sansinterligne"/>
        <w:numPr>
          <w:ilvl w:val="0"/>
          <w:numId w:val="50"/>
        </w:numPr>
        <w:jc w:val="both"/>
        <w:rPr>
          <w:rFonts w:ascii="Arial" w:hAnsi="Arial" w:cs="Arial"/>
          <w:color w:val="FFC000" w:themeColor="accent4"/>
          <w:sz w:val="20"/>
          <w:szCs w:val="20"/>
          <w:u w:val="single"/>
          <w:lang w:eastAsia="fr-FR"/>
        </w:rPr>
      </w:pPr>
      <w:r w:rsidRPr="00B15634">
        <w:rPr>
          <w:rFonts w:ascii="Arial" w:hAnsi="Arial" w:cs="Arial"/>
          <w:color w:val="FFC000" w:themeColor="accent4"/>
          <w:sz w:val="20"/>
          <w:szCs w:val="20"/>
          <w:u w:val="single"/>
          <w:lang w:eastAsia="fr-FR"/>
        </w:rPr>
        <w:t xml:space="preserve">Coma hyperosmolaire </w:t>
      </w:r>
    </w:p>
    <w:p w14:paraId="306C6B1C" w14:textId="77777777" w:rsidR="00ED4694" w:rsidRPr="00B15634" w:rsidRDefault="00ED4694" w:rsidP="00ED4694">
      <w:pPr>
        <w:pStyle w:val="Sansinterligne"/>
        <w:jc w:val="both"/>
        <w:rPr>
          <w:rFonts w:ascii="Arial" w:hAnsi="Arial" w:cs="Arial"/>
          <w:color w:val="EA7C30"/>
          <w:sz w:val="20"/>
          <w:szCs w:val="20"/>
          <w:lang w:eastAsia="fr-FR"/>
        </w:rPr>
      </w:pPr>
    </w:p>
    <w:p w14:paraId="4A55E8EA" w14:textId="77777777" w:rsidR="00ED4694" w:rsidRPr="00B15634" w:rsidRDefault="00ED4694" w:rsidP="00ED4694">
      <w:pPr>
        <w:pStyle w:val="Sansinterligne"/>
        <w:numPr>
          <w:ilvl w:val="0"/>
          <w:numId w:val="52"/>
        </w:numPr>
        <w:jc w:val="both"/>
        <w:rPr>
          <w:rFonts w:ascii="Arial" w:hAnsi="Arial" w:cs="Arial"/>
          <w:sz w:val="20"/>
          <w:szCs w:val="20"/>
          <w:lang w:eastAsia="fr-FR"/>
        </w:rPr>
      </w:pPr>
      <w:r w:rsidRPr="00B15634">
        <w:rPr>
          <w:rFonts w:ascii="Arial" w:hAnsi="Arial" w:cs="Arial"/>
          <w:color w:val="EA7C30"/>
          <w:sz w:val="20"/>
          <w:szCs w:val="20"/>
          <w:lang w:eastAsia="fr-FR"/>
        </w:rPr>
        <w:t xml:space="preserve">Principe de l’osmose </w:t>
      </w:r>
    </w:p>
    <w:p w14:paraId="5CD52762"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Quand 2 solutions salines séparées par une membrane semi-perméable ont une concentration en sels différente, </w:t>
      </w:r>
      <w:r w:rsidRPr="00B15634">
        <w:rPr>
          <w:rFonts w:ascii="Arial" w:hAnsi="Arial" w:cs="Arial"/>
          <w:color w:val="FF0000"/>
          <w:sz w:val="20"/>
          <w:szCs w:val="20"/>
          <w:lang w:eastAsia="fr-FR"/>
        </w:rPr>
        <w:t xml:space="preserve">l’eau passe de la solution la moins concentrée en sels vers la plus concentrée en sels. </w:t>
      </w:r>
      <w:r w:rsidRPr="00B15634">
        <w:rPr>
          <w:rFonts w:ascii="Arial" w:hAnsi="Arial" w:cs="Arial"/>
          <w:sz w:val="20"/>
          <w:szCs w:val="20"/>
          <w:lang w:eastAsia="fr-FR"/>
        </w:rPr>
        <w:t xml:space="preserve">Ceci va permettre de davantage diluer la solution la plus concentrée et de davantage concentrer la solution la moins concentrée, afin d’obtenir la même concentration en sels dans les deux solutions, c’est l’équilibre osmotique. </w:t>
      </w:r>
    </w:p>
    <w:p w14:paraId="7854B44A"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Même chose entre le milieu extracellulaire et le milieu intracellulaire : </w:t>
      </w:r>
    </w:p>
    <w:p w14:paraId="649564FB"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Si +++ de sels dans le milieu extracellulaire (plasma) que dans la cellule, alors l’eau passe dans le plasma pour diluer davantage ce compartiment </w:t>
      </w:r>
    </w:p>
    <w:p w14:paraId="524FD2D0"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Si +++ de sels dans la cellule que dans le plasma, alors l’eau passe dans la cellule pour diluer davantage ce compartiment </w:t>
      </w:r>
    </w:p>
    <w:p w14:paraId="5B576966" w14:textId="77777777" w:rsidR="00ED4694" w:rsidRPr="00B15634" w:rsidRDefault="00ED4694" w:rsidP="00ED4694">
      <w:pPr>
        <w:pStyle w:val="Sansinterligne"/>
        <w:jc w:val="both"/>
        <w:rPr>
          <w:rFonts w:ascii="Arial" w:hAnsi="Arial" w:cs="Arial"/>
          <w:sz w:val="20"/>
          <w:szCs w:val="20"/>
          <w:lang w:eastAsia="fr-FR"/>
        </w:rPr>
      </w:pPr>
    </w:p>
    <w:p w14:paraId="43736737" w14:textId="77777777" w:rsidR="00ED4694" w:rsidRPr="00B15634" w:rsidRDefault="00ED4694" w:rsidP="00ED4694">
      <w:pPr>
        <w:pStyle w:val="Sansinterligne"/>
        <w:jc w:val="both"/>
        <w:rPr>
          <w:rFonts w:ascii="Arial" w:hAnsi="Arial" w:cs="Arial"/>
          <w:color w:val="EA7C30"/>
          <w:sz w:val="20"/>
          <w:szCs w:val="20"/>
        </w:rPr>
      </w:pPr>
      <w:r w:rsidRPr="00B15634">
        <w:rPr>
          <w:rFonts w:ascii="Arial" w:hAnsi="Arial" w:cs="Arial"/>
          <w:noProof/>
          <w:color w:val="EA7C30"/>
          <w:sz w:val="20"/>
          <w:szCs w:val="20"/>
        </w:rPr>
        <mc:AlternateContent>
          <mc:Choice Requires="wps">
            <w:drawing>
              <wp:anchor distT="0" distB="0" distL="114300" distR="114300" simplePos="0" relativeHeight="251665408" behindDoc="0" locked="0" layoutInCell="1" allowOverlap="1" wp14:anchorId="6657EF10" wp14:editId="567B1712">
                <wp:simplePos x="0" y="0"/>
                <wp:positionH relativeFrom="column">
                  <wp:posOffset>5644</wp:posOffset>
                </wp:positionH>
                <wp:positionV relativeFrom="paragraph">
                  <wp:posOffset>143228</wp:posOffset>
                </wp:positionV>
                <wp:extent cx="2212623" cy="395111"/>
                <wp:effectExtent l="0" t="0" r="10160" b="11430"/>
                <wp:wrapNone/>
                <wp:docPr id="271858110" name="Rectangle 69"/>
                <wp:cNvGraphicFramePr/>
                <a:graphic xmlns:a="http://schemas.openxmlformats.org/drawingml/2006/main">
                  <a:graphicData uri="http://schemas.microsoft.com/office/word/2010/wordprocessingShape">
                    <wps:wsp>
                      <wps:cNvSpPr/>
                      <wps:spPr>
                        <a:xfrm>
                          <a:off x="0" y="0"/>
                          <a:ext cx="2212623" cy="395111"/>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999E8D" id="Rectangle 69" o:spid="_x0000_s1026" style="position:absolute;margin-left:.45pt;margin-top:11.3pt;width:174.2pt;height:31.1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" fillcolor="white [3212]" strokecolor="white [3212]" strokeweight="1pt"/>
            </w:pict>
          </mc:Fallback>
        </mc:AlternateContent>
      </w:r>
      <w:r w:rsidRPr="00B15634">
        <w:rPr>
          <w:rFonts w:ascii="Arial" w:hAnsi="Arial" w:cs="Arial"/>
          <w:color w:val="EA7C30"/>
          <w:sz w:val="20"/>
          <w:szCs w:val="20"/>
        </w:rPr>
        <w:t xml:space="preserve">b. Mécanisme du coma hyperosmolaire </w:t>
      </w:r>
    </w:p>
    <w:p w14:paraId="3D4B77CE"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noProof/>
          <w:color w:val="EA7C30"/>
          <w:sz w:val="20"/>
          <w:szCs w:val="20"/>
        </w:rPr>
        <w:lastRenderedPageBreak/>
        <mc:AlternateContent>
          <mc:Choice Requires="wps">
            <w:drawing>
              <wp:anchor distT="0" distB="0" distL="114300" distR="114300" simplePos="0" relativeHeight="251670528" behindDoc="0" locked="0" layoutInCell="1" allowOverlap="1" wp14:anchorId="4B30FAB6" wp14:editId="310EE48C">
                <wp:simplePos x="0" y="0"/>
                <wp:positionH relativeFrom="column">
                  <wp:posOffset>-71606</wp:posOffset>
                </wp:positionH>
                <wp:positionV relativeFrom="paragraph">
                  <wp:posOffset>9525</wp:posOffset>
                </wp:positionV>
                <wp:extent cx="2212623" cy="392400"/>
                <wp:effectExtent l="0" t="0" r="10160" b="14605"/>
                <wp:wrapNone/>
                <wp:docPr id="1020993393" name="Rectangle 69"/>
                <wp:cNvGraphicFramePr/>
                <a:graphic xmlns:a="http://schemas.openxmlformats.org/drawingml/2006/main">
                  <a:graphicData uri="http://schemas.microsoft.com/office/word/2010/wordprocessingShape">
                    <wps:wsp>
                      <wps:cNvSpPr/>
                      <wps:spPr>
                        <a:xfrm>
                          <a:off x="0" y="0"/>
                          <a:ext cx="2212623" cy="3924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0A39CA" id="Rectangle 69" o:spid="_x0000_s1026" style="position:absolute;margin-left:-5.65pt;margin-top:.75pt;width:174.2pt;height:30.9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" fillcolor="white [3212]" strokecolor="white [3212]" strokeweight="1pt"/>
            </w:pict>
          </mc:Fallback>
        </mc:AlternateContent>
      </w:r>
      <w:r w:rsidRPr="00B15634">
        <w:rPr>
          <w:rFonts w:ascii="Arial" w:hAnsi="Arial" w:cs="Arial"/>
          <w:noProof/>
          <w:color w:val="000000" w:themeColor="text1"/>
          <w:sz w:val="20"/>
          <w:szCs w:val="20"/>
          <w:lang w:eastAsia="fr-FR"/>
        </w:rPr>
        <w:drawing>
          <wp:inline distT="0" distB="0" distL="0" distR="0" wp14:anchorId="23628CD4" wp14:editId="16C15CD0">
            <wp:extent cx="6645910" cy="3498850"/>
            <wp:effectExtent l="0" t="0" r="0" b="6350"/>
            <wp:docPr id="21180429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42912" name=""/>
                    <pic:cNvPicPr/>
                  </pic:nvPicPr>
                  <pic:blipFill>
                    <a:blip r:embed="rId17"/>
                    <a:stretch>
                      <a:fillRect/>
                    </a:stretch>
                  </pic:blipFill>
                  <pic:spPr>
                    <a:xfrm>
                      <a:off x="0" y="0"/>
                      <a:ext cx="6645910" cy="3498850"/>
                    </a:xfrm>
                    <a:prstGeom prst="rect">
                      <a:avLst/>
                    </a:prstGeom>
                  </pic:spPr>
                </pic:pic>
              </a:graphicData>
            </a:graphic>
          </wp:inline>
        </w:drawing>
      </w:r>
    </w:p>
    <w:p w14:paraId="133FF6FA"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7F27FD5"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EA7C30"/>
          <w:sz w:val="20"/>
          <w:szCs w:val="20"/>
          <w:lang w:eastAsia="fr-FR"/>
        </w:rPr>
        <w:t xml:space="preserve">c. Tableaux clinique et biologique </w:t>
      </w:r>
    </w:p>
    <w:p w14:paraId="4D1ECBE5" w14:textId="77777777" w:rsidR="00ED4694" w:rsidRPr="00B15634" w:rsidRDefault="00ED4694" w:rsidP="00ED4694">
      <w:pPr>
        <w:pStyle w:val="Sansinterligne"/>
        <w:jc w:val="both"/>
        <w:rPr>
          <w:rFonts w:ascii="Arial" w:hAnsi="Arial" w:cs="Arial"/>
          <w:sz w:val="20"/>
          <w:szCs w:val="20"/>
          <w:u w:val="single"/>
          <w:lang w:eastAsia="fr-FR"/>
        </w:rPr>
      </w:pPr>
    </w:p>
    <w:p w14:paraId="3180EEE7"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Facteurs de risques : </w:t>
      </w:r>
    </w:p>
    <w:p w14:paraId="3A59DE2C"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&gt; 60ans </w:t>
      </w:r>
    </w:p>
    <w:p w14:paraId="24AD180D"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DT2 dans 95% des cas </w:t>
      </w:r>
    </w:p>
    <w:p w14:paraId="1F806AF0"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Souvent altération de la fonction rénale </w:t>
      </w:r>
    </w:p>
    <w:p w14:paraId="1C934637"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Prise de sulfamides hypoglycémiants, </w:t>
      </w:r>
    </w:p>
    <w:p w14:paraId="58F97B54"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Toute cause de déshydratation : oublie, pas de sensation de soif, vomissements, diarrhées, infection, diurétiques </w:t>
      </w:r>
    </w:p>
    <w:p w14:paraId="75FD2D10"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Facteurs hyperglycémiant : infection, AVC, corticoïdes </w:t>
      </w:r>
    </w:p>
    <w:p w14:paraId="0CB6C011" w14:textId="77777777" w:rsidR="00ED4694" w:rsidRPr="00B15634" w:rsidRDefault="00ED4694" w:rsidP="00ED4694">
      <w:pPr>
        <w:pStyle w:val="Sansinterligne"/>
        <w:jc w:val="both"/>
        <w:rPr>
          <w:rFonts w:ascii="Arial" w:hAnsi="Arial" w:cs="Arial"/>
          <w:sz w:val="20"/>
          <w:szCs w:val="20"/>
          <w:lang w:eastAsia="fr-FR"/>
        </w:rPr>
      </w:pPr>
    </w:p>
    <w:p w14:paraId="59F30C63"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Symptômes</w:t>
      </w:r>
      <w:r w:rsidRPr="00B15634">
        <w:rPr>
          <w:rFonts w:ascii="Arial" w:hAnsi="Arial" w:cs="Arial"/>
          <w:sz w:val="20"/>
          <w:szCs w:val="20"/>
          <w:lang w:eastAsia="fr-FR"/>
        </w:rPr>
        <w:t xml:space="preserve"> : </w:t>
      </w:r>
    </w:p>
    <w:p w14:paraId="5C2F255A"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Obnubilation = trouble de la conscience caractérisé par un obscurcissement et un ralentissement de la pensée </w:t>
      </w:r>
    </w:p>
    <w:p w14:paraId="17B8E369"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Déshydratation intracellulaire : perte de poids, soif, hypotonie des globes oculaires, ... </w:t>
      </w:r>
    </w:p>
    <w:p w14:paraId="2AF8F455"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Déshydratation extracellulaire : ↓ pression veineuse centrale, marbrure des téguments, ... </w:t>
      </w:r>
    </w:p>
    <w:p w14:paraId="2BC23BC5" w14:textId="77777777" w:rsidR="00ED4694" w:rsidRPr="00B15634" w:rsidRDefault="00ED4694" w:rsidP="00ED4694">
      <w:pPr>
        <w:pStyle w:val="Sansinterligne"/>
        <w:jc w:val="both"/>
        <w:rPr>
          <w:rFonts w:ascii="Arial" w:hAnsi="Arial" w:cs="Arial"/>
          <w:sz w:val="20"/>
          <w:szCs w:val="20"/>
          <w:lang w:eastAsia="fr-FR"/>
        </w:rPr>
      </w:pPr>
    </w:p>
    <w:p w14:paraId="557BB4B4"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Biologie</w:t>
      </w:r>
      <w:r w:rsidRPr="00B15634">
        <w:rPr>
          <w:rFonts w:ascii="Arial" w:hAnsi="Arial" w:cs="Arial"/>
          <w:sz w:val="20"/>
          <w:szCs w:val="20"/>
          <w:lang w:eastAsia="fr-FR"/>
        </w:rPr>
        <w:t xml:space="preserve"> : </w:t>
      </w:r>
    </w:p>
    <w:p w14:paraId="05D049D1" w14:textId="77777777" w:rsidR="00ED4694" w:rsidRPr="00B15634" w:rsidRDefault="00ED4694" w:rsidP="00ED4694">
      <w:pPr>
        <w:pStyle w:val="Sansinterligne"/>
        <w:numPr>
          <w:ilvl w:val="0"/>
          <w:numId w:val="53"/>
        </w:numPr>
        <w:jc w:val="both"/>
        <w:rPr>
          <w:rFonts w:ascii="Arial" w:hAnsi="Arial" w:cs="Arial"/>
          <w:sz w:val="20"/>
          <w:szCs w:val="20"/>
          <w:lang w:eastAsia="fr-FR"/>
        </w:rPr>
      </w:pPr>
      <w:r w:rsidRPr="00B15634">
        <w:rPr>
          <w:rFonts w:ascii="Arial" w:hAnsi="Arial" w:cs="Arial"/>
          <w:color w:val="FF0000"/>
          <w:sz w:val="20"/>
          <w:szCs w:val="20"/>
          <w:lang w:eastAsia="fr-FR"/>
        </w:rPr>
        <w:t xml:space="preserve">Hyperglycémie +++ (&gt; 6 g/L) </w:t>
      </w:r>
    </w:p>
    <w:p w14:paraId="22AC8409" w14:textId="77777777" w:rsidR="00ED4694" w:rsidRPr="00B15634" w:rsidRDefault="00ED4694" w:rsidP="00ED4694">
      <w:pPr>
        <w:pStyle w:val="Sansinterligne"/>
        <w:numPr>
          <w:ilvl w:val="0"/>
          <w:numId w:val="53"/>
        </w:numPr>
        <w:jc w:val="both"/>
        <w:rPr>
          <w:rFonts w:ascii="Arial" w:hAnsi="Arial" w:cs="Arial"/>
          <w:sz w:val="20"/>
          <w:szCs w:val="20"/>
          <w:lang w:eastAsia="fr-FR"/>
        </w:rPr>
      </w:pPr>
      <w:r w:rsidRPr="00B15634">
        <w:rPr>
          <w:rFonts w:ascii="Arial" w:hAnsi="Arial" w:cs="Arial"/>
          <w:sz w:val="20"/>
          <w:szCs w:val="20"/>
          <w:lang w:eastAsia="fr-FR"/>
        </w:rPr>
        <w:t xml:space="preserve">Hyperosmolarité +++ (&gt; 320 mOsm/L) </w:t>
      </w:r>
    </w:p>
    <w:p w14:paraId="4F520E15" w14:textId="77777777" w:rsidR="00ED4694" w:rsidRPr="00B15634" w:rsidRDefault="00ED4694" w:rsidP="00ED4694">
      <w:pPr>
        <w:pStyle w:val="Sansinterligne"/>
        <w:numPr>
          <w:ilvl w:val="0"/>
          <w:numId w:val="53"/>
        </w:numPr>
        <w:jc w:val="both"/>
        <w:rPr>
          <w:rFonts w:ascii="Arial" w:hAnsi="Arial" w:cs="Arial"/>
          <w:color w:val="FF0000"/>
          <w:sz w:val="20"/>
          <w:szCs w:val="20"/>
          <w:lang w:eastAsia="fr-FR"/>
        </w:rPr>
      </w:pPr>
      <w:r w:rsidRPr="00B15634">
        <w:rPr>
          <w:rFonts w:ascii="Arial" w:hAnsi="Arial" w:cs="Arial"/>
          <w:color w:val="FF0000"/>
          <w:sz w:val="20"/>
          <w:szCs w:val="20"/>
          <w:lang w:eastAsia="fr-FR"/>
        </w:rPr>
        <w:t>Glycosurie +++</w:t>
      </w:r>
    </w:p>
    <w:p w14:paraId="19F31A0B" w14:textId="77777777" w:rsidR="00ED4694" w:rsidRPr="00B15634" w:rsidRDefault="00ED4694" w:rsidP="00ED4694">
      <w:pPr>
        <w:pStyle w:val="Sansinterligne"/>
        <w:numPr>
          <w:ilvl w:val="0"/>
          <w:numId w:val="53"/>
        </w:numPr>
        <w:jc w:val="both"/>
        <w:rPr>
          <w:rFonts w:ascii="Arial" w:hAnsi="Arial" w:cs="Arial"/>
          <w:color w:val="FF0000"/>
          <w:sz w:val="20"/>
          <w:szCs w:val="20"/>
          <w:lang w:eastAsia="fr-FR"/>
        </w:rPr>
      </w:pPr>
      <w:r w:rsidRPr="00B15634">
        <w:rPr>
          <w:rFonts w:ascii="Arial" w:hAnsi="Arial" w:cs="Arial"/>
          <w:color w:val="FF0000"/>
          <w:sz w:val="20"/>
          <w:szCs w:val="20"/>
          <w:lang w:eastAsia="fr-FR"/>
        </w:rPr>
        <w:t>Diurèse osmotique</w:t>
      </w:r>
    </w:p>
    <w:p w14:paraId="1E3AC661" w14:textId="77777777" w:rsidR="00ED4694" w:rsidRPr="00B15634" w:rsidRDefault="00ED4694" w:rsidP="00ED4694">
      <w:pPr>
        <w:pStyle w:val="Sansinterligne"/>
        <w:numPr>
          <w:ilvl w:val="0"/>
          <w:numId w:val="53"/>
        </w:numPr>
        <w:jc w:val="both"/>
        <w:rPr>
          <w:rFonts w:ascii="Arial" w:hAnsi="Arial" w:cs="Arial"/>
          <w:sz w:val="20"/>
          <w:szCs w:val="20"/>
          <w:lang w:eastAsia="fr-FR"/>
        </w:rPr>
      </w:pPr>
      <w:r w:rsidRPr="00B15634">
        <w:rPr>
          <w:rFonts w:ascii="Arial" w:hAnsi="Arial" w:cs="Arial"/>
          <w:sz w:val="20"/>
          <w:szCs w:val="20"/>
          <w:lang w:eastAsia="fr-FR"/>
        </w:rPr>
        <w:t xml:space="preserve">++ urée, créatinine, acide urique </w:t>
      </w:r>
    </w:p>
    <w:p w14:paraId="4FD93B6C" w14:textId="77777777" w:rsidR="00ED4694" w:rsidRPr="00B15634" w:rsidRDefault="00ED4694" w:rsidP="00ED4694">
      <w:pPr>
        <w:pStyle w:val="Sansinterligne"/>
        <w:numPr>
          <w:ilvl w:val="0"/>
          <w:numId w:val="53"/>
        </w:numPr>
        <w:jc w:val="both"/>
        <w:rPr>
          <w:rFonts w:ascii="Arial" w:hAnsi="Arial" w:cs="Arial"/>
          <w:sz w:val="20"/>
          <w:szCs w:val="20"/>
          <w:lang w:eastAsia="fr-FR"/>
        </w:rPr>
      </w:pPr>
      <w:r w:rsidRPr="00B15634">
        <w:rPr>
          <w:rFonts w:ascii="Arial" w:hAnsi="Arial" w:cs="Arial"/>
          <w:sz w:val="20"/>
          <w:szCs w:val="20"/>
          <w:lang w:eastAsia="fr-FR"/>
        </w:rPr>
        <w:t xml:space="preserve">Hypernatrémie et hyperchlorémie </w:t>
      </w:r>
    </w:p>
    <w:p w14:paraId="5BC98350" w14:textId="77777777" w:rsidR="00ED4694" w:rsidRPr="00B15634" w:rsidRDefault="00ED4694" w:rsidP="00ED4694">
      <w:pPr>
        <w:pStyle w:val="Sansinterligne"/>
        <w:numPr>
          <w:ilvl w:val="0"/>
          <w:numId w:val="53"/>
        </w:numPr>
        <w:jc w:val="both"/>
        <w:rPr>
          <w:rFonts w:ascii="Arial" w:hAnsi="Arial" w:cs="Arial"/>
          <w:sz w:val="20"/>
          <w:szCs w:val="20"/>
          <w:lang w:eastAsia="fr-FR"/>
        </w:rPr>
      </w:pPr>
      <w:r w:rsidRPr="00B15634">
        <w:rPr>
          <w:rFonts w:ascii="Arial" w:hAnsi="Arial" w:cs="Arial"/>
          <w:sz w:val="20"/>
          <w:szCs w:val="20"/>
          <w:lang w:eastAsia="fr-FR"/>
        </w:rPr>
        <w:t xml:space="preserve">↑ hématocrite et protides </w:t>
      </w:r>
    </w:p>
    <w:p w14:paraId="5CBF6F2D" w14:textId="77777777" w:rsidR="00ED4694" w:rsidRPr="00B15634" w:rsidRDefault="00ED4694" w:rsidP="00ED4694">
      <w:pPr>
        <w:pStyle w:val="Sansinterligne"/>
        <w:numPr>
          <w:ilvl w:val="0"/>
          <w:numId w:val="53"/>
        </w:numPr>
        <w:jc w:val="both"/>
        <w:rPr>
          <w:rFonts w:ascii="Arial" w:hAnsi="Arial" w:cs="Arial"/>
          <w:sz w:val="20"/>
          <w:szCs w:val="20"/>
          <w:lang w:eastAsia="fr-FR"/>
        </w:rPr>
      </w:pPr>
      <w:r w:rsidRPr="00B15634">
        <w:rPr>
          <w:rFonts w:ascii="Arial" w:hAnsi="Arial" w:cs="Arial"/>
          <w:sz w:val="20"/>
          <w:szCs w:val="20"/>
          <w:lang w:eastAsia="fr-FR"/>
        </w:rPr>
        <w:t xml:space="preserve">Souvent insulinopénie </w:t>
      </w:r>
    </w:p>
    <w:p w14:paraId="3718E664" w14:textId="77777777" w:rsidR="00ED4694" w:rsidRPr="00B15634" w:rsidRDefault="00ED4694" w:rsidP="00ED4694">
      <w:pPr>
        <w:pStyle w:val="Sansinterligne"/>
        <w:jc w:val="both"/>
        <w:rPr>
          <w:rFonts w:ascii="Arial" w:hAnsi="Arial" w:cs="Arial"/>
          <w:sz w:val="20"/>
          <w:szCs w:val="20"/>
          <w:lang w:eastAsia="fr-FR"/>
        </w:rPr>
      </w:pPr>
    </w:p>
    <w:p w14:paraId="514B6A63"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Diagnostic différentiel : </w:t>
      </w:r>
    </w:p>
    <w:p w14:paraId="553D2C8F" w14:textId="77777777" w:rsidR="00ED4694" w:rsidRPr="00B15634" w:rsidRDefault="00ED4694" w:rsidP="00ED4694">
      <w:pPr>
        <w:pStyle w:val="Sansinterligne"/>
        <w:numPr>
          <w:ilvl w:val="0"/>
          <w:numId w:val="53"/>
        </w:numPr>
        <w:jc w:val="both"/>
        <w:rPr>
          <w:rFonts w:ascii="Arial" w:hAnsi="Arial" w:cs="Arial"/>
          <w:sz w:val="20"/>
          <w:szCs w:val="20"/>
          <w:lang w:eastAsia="fr-FR"/>
        </w:rPr>
      </w:pPr>
      <w:r w:rsidRPr="00B15634">
        <w:rPr>
          <w:rFonts w:ascii="Arial" w:hAnsi="Arial" w:cs="Arial"/>
          <w:sz w:val="20"/>
          <w:szCs w:val="20"/>
          <w:lang w:eastAsia="fr-FR"/>
        </w:rPr>
        <w:t>Pas de dyspnée, pas d’agitation, pas de signe neurologique déficitaire (sauf si AVC)</w:t>
      </w:r>
    </w:p>
    <w:p w14:paraId="26E34690" w14:textId="77777777" w:rsidR="00ED4694" w:rsidRPr="00B15634" w:rsidRDefault="00ED4694" w:rsidP="00ED4694">
      <w:pPr>
        <w:pStyle w:val="Sansinterligne"/>
        <w:numPr>
          <w:ilvl w:val="0"/>
          <w:numId w:val="53"/>
        </w:numPr>
        <w:jc w:val="both"/>
        <w:rPr>
          <w:rFonts w:ascii="Arial" w:hAnsi="Arial" w:cs="Arial"/>
          <w:color w:val="FF0000"/>
          <w:sz w:val="20"/>
          <w:szCs w:val="20"/>
          <w:lang w:eastAsia="fr-FR"/>
        </w:rPr>
      </w:pPr>
      <w:r w:rsidRPr="00B15634">
        <w:rPr>
          <w:rFonts w:ascii="Arial" w:hAnsi="Arial" w:cs="Arial"/>
          <w:color w:val="FF0000"/>
          <w:sz w:val="20"/>
          <w:szCs w:val="20"/>
          <w:lang w:eastAsia="fr-FR"/>
        </w:rPr>
        <w:t>Pas de cétose (cétonémie et cétonurie)</w:t>
      </w:r>
    </w:p>
    <w:p w14:paraId="7816C944" w14:textId="77777777" w:rsidR="00ED4694" w:rsidRPr="00B15634" w:rsidRDefault="00ED4694" w:rsidP="00ED4694">
      <w:pPr>
        <w:pStyle w:val="Sansinterligne"/>
        <w:numPr>
          <w:ilvl w:val="0"/>
          <w:numId w:val="53"/>
        </w:numPr>
        <w:jc w:val="both"/>
        <w:rPr>
          <w:rFonts w:ascii="Arial" w:hAnsi="Arial" w:cs="Arial"/>
          <w:sz w:val="20"/>
          <w:szCs w:val="20"/>
          <w:lang w:eastAsia="fr-FR"/>
        </w:rPr>
      </w:pPr>
      <w:r w:rsidRPr="00B15634">
        <w:rPr>
          <w:rFonts w:ascii="Arial" w:hAnsi="Arial" w:cs="Arial"/>
          <w:sz w:val="20"/>
          <w:szCs w:val="20"/>
          <w:lang w:eastAsia="fr-FR"/>
        </w:rPr>
        <w:t xml:space="preserve">Gaz du sang normaux (pH et HCO3-) </w:t>
      </w:r>
    </w:p>
    <w:p w14:paraId="1D34366F" w14:textId="77777777" w:rsidR="00ED4694" w:rsidRPr="00B15634" w:rsidRDefault="00ED4694" w:rsidP="00ED4694">
      <w:pPr>
        <w:pStyle w:val="Sansinterligne"/>
        <w:jc w:val="both"/>
        <w:rPr>
          <w:rFonts w:ascii="Arial" w:hAnsi="Arial" w:cs="Arial"/>
          <w:sz w:val="20"/>
          <w:szCs w:val="20"/>
          <w:lang w:eastAsia="fr-FR"/>
        </w:rPr>
      </w:pPr>
    </w:p>
    <w:p w14:paraId="7718F632"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i/>
          <w:iCs/>
          <w:color w:val="FF0000"/>
          <w:sz w:val="20"/>
          <w:szCs w:val="20"/>
          <w:lang w:eastAsia="fr-FR"/>
        </w:rPr>
        <w:t xml:space="preserve">En rouge : éléments pour poser le diagnostic </w:t>
      </w:r>
    </w:p>
    <w:p w14:paraId="13A9CD02" w14:textId="77777777" w:rsidR="00ED4694" w:rsidRPr="00B15634" w:rsidRDefault="00ED4694" w:rsidP="00ED4694">
      <w:pPr>
        <w:pStyle w:val="Sansinterligne"/>
        <w:jc w:val="both"/>
        <w:rPr>
          <w:rFonts w:ascii="Arial" w:hAnsi="Arial" w:cs="Arial"/>
          <w:sz w:val="20"/>
          <w:szCs w:val="20"/>
          <w:lang w:eastAsia="fr-FR"/>
        </w:rPr>
      </w:pPr>
    </w:p>
    <w:p w14:paraId="742A8E7B" w14:textId="77777777" w:rsidR="00ED4694" w:rsidRPr="00B15634" w:rsidRDefault="00ED4694" w:rsidP="00ED4694">
      <w:pPr>
        <w:pStyle w:val="Sansinterligne"/>
        <w:numPr>
          <w:ilvl w:val="0"/>
          <w:numId w:val="50"/>
        </w:numPr>
        <w:jc w:val="both"/>
        <w:rPr>
          <w:rFonts w:ascii="Arial" w:hAnsi="Arial" w:cs="Arial"/>
          <w:color w:val="FFC000" w:themeColor="accent4"/>
          <w:sz w:val="20"/>
          <w:szCs w:val="20"/>
          <w:u w:val="single"/>
          <w:lang w:eastAsia="fr-FR"/>
        </w:rPr>
      </w:pPr>
      <w:r w:rsidRPr="00B15634">
        <w:rPr>
          <w:rFonts w:ascii="Arial" w:hAnsi="Arial" w:cs="Arial"/>
          <w:color w:val="FFC000" w:themeColor="accent4"/>
          <w:sz w:val="20"/>
          <w:szCs w:val="20"/>
          <w:u w:val="single"/>
          <w:lang w:eastAsia="fr-FR"/>
        </w:rPr>
        <w:t xml:space="preserve">Acidose lactique (coma) </w:t>
      </w:r>
    </w:p>
    <w:p w14:paraId="1FA8ECD6" w14:textId="77777777" w:rsidR="00ED4694" w:rsidRPr="00B15634" w:rsidRDefault="00ED4694" w:rsidP="00ED4694">
      <w:pPr>
        <w:pStyle w:val="Sansinterligne"/>
        <w:jc w:val="both"/>
        <w:rPr>
          <w:rFonts w:ascii="Arial" w:hAnsi="Arial" w:cs="Arial"/>
          <w:color w:val="EA7C30"/>
          <w:sz w:val="20"/>
          <w:szCs w:val="20"/>
          <w:lang w:eastAsia="fr-FR"/>
        </w:rPr>
      </w:pPr>
    </w:p>
    <w:p w14:paraId="2E9293CD"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EA7C30"/>
          <w:sz w:val="20"/>
          <w:szCs w:val="20"/>
          <w:lang w:eastAsia="fr-FR"/>
        </w:rPr>
        <w:t xml:space="preserve">a. Mécanisme de l’acidose lactique de type A (anaérobie) </w:t>
      </w:r>
    </w:p>
    <w:p w14:paraId="483CF2F1" w14:textId="77777777" w:rsidR="00ED4694" w:rsidRPr="00B15634" w:rsidRDefault="00ED4694" w:rsidP="00ED4694">
      <w:pPr>
        <w:pStyle w:val="Sansinterligne"/>
        <w:jc w:val="both"/>
        <w:rPr>
          <w:rFonts w:ascii="Arial" w:hAnsi="Arial" w:cs="Arial"/>
          <w:color w:val="FF0000"/>
          <w:sz w:val="20"/>
          <w:szCs w:val="20"/>
          <w:lang w:eastAsia="fr-FR"/>
        </w:rPr>
      </w:pPr>
    </w:p>
    <w:p w14:paraId="6540EEBA" w14:textId="77777777" w:rsidR="00ED4694" w:rsidRPr="00B15634" w:rsidRDefault="00ED4694" w:rsidP="00ED4694">
      <w:pPr>
        <w:pStyle w:val="Sansinterligne"/>
        <w:jc w:val="both"/>
        <w:rPr>
          <w:rFonts w:ascii="Arial" w:hAnsi="Arial" w:cs="Arial"/>
          <w:color w:val="FF0000"/>
          <w:sz w:val="20"/>
          <w:szCs w:val="20"/>
          <w:lang w:eastAsia="fr-FR"/>
        </w:rPr>
      </w:pPr>
      <w:r w:rsidRPr="00B15634">
        <w:rPr>
          <w:rFonts w:ascii="Arial" w:hAnsi="Arial" w:cs="Arial"/>
          <w:color w:val="FF0000"/>
          <w:sz w:val="20"/>
          <w:szCs w:val="20"/>
          <w:lang w:eastAsia="fr-FR"/>
        </w:rPr>
        <w:sym w:font="Symbol" w:char="F0DE"/>
      </w:r>
      <w:r w:rsidRPr="00B15634">
        <w:rPr>
          <w:rFonts w:ascii="Arial" w:hAnsi="Arial" w:cs="Arial"/>
          <w:color w:val="FF0000"/>
          <w:sz w:val="20"/>
          <w:szCs w:val="20"/>
          <w:lang w:eastAsia="fr-FR"/>
        </w:rPr>
        <w:t xml:space="preserve"> Acidose lactique déclenchée par un excès de lactate suite à un état de choc responsable d’une hypoxie </w:t>
      </w:r>
    </w:p>
    <w:p w14:paraId="071333FC"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L’état de choc responsable de l’hypoxie peut être causé par : septicémie, insuffisance cardiaque, insuffisance respiratoire, cirrhose, microangiopathie due au diabète et responsable d’une mauvaise irrigation des tissus, ... </w:t>
      </w:r>
    </w:p>
    <w:p w14:paraId="06BDF8EE"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fldChar w:fldCharType="begin"/>
      </w:r>
      <w:r w:rsidRPr="00B15634">
        <w:rPr>
          <w:rFonts w:ascii="Arial" w:hAnsi="Arial" w:cs="Arial"/>
          <w:sz w:val="20"/>
          <w:szCs w:val="20"/>
          <w:lang w:eastAsia="fr-FR"/>
        </w:rPr>
        <w:instrText xml:space="preserve"> INCLUDEPICTURE "/Users/alienorprudhomme/Library/Group Containers/UBF8T346G9.ms/WebArchiveCopyPasteTempFiles/com.microsoft.Word/page68image263891600" \* MERGEFORMATINET </w:instrText>
      </w:r>
      <w:r w:rsidRPr="00B15634">
        <w:rPr>
          <w:rFonts w:ascii="Arial" w:hAnsi="Arial" w:cs="Arial"/>
          <w:sz w:val="20"/>
          <w:szCs w:val="20"/>
          <w:lang w:eastAsia="fr-FR"/>
        </w:rPr>
        <w:fldChar w:fldCharType="separate"/>
      </w:r>
      <w:r w:rsidRPr="00B15634">
        <w:rPr>
          <w:rFonts w:ascii="Arial" w:hAnsi="Arial" w:cs="Arial"/>
          <w:sz w:val="20"/>
          <w:szCs w:val="20"/>
          <w:lang w:eastAsia="fr-FR"/>
        </w:rPr>
        <w:fldChar w:fldCharType="end"/>
      </w:r>
    </w:p>
    <w:p w14:paraId="410386A5"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noProof/>
          <w:sz w:val="20"/>
          <w:szCs w:val="20"/>
          <w:lang w:eastAsia="fr-FR"/>
        </w:rPr>
        <w:lastRenderedPageBreak/>
        <w:drawing>
          <wp:anchor distT="0" distB="0" distL="114300" distR="114300" simplePos="0" relativeHeight="251666432" behindDoc="1" locked="0" layoutInCell="1" allowOverlap="1" wp14:anchorId="13124918" wp14:editId="3F8AD3AB">
            <wp:simplePos x="0" y="0"/>
            <wp:positionH relativeFrom="column">
              <wp:posOffset>4915535</wp:posOffset>
            </wp:positionH>
            <wp:positionV relativeFrom="paragraph">
              <wp:posOffset>30198</wp:posOffset>
            </wp:positionV>
            <wp:extent cx="1906905" cy="1331595"/>
            <wp:effectExtent l="0" t="0" r="0" b="1905"/>
            <wp:wrapTight wrapText="bothSides">
              <wp:wrapPolygon edited="0">
                <wp:start x="0" y="0"/>
                <wp:lineTo x="0" y="21425"/>
                <wp:lineTo x="21435" y="21425"/>
                <wp:lineTo x="21435" y="0"/>
                <wp:lineTo x="0" y="0"/>
              </wp:wrapPolygon>
            </wp:wrapTight>
            <wp:docPr id="1322077031" name="Image 28" descr="page68image26389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age68image2638916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6905"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sz w:val="20"/>
          <w:szCs w:val="20"/>
          <w:lang w:eastAsia="fr-FR"/>
        </w:rPr>
        <w:t>Glucose transformé en Pyruvate par la glycolyse, qui entre dans la mitochondrie, et est utilisé dans le cycle de Krebs pour produire de l’ATP, via une phosphorylation oxydative qui met en jeu de l’oxygène, des électrons et des H+.</w:t>
      </w:r>
      <w:r w:rsidRPr="00B15634">
        <w:rPr>
          <w:rFonts w:ascii="Arial" w:hAnsi="Arial" w:cs="Arial"/>
          <w:sz w:val="20"/>
          <w:szCs w:val="20"/>
          <w:lang w:eastAsia="fr-FR"/>
        </w:rPr>
        <w:br/>
        <w:t xml:space="preserve">→ Problème : Diabète = hyperglycémie = ++ de glucose à processer, auquel s’ajoute un état de choc qui empêche la bonne oxygénation et dirige vers un </w:t>
      </w:r>
      <w:r w:rsidRPr="00047710">
        <w:rPr>
          <w:rFonts w:ascii="Arial" w:hAnsi="Arial" w:cs="Arial"/>
          <w:b/>
          <w:bCs/>
          <w:sz w:val="20"/>
          <w:szCs w:val="20"/>
          <w:lang w:eastAsia="fr-FR"/>
        </w:rPr>
        <w:t>métabolisme</w:t>
      </w:r>
      <w:r w:rsidRPr="00B15634">
        <w:rPr>
          <w:rFonts w:ascii="Arial" w:hAnsi="Arial" w:cs="Arial"/>
          <w:sz w:val="20"/>
          <w:szCs w:val="20"/>
          <w:lang w:eastAsia="fr-FR"/>
        </w:rPr>
        <w:t xml:space="preserve"> </w:t>
      </w:r>
      <w:r w:rsidRPr="00047710">
        <w:rPr>
          <w:rFonts w:ascii="Arial" w:hAnsi="Arial" w:cs="Arial"/>
          <w:b/>
          <w:bCs/>
          <w:sz w:val="20"/>
          <w:szCs w:val="20"/>
          <w:lang w:eastAsia="fr-FR"/>
        </w:rPr>
        <w:t>anaérobie</w:t>
      </w:r>
    </w:p>
    <w:p w14:paraId="3F514D05"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=&gt; Le </w:t>
      </w:r>
      <w:r w:rsidRPr="0036287A">
        <w:rPr>
          <w:rFonts w:ascii="Arial" w:hAnsi="Arial" w:cs="Arial"/>
          <w:b/>
          <w:bCs/>
          <w:sz w:val="20"/>
          <w:szCs w:val="20"/>
          <w:lang w:eastAsia="fr-FR"/>
        </w:rPr>
        <w:t>Pyruvate</w:t>
      </w:r>
      <w:r w:rsidRPr="00B15634">
        <w:rPr>
          <w:rFonts w:ascii="Arial" w:hAnsi="Arial" w:cs="Arial"/>
          <w:sz w:val="20"/>
          <w:szCs w:val="20"/>
          <w:lang w:eastAsia="fr-FR"/>
        </w:rPr>
        <w:t xml:space="preserve"> est alors utilisé pour former du </w:t>
      </w:r>
      <w:r w:rsidRPr="0036287A">
        <w:rPr>
          <w:rFonts w:ascii="Arial" w:hAnsi="Arial" w:cs="Arial"/>
          <w:b/>
          <w:bCs/>
          <w:color w:val="FF0000"/>
          <w:sz w:val="20"/>
          <w:szCs w:val="20"/>
          <w:lang w:eastAsia="fr-FR"/>
        </w:rPr>
        <w:t>Lactate</w:t>
      </w:r>
      <w:r w:rsidRPr="00B15634">
        <w:rPr>
          <w:rFonts w:ascii="Arial" w:hAnsi="Arial" w:cs="Arial"/>
          <w:color w:val="FF0000"/>
          <w:sz w:val="20"/>
          <w:szCs w:val="20"/>
          <w:lang w:eastAsia="fr-FR"/>
        </w:rPr>
        <w:t xml:space="preserve"> </w:t>
      </w:r>
    </w:p>
    <w:p w14:paraId="2D0493EE"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Le Lactate est relargué massivement dans la circulation sanguine. Le Lactate est aussi appelé acide lactique : +++ acidité, ce qui induit des troubles hydroélectrolytiques avec ↓ pH et ↓ HCO3-</w:t>
      </w:r>
      <w:r w:rsidRPr="00B15634">
        <w:rPr>
          <w:rFonts w:ascii="Arial" w:hAnsi="Arial" w:cs="Arial"/>
          <w:position w:val="8"/>
          <w:sz w:val="20"/>
          <w:szCs w:val="20"/>
          <w:lang w:eastAsia="fr-FR"/>
        </w:rPr>
        <w:t xml:space="preserve"> </w:t>
      </w:r>
      <w:r w:rsidRPr="00B15634">
        <w:rPr>
          <w:rFonts w:ascii="Arial" w:hAnsi="Arial" w:cs="Arial"/>
          <w:sz w:val="20"/>
          <w:szCs w:val="20"/>
          <w:lang w:eastAsia="fr-FR"/>
        </w:rPr>
        <w:t xml:space="preserve">(= </w:t>
      </w:r>
      <w:r w:rsidRPr="00B15634">
        <w:rPr>
          <w:rFonts w:ascii="Arial" w:hAnsi="Arial" w:cs="Arial"/>
          <w:color w:val="FF0000"/>
          <w:sz w:val="20"/>
          <w:szCs w:val="20"/>
          <w:lang w:eastAsia="fr-FR"/>
        </w:rPr>
        <w:t>acidose</w:t>
      </w:r>
      <w:r w:rsidRPr="00B15634">
        <w:rPr>
          <w:rFonts w:ascii="Arial" w:hAnsi="Arial" w:cs="Arial"/>
          <w:sz w:val="20"/>
          <w:szCs w:val="20"/>
          <w:lang w:eastAsia="fr-FR"/>
        </w:rPr>
        <w:t xml:space="preserve">) et création d’un </w:t>
      </w:r>
      <w:r w:rsidRPr="00B15634">
        <w:rPr>
          <w:rFonts w:ascii="Arial" w:hAnsi="Arial" w:cs="Arial"/>
          <w:color w:val="FF0000"/>
          <w:sz w:val="20"/>
          <w:szCs w:val="20"/>
          <w:lang w:eastAsia="fr-FR"/>
        </w:rPr>
        <w:t>trou anionique</w:t>
      </w:r>
      <w:r w:rsidRPr="00B15634">
        <w:rPr>
          <w:rFonts w:ascii="Arial" w:hAnsi="Arial" w:cs="Arial"/>
          <w:sz w:val="20"/>
          <w:szCs w:val="20"/>
          <w:lang w:eastAsia="fr-FR"/>
        </w:rPr>
        <w:t xml:space="preserve">. </w:t>
      </w:r>
    </w:p>
    <w:p w14:paraId="23ABE682" w14:textId="77777777" w:rsidR="00ED4694" w:rsidRPr="00B15634" w:rsidRDefault="00ED4694" w:rsidP="00ED4694">
      <w:pPr>
        <w:pStyle w:val="Sansinterligne"/>
        <w:jc w:val="both"/>
        <w:rPr>
          <w:rFonts w:ascii="Arial" w:hAnsi="Arial" w:cs="Arial"/>
          <w:color w:val="EA7C30"/>
          <w:sz w:val="20"/>
          <w:szCs w:val="20"/>
          <w:lang w:eastAsia="fr-FR"/>
        </w:rPr>
      </w:pPr>
    </w:p>
    <w:p w14:paraId="14B6C2ED"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EA7C30"/>
          <w:sz w:val="20"/>
          <w:szCs w:val="20"/>
          <w:lang w:eastAsia="fr-FR"/>
        </w:rPr>
        <w:t xml:space="preserve">b. Mécanisme de l’acidose lactique de type B (aérobie) : exemple de la Metformine </w:t>
      </w:r>
    </w:p>
    <w:p w14:paraId="4260AC5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1BFEF2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000000" w:themeColor="text1"/>
          <w:sz w:val="20"/>
          <w:szCs w:val="20"/>
          <w:lang w:eastAsia="fr-FR"/>
        </w:rPr>
        <w:t xml:space="preserve">MALA : </w:t>
      </w:r>
      <w:r w:rsidRPr="00B15634">
        <w:rPr>
          <w:rFonts w:ascii="Arial" w:hAnsi="Arial" w:cs="Arial"/>
          <w:i/>
          <w:iCs/>
          <w:color w:val="000000" w:themeColor="text1"/>
          <w:sz w:val="20"/>
          <w:szCs w:val="20"/>
          <w:lang w:eastAsia="fr-FR"/>
        </w:rPr>
        <w:t xml:space="preserve">Metformin-Associated Lactic Acidosis : </w:t>
      </w:r>
      <w:r w:rsidRPr="00B15634">
        <w:rPr>
          <w:rFonts w:ascii="Arial" w:hAnsi="Arial" w:cs="Arial"/>
          <w:color w:val="000000" w:themeColor="text1"/>
          <w:sz w:val="20"/>
          <w:szCs w:val="20"/>
          <w:lang w:eastAsia="fr-FR"/>
        </w:rPr>
        <w:t xml:space="preserve">Effet indésirable +++ grave de la Metformine chez le patient insuffisant rénal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w:t>
      </w:r>
      <w:r w:rsidRPr="00B15634">
        <w:rPr>
          <w:rFonts w:ascii="Arial" w:hAnsi="Arial" w:cs="Arial"/>
          <w:color w:val="FF0000"/>
          <w:sz w:val="20"/>
          <w:szCs w:val="20"/>
          <w:lang w:eastAsia="fr-FR"/>
        </w:rPr>
        <w:t xml:space="preserve">URGENCE ABSOLUE : arrêt immédiat du traitement et hospitalisation </w:t>
      </w:r>
      <w:r w:rsidRPr="00B15634">
        <w:rPr>
          <w:rFonts w:ascii="Arial" w:hAnsi="Arial" w:cs="Arial"/>
          <w:color w:val="000000" w:themeColor="text1"/>
          <w:sz w:val="20"/>
          <w:szCs w:val="20"/>
          <w:lang w:eastAsia="fr-FR"/>
        </w:rPr>
        <w:t>(</w:t>
      </w:r>
      <w:r w:rsidRPr="00B15634">
        <w:rPr>
          <w:rFonts w:ascii="Arial" w:hAnsi="Arial" w:cs="Arial"/>
          <w:sz w:val="20"/>
          <w:szCs w:val="20"/>
          <w:lang w:eastAsia="fr-FR"/>
        </w:rPr>
        <w:t>60% de mortalité)</w:t>
      </w:r>
    </w:p>
    <w:p w14:paraId="0B458BF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sz w:val="20"/>
          <w:szCs w:val="20"/>
          <w:lang w:eastAsia="fr-FR"/>
        </w:rPr>
        <w:t xml:space="preserve"> </w:t>
      </w:r>
    </w:p>
    <w:p w14:paraId="06169D48"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Mécanisme d’apparition de l’acidose lactique : </w:t>
      </w:r>
    </w:p>
    <w:p w14:paraId="2C9C88E2" w14:textId="54BBE6A2"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Contexte </w:t>
      </w:r>
      <w:r w:rsidRPr="00B15634">
        <w:rPr>
          <w:rFonts w:ascii="Arial" w:hAnsi="Arial" w:cs="Arial"/>
          <w:color w:val="FF0000"/>
          <w:sz w:val="20"/>
          <w:szCs w:val="20"/>
          <w:lang w:eastAsia="fr-FR"/>
        </w:rPr>
        <w:t xml:space="preserve">diabète </w:t>
      </w:r>
      <w:r w:rsidRPr="00B15634">
        <w:rPr>
          <w:rFonts w:ascii="Arial" w:hAnsi="Arial" w:cs="Arial"/>
          <w:sz w:val="20"/>
          <w:szCs w:val="20"/>
          <w:lang w:eastAsia="fr-FR"/>
        </w:rPr>
        <w:t xml:space="preserve">= hyperlgycémie = +++ de Glucose et de production de Pyruvate </w:t>
      </w:r>
    </w:p>
    <w:p w14:paraId="0C3C02A6"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Prise de </w:t>
      </w:r>
      <w:r w:rsidRPr="00B15634">
        <w:rPr>
          <w:rFonts w:ascii="Arial" w:hAnsi="Arial" w:cs="Arial"/>
          <w:color w:val="FF0000"/>
          <w:sz w:val="20"/>
          <w:szCs w:val="20"/>
          <w:lang w:eastAsia="fr-FR"/>
        </w:rPr>
        <w:t xml:space="preserve">Metformine </w:t>
      </w:r>
      <w:r w:rsidRPr="00B15634">
        <w:rPr>
          <w:rFonts w:ascii="Arial" w:hAnsi="Arial" w:cs="Arial"/>
          <w:sz w:val="20"/>
          <w:szCs w:val="20"/>
          <w:lang w:eastAsia="fr-FR"/>
        </w:rPr>
        <w:t>comme traitement anti-diabétique : la Metformine (les biguanides) aura 3 actions :</w:t>
      </w:r>
    </w:p>
    <w:p w14:paraId="753E44C9" w14:textId="77777777" w:rsidR="00ED4694" w:rsidRPr="00B15634" w:rsidRDefault="00ED4694" w:rsidP="00ED4694">
      <w:pPr>
        <w:pStyle w:val="Sansinterligne"/>
        <w:numPr>
          <w:ilvl w:val="0"/>
          <w:numId w:val="55"/>
        </w:numPr>
        <w:jc w:val="both"/>
        <w:rPr>
          <w:rFonts w:ascii="Arial" w:hAnsi="Arial" w:cs="Arial"/>
          <w:sz w:val="20"/>
          <w:szCs w:val="20"/>
          <w:lang w:eastAsia="fr-FR"/>
        </w:rPr>
      </w:pPr>
      <w:r w:rsidRPr="00B15634">
        <w:rPr>
          <w:rFonts w:ascii="Arial" w:hAnsi="Arial" w:cs="Arial"/>
          <w:sz w:val="20"/>
          <w:szCs w:val="20"/>
          <w:lang w:eastAsia="fr-FR"/>
        </w:rPr>
        <w:t>Inhibition de la respiration cellulaire mitochondriale → Pyruvate redirigé vers la production ++ de Lactate</w:t>
      </w:r>
    </w:p>
    <w:p w14:paraId="70E1D2D8" w14:textId="77777777" w:rsidR="00ED4694" w:rsidRPr="00B15634" w:rsidRDefault="00ED4694" w:rsidP="00ED4694">
      <w:pPr>
        <w:pStyle w:val="Sansinterligne"/>
        <w:numPr>
          <w:ilvl w:val="0"/>
          <w:numId w:val="55"/>
        </w:numPr>
        <w:jc w:val="both"/>
        <w:rPr>
          <w:rFonts w:ascii="Arial" w:hAnsi="Arial" w:cs="Arial"/>
          <w:sz w:val="20"/>
          <w:szCs w:val="20"/>
          <w:lang w:eastAsia="fr-FR"/>
        </w:rPr>
      </w:pPr>
      <w:r w:rsidRPr="00B15634">
        <w:rPr>
          <w:rFonts w:ascii="Arial" w:hAnsi="Arial" w:cs="Arial"/>
          <w:sz w:val="20"/>
          <w:szCs w:val="20"/>
          <w:lang w:eastAsia="fr-FR"/>
        </w:rPr>
        <w:t>Baisse de l’absorption intestinale de glucose → Glucose redirigé vers la production de Lactate</w:t>
      </w:r>
    </w:p>
    <w:p w14:paraId="2262A42D" w14:textId="77777777" w:rsidR="00ED4694" w:rsidRPr="00B15634" w:rsidRDefault="00ED4694" w:rsidP="00ED4694">
      <w:pPr>
        <w:pStyle w:val="Sansinterligne"/>
        <w:numPr>
          <w:ilvl w:val="0"/>
          <w:numId w:val="55"/>
        </w:numPr>
        <w:jc w:val="both"/>
        <w:rPr>
          <w:rFonts w:ascii="Arial" w:hAnsi="Arial" w:cs="Arial"/>
          <w:sz w:val="20"/>
          <w:szCs w:val="20"/>
          <w:lang w:eastAsia="fr-FR"/>
        </w:rPr>
      </w:pPr>
      <w:r w:rsidRPr="00B15634">
        <w:rPr>
          <w:rFonts w:ascii="Arial" w:hAnsi="Arial" w:cs="Arial"/>
          <w:sz w:val="20"/>
          <w:szCs w:val="20"/>
          <w:lang w:eastAsia="fr-FR"/>
        </w:rPr>
        <w:t xml:space="preserve">Inhibition de la néoglucogenèse hépatique → Le Lactate produit par le muscle n’est plus réutilisé par le foie lors  de la néoglucogenèse et continue donc de s’accumuler </w:t>
      </w:r>
    </w:p>
    <w:p w14:paraId="3D4127FE"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Contexte d’une </w:t>
      </w:r>
      <w:r w:rsidRPr="00B15634">
        <w:rPr>
          <w:rFonts w:ascii="Arial" w:hAnsi="Arial" w:cs="Arial"/>
          <w:color w:val="FF0000"/>
          <w:sz w:val="20"/>
          <w:szCs w:val="20"/>
          <w:lang w:eastAsia="fr-FR"/>
        </w:rPr>
        <w:t xml:space="preserve">insuffisance rénale </w:t>
      </w:r>
      <w:r w:rsidRPr="00B15634">
        <w:rPr>
          <w:rFonts w:ascii="Arial" w:hAnsi="Arial" w:cs="Arial"/>
          <w:sz w:val="20"/>
          <w:szCs w:val="20"/>
          <w:lang w:eastAsia="fr-FR"/>
        </w:rPr>
        <w:t>: élimination rénale de la Metformine, qui est ralentie lors d’une insuffisance rénale</w:t>
      </w:r>
      <w:r w:rsidRPr="00B15634">
        <w:rPr>
          <w:rFonts w:ascii="Arial" w:hAnsi="Arial" w:cs="Arial"/>
          <w:sz w:val="20"/>
          <w:szCs w:val="20"/>
          <w:lang w:eastAsia="fr-FR"/>
        </w:rPr>
        <w:br/>
        <w:t xml:space="preserve">→ la Metformine s’accumule et poursuit son action d’inhibition de la respiration mitochondriale avec production +++ accrue de Lactate, qui s’accumule et engendre l’acidose lactique </w:t>
      </w:r>
    </w:p>
    <w:p w14:paraId="07A8065B"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FF0000"/>
          <w:sz w:val="20"/>
          <w:szCs w:val="20"/>
          <w:lang w:eastAsia="fr-FR"/>
        </w:rPr>
        <w:t xml:space="preserve">LA METFORMINE EST DONC CONTRE-INDIQUEE EN CAS D’INSUFFISANCE RENALE </w:t>
      </w:r>
    </w:p>
    <w:p w14:paraId="540884AF" w14:textId="77777777" w:rsidR="00ED4694" w:rsidRPr="00B15634" w:rsidRDefault="00ED4694" w:rsidP="00ED4694">
      <w:pPr>
        <w:pStyle w:val="Sansinterligne"/>
        <w:jc w:val="both"/>
        <w:rPr>
          <w:rFonts w:ascii="Arial" w:hAnsi="Arial" w:cs="Arial"/>
          <w:color w:val="EA7C30"/>
          <w:sz w:val="20"/>
          <w:szCs w:val="20"/>
        </w:rPr>
      </w:pPr>
    </w:p>
    <w:p w14:paraId="65D70D2E"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color w:val="EA7C30"/>
          <w:sz w:val="20"/>
          <w:szCs w:val="20"/>
        </w:rPr>
        <w:t xml:space="preserve">c. Tableaux clinique et biologique </w:t>
      </w:r>
    </w:p>
    <w:p w14:paraId="0621953A"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Symptômes : </w:t>
      </w:r>
    </w:p>
    <w:p w14:paraId="51667AAE"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Troubles de la conscience </w:t>
      </w:r>
    </w:p>
    <w:p w14:paraId="637D5048"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Polypnée sans odeur acétonique de l’haleine </w:t>
      </w:r>
    </w:p>
    <w:p w14:paraId="597DC9A6"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Nausées, vomissements, diarrhées </w:t>
      </w:r>
    </w:p>
    <w:p w14:paraId="49ADC9EF"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Signes de déshydratation aiguë globale </w:t>
      </w:r>
    </w:p>
    <w:p w14:paraId="2B28AD7E"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Collapsus cardiovasculaire = chute brutale de la pression sanguine </w:t>
      </w:r>
    </w:p>
    <w:p w14:paraId="5294822E"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Hypothermie </w:t>
      </w:r>
    </w:p>
    <w:p w14:paraId="2652FC86" w14:textId="77777777" w:rsidR="00ED4694" w:rsidRPr="00B15634" w:rsidRDefault="00ED4694" w:rsidP="00ED4694">
      <w:pPr>
        <w:pStyle w:val="Sansinterligne"/>
        <w:jc w:val="both"/>
        <w:rPr>
          <w:rFonts w:ascii="Arial" w:hAnsi="Arial" w:cs="Arial"/>
          <w:sz w:val="20"/>
          <w:szCs w:val="20"/>
        </w:rPr>
      </w:pPr>
    </w:p>
    <w:p w14:paraId="58AE640A"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Biologie (</w:t>
      </w:r>
      <w:r w:rsidRPr="00B15634">
        <w:rPr>
          <w:rFonts w:ascii="Arial" w:hAnsi="Arial" w:cs="Arial"/>
          <w:color w:val="FF0000"/>
          <w:sz w:val="20"/>
          <w:szCs w:val="20"/>
        </w:rPr>
        <w:t>diagnostic</w:t>
      </w:r>
      <w:r w:rsidRPr="00B15634">
        <w:rPr>
          <w:rFonts w:ascii="Arial" w:hAnsi="Arial" w:cs="Arial"/>
          <w:sz w:val="20"/>
          <w:szCs w:val="20"/>
        </w:rPr>
        <w:t>) :</w:t>
      </w:r>
    </w:p>
    <w:p w14:paraId="3540B8C9"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color w:val="FF0000"/>
          <w:sz w:val="20"/>
          <w:szCs w:val="20"/>
        </w:rPr>
        <w:t xml:space="preserve">- Hyperlactatémie </w:t>
      </w:r>
      <w:r w:rsidRPr="00B15634">
        <w:rPr>
          <w:rFonts w:ascii="Arial" w:hAnsi="Arial" w:cs="Arial"/>
          <w:sz w:val="20"/>
          <w:szCs w:val="20"/>
        </w:rPr>
        <w:t>(&gt; 45 à 54 mg/dL, ou &gt; 5 à 6 mmol/L)</w:t>
      </w:r>
    </w:p>
    <w:p w14:paraId="0EFDD91B" w14:textId="77777777" w:rsidR="00ED4694" w:rsidRPr="00B15634" w:rsidRDefault="00ED4694" w:rsidP="00ED4694">
      <w:pPr>
        <w:pStyle w:val="Sansinterligne"/>
        <w:jc w:val="both"/>
        <w:rPr>
          <w:rFonts w:ascii="Arial" w:hAnsi="Arial" w:cs="Arial"/>
          <w:position w:val="10"/>
          <w:sz w:val="20"/>
          <w:szCs w:val="20"/>
        </w:rPr>
      </w:pPr>
      <w:r w:rsidRPr="00B15634">
        <w:rPr>
          <w:rFonts w:ascii="Arial" w:hAnsi="Arial" w:cs="Arial"/>
          <w:sz w:val="20"/>
          <w:szCs w:val="20"/>
        </w:rPr>
        <w:t xml:space="preserve">- Gaz du sang artériel : </w:t>
      </w:r>
      <w:r w:rsidRPr="00B15634">
        <w:rPr>
          <w:rFonts w:ascii="Arial" w:hAnsi="Arial" w:cs="Arial"/>
          <w:color w:val="FF0000"/>
          <w:sz w:val="20"/>
          <w:szCs w:val="20"/>
        </w:rPr>
        <w:t xml:space="preserve">↓ pH </w:t>
      </w:r>
      <w:r w:rsidRPr="00B15634">
        <w:rPr>
          <w:rFonts w:ascii="Arial" w:hAnsi="Arial" w:cs="Arial"/>
          <w:sz w:val="20"/>
          <w:szCs w:val="20"/>
        </w:rPr>
        <w:t>(&lt; 7,35), ↓ HCO3-</w:t>
      </w:r>
    </w:p>
    <w:p w14:paraId="3B7E8B5E" w14:textId="77777777" w:rsidR="00ED4694" w:rsidRPr="00B15634" w:rsidRDefault="00ED4694" w:rsidP="00ED4694">
      <w:pPr>
        <w:pStyle w:val="Sansinterligne"/>
        <w:jc w:val="both"/>
        <w:rPr>
          <w:rFonts w:ascii="Arial" w:hAnsi="Arial" w:cs="Arial"/>
          <w:color w:val="FF0000"/>
          <w:sz w:val="20"/>
          <w:szCs w:val="20"/>
        </w:rPr>
      </w:pPr>
      <w:r w:rsidRPr="00B15634">
        <w:rPr>
          <w:rFonts w:ascii="Arial" w:hAnsi="Arial" w:cs="Arial"/>
          <w:color w:val="FF0000"/>
          <w:sz w:val="20"/>
          <w:szCs w:val="20"/>
        </w:rPr>
        <w:t>- Hyperglycémie</w:t>
      </w:r>
    </w:p>
    <w:p w14:paraId="00B57596"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Ionogramme sanguin : ↓ Cl-, Na+</w:t>
      </w:r>
      <w:r w:rsidRPr="00B15634">
        <w:rPr>
          <w:rFonts w:ascii="Arial" w:hAnsi="Arial" w:cs="Arial"/>
          <w:position w:val="10"/>
          <w:sz w:val="20"/>
          <w:szCs w:val="20"/>
        </w:rPr>
        <w:t xml:space="preserve"> </w:t>
      </w:r>
      <w:r w:rsidRPr="00B15634">
        <w:rPr>
          <w:rFonts w:ascii="Arial" w:hAnsi="Arial" w:cs="Arial"/>
          <w:sz w:val="20"/>
          <w:szCs w:val="20"/>
        </w:rPr>
        <w:t>normal ou ↓, K+</w:t>
      </w:r>
      <w:r w:rsidRPr="00B15634">
        <w:rPr>
          <w:rFonts w:ascii="Arial" w:hAnsi="Arial" w:cs="Arial"/>
          <w:position w:val="10"/>
          <w:sz w:val="20"/>
          <w:szCs w:val="20"/>
        </w:rPr>
        <w:t xml:space="preserve"> </w:t>
      </w:r>
      <w:r w:rsidRPr="00B15634">
        <w:rPr>
          <w:rFonts w:ascii="Arial" w:hAnsi="Arial" w:cs="Arial"/>
          <w:sz w:val="20"/>
          <w:szCs w:val="20"/>
        </w:rPr>
        <w:t>normal ou ↑ - Calcul du trou anionique : Na+</w:t>
      </w:r>
      <w:r w:rsidRPr="00B15634">
        <w:rPr>
          <w:rFonts w:ascii="Arial" w:hAnsi="Arial" w:cs="Arial"/>
          <w:position w:val="10"/>
          <w:sz w:val="20"/>
          <w:szCs w:val="20"/>
        </w:rPr>
        <w:t xml:space="preserve"> </w:t>
      </w:r>
      <w:r w:rsidRPr="00B15634">
        <w:rPr>
          <w:rFonts w:ascii="Arial" w:hAnsi="Arial" w:cs="Arial"/>
          <w:sz w:val="20"/>
          <w:szCs w:val="20"/>
        </w:rPr>
        <w:t>- [Cl-</w:t>
      </w:r>
      <w:r w:rsidRPr="00B15634">
        <w:rPr>
          <w:rFonts w:ascii="Arial" w:hAnsi="Arial" w:cs="Arial"/>
          <w:position w:val="10"/>
          <w:sz w:val="20"/>
          <w:szCs w:val="20"/>
        </w:rPr>
        <w:t xml:space="preserve"> </w:t>
      </w:r>
      <w:r w:rsidRPr="00B15634">
        <w:rPr>
          <w:rFonts w:ascii="Arial" w:hAnsi="Arial" w:cs="Arial"/>
          <w:sz w:val="20"/>
          <w:szCs w:val="20"/>
        </w:rPr>
        <w:t>+ HCO3-]</w:t>
      </w:r>
    </w:p>
    <w:p w14:paraId="4C6CA633"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 Urée</w:t>
      </w:r>
    </w:p>
    <w:p w14:paraId="7F30E0E5"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Pas de glycosurie ou peu, pas de cétose </w:t>
      </w:r>
    </w:p>
    <w:p w14:paraId="1130ABDA" w14:textId="77777777" w:rsidR="00ED4694" w:rsidRPr="00B15634" w:rsidRDefault="00ED4694" w:rsidP="00ED4694">
      <w:pPr>
        <w:pStyle w:val="Sansinterligne"/>
        <w:jc w:val="both"/>
        <w:rPr>
          <w:rFonts w:ascii="Arial" w:hAnsi="Arial" w:cs="Arial"/>
          <w:sz w:val="20"/>
          <w:szCs w:val="20"/>
        </w:rPr>
      </w:pPr>
    </w:p>
    <w:p w14:paraId="133D8B03" w14:textId="77777777" w:rsidR="00ED4694" w:rsidRPr="00B15634" w:rsidRDefault="00ED4694" w:rsidP="00ED4694">
      <w:pPr>
        <w:pStyle w:val="Sansinterligne"/>
        <w:numPr>
          <w:ilvl w:val="0"/>
          <w:numId w:val="50"/>
        </w:numPr>
        <w:jc w:val="both"/>
        <w:rPr>
          <w:rFonts w:ascii="Arial" w:hAnsi="Arial" w:cs="Arial"/>
          <w:color w:val="00B0F0"/>
          <w:sz w:val="20"/>
          <w:szCs w:val="20"/>
          <w:u w:val="single"/>
        </w:rPr>
      </w:pPr>
      <w:r w:rsidRPr="00B15634">
        <w:rPr>
          <w:rFonts w:ascii="Arial" w:hAnsi="Arial" w:cs="Arial"/>
          <w:color w:val="00B0F0"/>
          <w:sz w:val="20"/>
          <w:szCs w:val="20"/>
          <w:u w:val="single"/>
        </w:rPr>
        <w:t xml:space="preserve">Bilan des 4 comas diabétiques </w:t>
      </w:r>
    </w:p>
    <w:p w14:paraId="3B0AAA23"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inline distT="0" distB="0" distL="0" distR="0" wp14:anchorId="4BE71891" wp14:editId="7BA65D85">
            <wp:extent cx="5302794" cy="2212622"/>
            <wp:effectExtent l="0" t="0" r="0" b="0"/>
            <wp:docPr id="16232017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201795" name=""/>
                    <pic:cNvPicPr/>
                  </pic:nvPicPr>
                  <pic:blipFill>
                    <a:blip r:embed="rId19"/>
                    <a:stretch>
                      <a:fillRect/>
                    </a:stretch>
                  </pic:blipFill>
                  <pic:spPr>
                    <a:xfrm>
                      <a:off x="0" y="0"/>
                      <a:ext cx="5344623" cy="2230075"/>
                    </a:xfrm>
                    <a:prstGeom prst="rect">
                      <a:avLst/>
                    </a:prstGeom>
                  </pic:spPr>
                </pic:pic>
              </a:graphicData>
            </a:graphic>
          </wp:inline>
        </w:drawing>
      </w:r>
    </w:p>
    <w:p w14:paraId="232DD576" w14:textId="77777777" w:rsidR="00ED4694" w:rsidRPr="00B15634" w:rsidRDefault="00ED4694" w:rsidP="00ED4694">
      <w:pPr>
        <w:pStyle w:val="Sansinterligne"/>
        <w:numPr>
          <w:ilvl w:val="0"/>
          <w:numId w:val="48"/>
        </w:numPr>
        <w:jc w:val="both"/>
        <w:rPr>
          <w:rFonts w:ascii="Arial" w:hAnsi="Arial" w:cs="Arial"/>
          <w:b/>
          <w:bCs/>
          <w:sz w:val="20"/>
          <w:szCs w:val="20"/>
          <w:u w:val="single"/>
          <w:lang w:eastAsia="fr-FR"/>
        </w:rPr>
      </w:pPr>
      <w:r w:rsidRPr="00B15634">
        <w:rPr>
          <w:rFonts w:ascii="Arial" w:hAnsi="Arial" w:cs="Arial"/>
          <w:b/>
          <w:bCs/>
          <w:sz w:val="20"/>
          <w:szCs w:val="20"/>
          <w:u w:val="single"/>
          <w:lang w:eastAsia="fr-FR"/>
        </w:rPr>
        <w:t xml:space="preserve">Complications chroniques </w:t>
      </w:r>
    </w:p>
    <w:p w14:paraId="3062D40E" w14:textId="77777777" w:rsidR="00ED4694" w:rsidRPr="00B15634" w:rsidRDefault="00ED4694" w:rsidP="00ED4694">
      <w:pPr>
        <w:pStyle w:val="Sansinterligne"/>
        <w:numPr>
          <w:ilvl w:val="0"/>
          <w:numId w:val="56"/>
        </w:numPr>
        <w:jc w:val="both"/>
        <w:rPr>
          <w:rFonts w:ascii="Arial" w:hAnsi="Arial" w:cs="Arial"/>
          <w:color w:val="00B0F0"/>
          <w:sz w:val="20"/>
          <w:szCs w:val="20"/>
          <w:u w:val="single"/>
          <w:lang w:eastAsia="fr-FR"/>
        </w:rPr>
      </w:pPr>
      <w:r w:rsidRPr="00B15634">
        <w:rPr>
          <w:rFonts w:ascii="Arial" w:hAnsi="Arial" w:cs="Arial"/>
          <w:color w:val="00B0F0"/>
          <w:sz w:val="20"/>
          <w:szCs w:val="20"/>
          <w:u w:val="single"/>
          <w:lang w:eastAsia="fr-FR"/>
        </w:rPr>
        <w:t xml:space="preserve">Microangiopathies et macroangiopathies : définition </w:t>
      </w:r>
    </w:p>
    <w:p w14:paraId="5A6DDBCD" w14:textId="77777777" w:rsidR="00ED4694" w:rsidRPr="00B15634" w:rsidRDefault="00ED4694" w:rsidP="00ED4694">
      <w:pPr>
        <w:pStyle w:val="Sansinterligne"/>
        <w:jc w:val="both"/>
        <w:rPr>
          <w:rFonts w:ascii="Arial" w:hAnsi="Arial" w:cs="Arial"/>
          <w:color w:val="FF0000"/>
          <w:sz w:val="20"/>
          <w:szCs w:val="20"/>
          <w:lang w:eastAsia="fr-FR"/>
        </w:rPr>
      </w:pPr>
    </w:p>
    <w:p w14:paraId="43962296"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FF0000"/>
          <w:sz w:val="20"/>
          <w:szCs w:val="20"/>
          <w:lang w:eastAsia="fr-FR"/>
        </w:rPr>
        <w:t xml:space="preserve">Apparition de lésions vasculaires (= angiopathie) au niveau des artères (= macroangiopathie) et surtout des artérioles et capillaires (= microangiopathie) </w:t>
      </w:r>
    </w:p>
    <w:p w14:paraId="71B9A988"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EA7C30"/>
          <w:sz w:val="20"/>
          <w:szCs w:val="20"/>
          <w:lang w:eastAsia="fr-FR"/>
        </w:rPr>
        <w:lastRenderedPageBreak/>
        <w:t xml:space="preserve">50 à 75% des DT2 meurent d’accidents cardiovasculaires </w:t>
      </w:r>
    </w:p>
    <w:p w14:paraId="7AA9CCD3" w14:textId="77777777" w:rsidR="00ED4694" w:rsidRPr="00B15634" w:rsidRDefault="00ED4694" w:rsidP="00ED4694">
      <w:pPr>
        <w:pStyle w:val="Sansinterligne"/>
        <w:jc w:val="both"/>
        <w:rPr>
          <w:rFonts w:ascii="Arial" w:hAnsi="Arial" w:cs="Arial"/>
          <w:sz w:val="20"/>
          <w:szCs w:val="20"/>
          <w:lang w:eastAsia="fr-FR"/>
        </w:rPr>
      </w:pPr>
    </w:p>
    <w:p w14:paraId="5F23B5C2"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Macroangiopathies</w:t>
      </w:r>
      <w:r w:rsidRPr="00B15634">
        <w:rPr>
          <w:rFonts w:ascii="Arial" w:hAnsi="Arial" w:cs="Arial"/>
          <w:sz w:val="20"/>
          <w:szCs w:val="20"/>
          <w:lang w:eastAsia="fr-FR"/>
        </w:rPr>
        <w:t xml:space="preserve"> : </w:t>
      </w:r>
    </w:p>
    <w:p w14:paraId="7800BE19"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L’hypertension artérielle (HTA)</w:t>
      </w:r>
    </w:p>
    <w:p w14:paraId="4F89B12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Les accidents cardiovasculaires (IDM : Infarctus du Myocarde)</w:t>
      </w:r>
    </w:p>
    <w:p w14:paraId="705D162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Les AVC (Accidents Vasculaires Cérébraux) </w:t>
      </w:r>
    </w:p>
    <w:p w14:paraId="3E26D358" w14:textId="77777777" w:rsidR="00ED4694" w:rsidRPr="00B15634" w:rsidRDefault="00ED4694" w:rsidP="00ED4694">
      <w:pPr>
        <w:pStyle w:val="Sansinterligne"/>
        <w:jc w:val="both"/>
        <w:rPr>
          <w:rFonts w:ascii="Arial" w:hAnsi="Arial" w:cs="Arial"/>
          <w:sz w:val="20"/>
          <w:szCs w:val="20"/>
          <w:lang w:eastAsia="fr-FR"/>
        </w:rPr>
      </w:pPr>
    </w:p>
    <w:p w14:paraId="7286AB69"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Microangiopathies</w:t>
      </w:r>
      <w:r w:rsidRPr="00B15634">
        <w:rPr>
          <w:rFonts w:ascii="Arial" w:hAnsi="Arial" w:cs="Arial"/>
          <w:sz w:val="20"/>
          <w:szCs w:val="20"/>
          <w:lang w:eastAsia="fr-FR"/>
        </w:rPr>
        <w:t xml:space="preserve"> : </w:t>
      </w:r>
    </w:p>
    <w:p w14:paraId="336AD02F"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Rétinopathie</w:t>
      </w:r>
    </w:p>
    <w:p w14:paraId="23C16A6D"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Néphropathie</w:t>
      </w:r>
    </w:p>
    <w:p w14:paraId="4E1C98C9"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Neuropathie (dont pied diabétique) </w:t>
      </w:r>
    </w:p>
    <w:p w14:paraId="3A1E31E9" w14:textId="77777777" w:rsidR="00ED4694" w:rsidRPr="00B15634" w:rsidRDefault="00ED4694" w:rsidP="00ED4694">
      <w:pPr>
        <w:pStyle w:val="Sansinterligne"/>
        <w:jc w:val="both"/>
        <w:rPr>
          <w:rFonts w:ascii="Arial" w:hAnsi="Arial" w:cs="Arial"/>
          <w:sz w:val="20"/>
          <w:szCs w:val="20"/>
          <w:lang w:eastAsia="fr-FR"/>
        </w:rPr>
      </w:pPr>
    </w:p>
    <w:p w14:paraId="336D77C9"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Mécanisme général : </w:t>
      </w:r>
    </w:p>
    <w:p w14:paraId="09992015"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La surchage en glucose entraîne l’activation de voies métaboliques habituellement mineures et l’épuisement des fonctions mitochondriales antioxydantes : </w:t>
      </w:r>
    </w:p>
    <w:p w14:paraId="527072BC"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Ainsi, des espèces réactives de l’oxygène (ROS) sont générées et vont modifier l’ADN et de nombreuses protéines de la cellule</w:t>
      </w:r>
    </w:p>
    <w:p w14:paraId="3EEE7D79"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FF0000"/>
          <w:sz w:val="20"/>
          <w:szCs w:val="20"/>
          <w:lang w:eastAsia="fr-FR"/>
        </w:rPr>
        <w:t xml:space="preserve">→ stress oxydatif </w:t>
      </w:r>
    </w:p>
    <w:p w14:paraId="5E50695D" w14:textId="77777777" w:rsidR="00ED4694" w:rsidRPr="00B15634" w:rsidRDefault="00ED4694" w:rsidP="00ED4694">
      <w:pPr>
        <w:pStyle w:val="Sansinterligne"/>
        <w:jc w:val="both"/>
        <w:rPr>
          <w:rFonts w:ascii="Arial" w:hAnsi="Arial" w:cs="Arial"/>
          <w:color w:val="FF0000"/>
          <w:sz w:val="20"/>
          <w:szCs w:val="20"/>
          <w:lang w:eastAsia="fr-FR"/>
        </w:rPr>
      </w:pPr>
      <w:r w:rsidRPr="00B15634">
        <w:rPr>
          <w:rFonts w:ascii="Arial" w:hAnsi="Arial" w:cs="Arial"/>
          <w:sz w:val="20"/>
          <w:szCs w:val="20"/>
          <w:lang w:eastAsia="fr-FR"/>
        </w:rPr>
        <w:t xml:space="preserve">- La cellule n’assure plus correctement ses fonctions </w:t>
      </w:r>
      <w:r w:rsidRPr="00B15634">
        <w:rPr>
          <w:rFonts w:ascii="Arial" w:hAnsi="Arial" w:cs="Arial"/>
          <w:color w:val="FF0000"/>
          <w:sz w:val="20"/>
          <w:szCs w:val="20"/>
          <w:lang w:eastAsia="fr-FR"/>
        </w:rPr>
        <w:t xml:space="preserve">→ dysfonction endothéliale voire apoptose </w:t>
      </w:r>
    </w:p>
    <w:p w14:paraId="4DE70FE4" w14:textId="77777777" w:rsidR="00ED4694" w:rsidRPr="00B15634" w:rsidRDefault="00ED4694" w:rsidP="00ED4694">
      <w:pPr>
        <w:pStyle w:val="Sansinterligne"/>
        <w:jc w:val="both"/>
        <w:rPr>
          <w:rFonts w:ascii="Arial" w:hAnsi="Arial" w:cs="Arial"/>
          <w:color w:val="FF0000"/>
          <w:sz w:val="20"/>
          <w:szCs w:val="20"/>
          <w:lang w:eastAsia="fr-FR"/>
        </w:rPr>
      </w:pPr>
      <w:r w:rsidRPr="00B15634">
        <w:rPr>
          <w:rFonts w:ascii="Arial" w:hAnsi="Arial" w:cs="Arial"/>
          <w:color w:val="FF0000"/>
          <w:sz w:val="20"/>
          <w:szCs w:val="20"/>
          <w:lang w:eastAsia="fr-FR"/>
        </w:rPr>
        <w:sym w:font="Symbol" w:char="F0DE"/>
      </w:r>
      <w:r w:rsidRPr="00B15634">
        <w:rPr>
          <w:rFonts w:ascii="Arial" w:hAnsi="Arial" w:cs="Arial"/>
          <w:color w:val="FF0000"/>
          <w:sz w:val="20"/>
          <w:szCs w:val="20"/>
          <w:lang w:eastAsia="fr-FR"/>
        </w:rPr>
        <w:t xml:space="preserve"> Paroi des vaisseaux épaissie qui se perméabilise à diverses protéines et lipoprotéines </w:t>
      </w:r>
    </w:p>
    <w:p w14:paraId="34598861" w14:textId="77777777" w:rsidR="00ED4694" w:rsidRPr="00B15634" w:rsidRDefault="00ED4694" w:rsidP="00ED4694">
      <w:pPr>
        <w:pStyle w:val="Sansinterligne"/>
        <w:jc w:val="both"/>
        <w:rPr>
          <w:rFonts w:ascii="Arial" w:hAnsi="Arial" w:cs="Arial"/>
          <w:color w:val="00B0F0"/>
          <w:sz w:val="20"/>
          <w:szCs w:val="20"/>
          <w:u w:val="single"/>
          <w:lang w:eastAsia="fr-FR"/>
        </w:rPr>
      </w:pPr>
    </w:p>
    <w:p w14:paraId="69D1AFF3" w14:textId="77777777" w:rsidR="00ED4694" w:rsidRPr="00B15634" w:rsidRDefault="00ED4694" w:rsidP="00ED4694">
      <w:pPr>
        <w:pStyle w:val="Sansinterligne"/>
        <w:numPr>
          <w:ilvl w:val="0"/>
          <w:numId w:val="56"/>
        </w:numPr>
        <w:jc w:val="both"/>
        <w:rPr>
          <w:rFonts w:ascii="Arial" w:hAnsi="Arial" w:cs="Arial"/>
          <w:color w:val="00B0F0"/>
          <w:sz w:val="20"/>
          <w:szCs w:val="20"/>
          <w:u w:val="single"/>
          <w:lang w:eastAsia="fr-FR"/>
        </w:rPr>
      </w:pPr>
      <w:r w:rsidRPr="00B15634">
        <w:rPr>
          <w:rFonts w:ascii="Arial" w:hAnsi="Arial" w:cs="Arial"/>
          <w:color w:val="00B0F0"/>
          <w:sz w:val="20"/>
          <w:szCs w:val="20"/>
          <w:u w:val="single"/>
          <w:lang w:eastAsia="fr-FR"/>
        </w:rPr>
        <w:t xml:space="preserve">Principales voies métaboliques responsables des angiopathies du diabète </w:t>
      </w:r>
    </w:p>
    <w:p w14:paraId="2C57FEC1" w14:textId="77777777" w:rsidR="00ED4694" w:rsidRPr="00B15634" w:rsidRDefault="00ED4694" w:rsidP="00ED4694">
      <w:pPr>
        <w:pStyle w:val="Sansinterligne"/>
        <w:jc w:val="both"/>
        <w:rPr>
          <w:rFonts w:ascii="Arial" w:hAnsi="Arial" w:cs="Arial"/>
          <w:sz w:val="20"/>
          <w:szCs w:val="20"/>
          <w:lang w:eastAsia="fr-FR"/>
        </w:rPr>
      </w:pPr>
    </w:p>
    <w:p w14:paraId="46D50728"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EA7C30"/>
          <w:sz w:val="20"/>
          <w:szCs w:val="20"/>
          <w:lang w:eastAsia="fr-FR"/>
        </w:rPr>
        <w:t xml:space="preserve">a. La voie des polyols </w:t>
      </w:r>
    </w:p>
    <w:p w14:paraId="75806996" w14:textId="77777777" w:rsidR="00ED4694" w:rsidRPr="00B15634" w:rsidRDefault="00ED4694" w:rsidP="00ED4694">
      <w:pPr>
        <w:pStyle w:val="Sansinterligne"/>
        <w:jc w:val="center"/>
        <w:rPr>
          <w:rFonts w:ascii="Arial" w:hAnsi="Arial" w:cs="Arial"/>
          <w:color w:val="007F00"/>
          <w:sz w:val="20"/>
          <w:szCs w:val="20"/>
          <w:lang w:eastAsia="fr-FR"/>
        </w:rPr>
      </w:pPr>
      <w:r w:rsidRPr="00B15634">
        <w:rPr>
          <w:rFonts w:ascii="Arial" w:hAnsi="Arial" w:cs="Arial"/>
          <w:noProof/>
          <w:color w:val="007F00"/>
          <w:sz w:val="20"/>
          <w:szCs w:val="20"/>
          <w:lang w:eastAsia="fr-FR"/>
        </w:rPr>
        <w:drawing>
          <wp:inline distT="0" distB="0" distL="0" distR="0" wp14:anchorId="385EB845" wp14:editId="24CFF9C6">
            <wp:extent cx="5638800" cy="660400"/>
            <wp:effectExtent l="0" t="0" r="0" b="0"/>
            <wp:docPr id="20088851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885115" name=""/>
                    <pic:cNvPicPr/>
                  </pic:nvPicPr>
                  <pic:blipFill>
                    <a:blip r:embed="rId20"/>
                    <a:stretch>
                      <a:fillRect/>
                    </a:stretch>
                  </pic:blipFill>
                  <pic:spPr>
                    <a:xfrm>
                      <a:off x="0" y="0"/>
                      <a:ext cx="5638800" cy="660400"/>
                    </a:xfrm>
                    <a:prstGeom prst="rect">
                      <a:avLst/>
                    </a:prstGeom>
                  </pic:spPr>
                </pic:pic>
              </a:graphicData>
            </a:graphic>
          </wp:inline>
        </w:drawing>
      </w:r>
    </w:p>
    <w:p w14:paraId="5A5F9A73" w14:textId="77777777" w:rsidR="00ED4694" w:rsidRPr="00B15634" w:rsidRDefault="00ED4694" w:rsidP="00ED4694">
      <w:pPr>
        <w:pStyle w:val="Sansinterligne"/>
        <w:jc w:val="both"/>
        <w:rPr>
          <w:rFonts w:ascii="Arial" w:hAnsi="Arial" w:cs="Arial"/>
          <w:color w:val="007F00"/>
          <w:sz w:val="20"/>
          <w:szCs w:val="20"/>
          <w:lang w:eastAsia="fr-FR"/>
        </w:rPr>
      </w:pPr>
    </w:p>
    <w:p w14:paraId="20B50A77"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sym w:font="Symbol" w:char="F0DE"/>
      </w:r>
      <w:r w:rsidRPr="00B15634">
        <w:rPr>
          <w:rFonts w:ascii="Arial" w:hAnsi="Arial" w:cs="Arial"/>
          <w:sz w:val="20"/>
          <w:szCs w:val="20"/>
          <w:lang w:eastAsia="fr-FR"/>
        </w:rPr>
        <w:t xml:space="preserve"> Hyperglycémie = activation +++ de la voie des polyols = production ++ de Sorbitol </w:t>
      </w:r>
    </w:p>
    <w:p w14:paraId="5C5F4528"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Consommation importante de NADPH par l’aldose réductase </w:t>
      </w:r>
    </w:p>
    <w:p w14:paraId="4DECE5C6"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NADPH non disponible pour la réduction du glutathion</w:t>
      </w:r>
    </w:p>
    <w:p w14:paraId="1437B965"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Accumulation d’espèces réactives de l’oxygène qui endommagent les tissus </w:t>
      </w:r>
    </w:p>
    <w:p w14:paraId="38D010B6" w14:textId="77777777" w:rsidR="00ED4694" w:rsidRPr="00B15634" w:rsidRDefault="00ED4694" w:rsidP="00ED4694">
      <w:pPr>
        <w:pStyle w:val="Sansinterligne"/>
        <w:jc w:val="both"/>
        <w:rPr>
          <w:rFonts w:ascii="Arial" w:hAnsi="Arial" w:cs="Arial"/>
          <w:sz w:val="20"/>
          <w:szCs w:val="20"/>
          <w:lang w:eastAsia="fr-FR"/>
        </w:rPr>
      </w:pPr>
    </w:p>
    <w:p w14:paraId="211DF8BA"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sym w:font="Symbol" w:char="F0DE"/>
      </w:r>
      <w:r w:rsidRPr="00B15634">
        <w:rPr>
          <w:rFonts w:ascii="Arial" w:hAnsi="Arial" w:cs="Arial"/>
          <w:sz w:val="20"/>
          <w:szCs w:val="20"/>
          <w:lang w:eastAsia="fr-FR"/>
        </w:rPr>
        <w:t xml:space="preserve"> Hyperglycémie = activation +++ de la voie des polyols = production ++ de Fructose </w:t>
      </w:r>
    </w:p>
    <w:p w14:paraId="15DBAC8C"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Utilisation du Fructose pour former du Diacylglycérol (DAG) </w:t>
      </w:r>
    </w:p>
    <w:p w14:paraId="27773A72"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Activation de la voie PKC (enzymes protéine kinase C) → Phosphorylation des protéines ++ </w:t>
      </w:r>
    </w:p>
    <w:p w14:paraId="2409FB1C"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 perméabilité vasculaire et dysfonctionnement endothélial </w:t>
      </w:r>
    </w:p>
    <w:p w14:paraId="2DF336E4" w14:textId="77777777" w:rsidR="00ED4694" w:rsidRPr="00B15634" w:rsidRDefault="00ED4694" w:rsidP="00ED4694">
      <w:pPr>
        <w:pStyle w:val="Sansinterligne"/>
        <w:jc w:val="both"/>
        <w:rPr>
          <w:rFonts w:ascii="Arial" w:hAnsi="Arial" w:cs="Arial"/>
          <w:sz w:val="20"/>
          <w:szCs w:val="20"/>
          <w:lang w:eastAsia="fr-FR"/>
        </w:rPr>
      </w:pPr>
    </w:p>
    <w:p w14:paraId="668D9ADF"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color w:val="EA7C30"/>
          <w:sz w:val="20"/>
          <w:szCs w:val="20"/>
        </w:rPr>
        <w:t xml:space="preserve">b. La glycation des protéines et les AGEs </w:t>
      </w:r>
    </w:p>
    <w:p w14:paraId="617B593E" w14:textId="77777777" w:rsidR="00ED4694" w:rsidRPr="00B15634" w:rsidRDefault="00ED4694" w:rsidP="00ED4694">
      <w:pPr>
        <w:pStyle w:val="Sansinterligne"/>
        <w:jc w:val="center"/>
        <w:rPr>
          <w:rFonts w:ascii="Arial" w:hAnsi="Arial" w:cs="Arial"/>
          <w:sz w:val="20"/>
          <w:szCs w:val="20"/>
          <w:lang w:eastAsia="fr-FR"/>
        </w:rPr>
      </w:pPr>
      <w:r w:rsidRPr="00B15634">
        <w:rPr>
          <w:rFonts w:ascii="Arial" w:hAnsi="Arial" w:cs="Arial"/>
          <w:noProof/>
          <w:sz w:val="20"/>
          <w:szCs w:val="20"/>
          <w:lang w:eastAsia="fr-FR"/>
        </w:rPr>
        <w:drawing>
          <wp:inline distT="0" distB="0" distL="0" distR="0" wp14:anchorId="59ADD813" wp14:editId="7D47451D">
            <wp:extent cx="5362223" cy="2056048"/>
            <wp:effectExtent l="0" t="0" r="0" b="1905"/>
            <wp:docPr id="1002916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1643" name=""/>
                    <pic:cNvPicPr/>
                  </pic:nvPicPr>
                  <pic:blipFill>
                    <a:blip r:embed="rId21"/>
                    <a:stretch>
                      <a:fillRect/>
                    </a:stretch>
                  </pic:blipFill>
                  <pic:spPr>
                    <a:xfrm>
                      <a:off x="0" y="0"/>
                      <a:ext cx="5423554" cy="2079564"/>
                    </a:xfrm>
                    <a:prstGeom prst="rect">
                      <a:avLst/>
                    </a:prstGeom>
                  </pic:spPr>
                </pic:pic>
              </a:graphicData>
            </a:graphic>
          </wp:inline>
        </w:drawing>
      </w:r>
    </w:p>
    <w:p w14:paraId="541B7F81"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color w:val="FF0000"/>
          <w:sz w:val="20"/>
          <w:szCs w:val="20"/>
        </w:rPr>
        <w:sym w:font="Symbol" w:char="F0DE"/>
      </w:r>
      <w:r w:rsidRPr="00B15634">
        <w:rPr>
          <w:rFonts w:ascii="Arial" w:hAnsi="Arial" w:cs="Arial"/>
          <w:color w:val="FF0000"/>
          <w:sz w:val="20"/>
          <w:szCs w:val="20"/>
        </w:rPr>
        <w:t xml:space="preserve"> Hyperglycémie = +++ glycation des protéines = activation +++ des récepteurs RAGE et formation +++ des AGEs </w:t>
      </w:r>
    </w:p>
    <w:p w14:paraId="3DF76BDA"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lastRenderedPageBreak/>
        <w:drawing>
          <wp:inline distT="0" distB="0" distL="0" distR="0" wp14:anchorId="32335F2C" wp14:editId="77D6FB90">
            <wp:extent cx="4491956" cy="1767855"/>
            <wp:effectExtent l="0" t="0" r="4445" b="0"/>
            <wp:docPr id="17790014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001410" name=""/>
                    <pic:cNvPicPr/>
                  </pic:nvPicPr>
                  <pic:blipFill>
                    <a:blip r:embed="rId22"/>
                    <a:stretch>
                      <a:fillRect/>
                    </a:stretch>
                  </pic:blipFill>
                  <pic:spPr>
                    <a:xfrm>
                      <a:off x="0" y="0"/>
                      <a:ext cx="4530380" cy="1782977"/>
                    </a:xfrm>
                    <a:prstGeom prst="rect">
                      <a:avLst/>
                    </a:prstGeom>
                  </pic:spPr>
                </pic:pic>
              </a:graphicData>
            </a:graphic>
          </wp:inline>
        </w:drawing>
      </w:r>
    </w:p>
    <w:p w14:paraId="57F16AE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39FF30B"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u w:val="single"/>
        </w:rPr>
        <w:t>Effets délétères des AGEs chez les patients diabétiques</w:t>
      </w:r>
      <w:r w:rsidRPr="00B15634">
        <w:rPr>
          <w:rFonts w:ascii="Arial" w:hAnsi="Arial" w:cs="Arial"/>
          <w:sz w:val="20"/>
          <w:szCs w:val="20"/>
        </w:rPr>
        <w:t xml:space="preserve"> : </w:t>
      </w:r>
    </w:p>
    <w:p w14:paraId="0A3BCAE3"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Activation des récepteurs RAGE = stress oxydant et inflammatoire </w:t>
      </w:r>
    </w:p>
    <w:p w14:paraId="32E30A6E"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Altération des systèmes de dégradation protéique de la cellule tels que le protéasome et l’autophagie </w:t>
      </w:r>
    </w:p>
    <w:p w14:paraId="4B13FEFE"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Protéines du cristallin : opacification du cristallin et cataracte </w:t>
      </w:r>
    </w:p>
    <w:p w14:paraId="592A38BA"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Protéines de la matrice extracellulaire : perte de l’élasticité des tissus (collagènes, élastine), vieillissement accéléré –</w:t>
      </w:r>
    </w:p>
    <w:p w14:paraId="43CF2B56" w14:textId="77777777" w:rsidR="00ED4694" w:rsidRPr="00B15634" w:rsidRDefault="00ED4694" w:rsidP="00ED4694">
      <w:pPr>
        <w:pStyle w:val="Sansinterligne"/>
        <w:jc w:val="both"/>
        <w:rPr>
          <w:rFonts w:ascii="Arial" w:hAnsi="Arial" w:cs="Arial"/>
          <w:sz w:val="20"/>
          <w:szCs w:val="20"/>
        </w:rPr>
      </w:pPr>
    </w:p>
    <w:p w14:paraId="7DBE4E11" w14:textId="77777777" w:rsidR="00ED4694" w:rsidRPr="00B15634" w:rsidRDefault="00ED4694" w:rsidP="00ED4694">
      <w:pPr>
        <w:pStyle w:val="Sansinterligne"/>
        <w:jc w:val="both"/>
        <w:rPr>
          <w:rFonts w:ascii="Arial" w:hAnsi="Arial" w:cs="Arial"/>
          <w:color w:val="FF0000"/>
          <w:sz w:val="20"/>
          <w:szCs w:val="20"/>
        </w:rPr>
      </w:pPr>
      <w:r w:rsidRPr="00B15634">
        <w:rPr>
          <w:rFonts w:ascii="Arial" w:hAnsi="Arial" w:cs="Arial"/>
          <w:color w:val="FF0000"/>
          <w:sz w:val="20"/>
          <w:szCs w:val="20"/>
        </w:rPr>
        <w:t>Hémoglobine glyquée HbA1c utilisée comme indicateur de complications microvasculaires Reflet de la glycation des protéines sur 120 jours (durée de vie du globule rouge)</w:t>
      </w:r>
    </w:p>
    <w:p w14:paraId="08C5DB7D" w14:textId="77777777" w:rsidR="00ED4694" w:rsidRPr="00B15634" w:rsidRDefault="00ED4694" w:rsidP="00ED4694">
      <w:pPr>
        <w:pStyle w:val="Sansinterligne"/>
        <w:jc w:val="both"/>
        <w:rPr>
          <w:rFonts w:ascii="Arial" w:hAnsi="Arial" w:cs="Arial"/>
          <w:color w:val="FF0000"/>
          <w:sz w:val="20"/>
          <w:szCs w:val="20"/>
        </w:rPr>
      </w:pPr>
      <w:r w:rsidRPr="00B15634">
        <w:rPr>
          <w:rFonts w:ascii="Arial" w:hAnsi="Arial" w:cs="Arial"/>
          <w:color w:val="FF0000"/>
          <w:sz w:val="20"/>
          <w:szCs w:val="20"/>
        </w:rPr>
        <w:t xml:space="preserve">Dosage tous les 3-4 mois avec objectif HbA1c &lt; 6,5 % chez les diabétiques </w:t>
      </w:r>
    </w:p>
    <w:p w14:paraId="298200E2" w14:textId="77777777" w:rsidR="00ED4694" w:rsidRPr="00B15634" w:rsidRDefault="00ED4694" w:rsidP="00ED4694">
      <w:pPr>
        <w:pStyle w:val="Sansinterligne"/>
        <w:jc w:val="both"/>
        <w:rPr>
          <w:rFonts w:ascii="Arial" w:hAnsi="Arial" w:cs="Arial"/>
          <w:sz w:val="20"/>
          <w:szCs w:val="20"/>
        </w:rPr>
      </w:pPr>
    </w:p>
    <w:p w14:paraId="7B68B9F6" w14:textId="77777777" w:rsidR="00ED4694" w:rsidRPr="00B15634" w:rsidRDefault="00ED4694" w:rsidP="00ED4694">
      <w:pPr>
        <w:pStyle w:val="Sansinterligne"/>
        <w:numPr>
          <w:ilvl w:val="0"/>
          <w:numId w:val="56"/>
        </w:numPr>
        <w:jc w:val="both"/>
        <w:rPr>
          <w:rFonts w:ascii="Arial" w:hAnsi="Arial" w:cs="Arial"/>
          <w:color w:val="00B0F0"/>
          <w:sz w:val="20"/>
          <w:szCs w:val="20"/>
          <w:u w:val="single"/>
        </w:rPr>
      </w:pPr>
      <w:r w:rsidRPr="00B15634">
        <w:rPr>
          <w:rFonts w:ascii="Arial" w:hAnsi="Arial" w:cs="Arial"/>
          <w:color w:val="00B0F0"/>
          <w:sz w:val="20"/>
          <w:szCs w:val="20"/>
          <w:u w:val="single"/>
        </w:rPr>
        <w:t xml:space="preserve">Rétinopathie </w:t>
      </w:r>
    </w:p>
    <w:p w14:paraId="7BB306BA"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color w:val="FF0000"/>
          <w:sz w:val="20"/>
          <w:szCs w:val="20"/>
        </w:rPr>
        <w:t xml:space="preserve">Classée comme microangiopathie </w:t>
      </w:r>
    </w:p>
    <w:p w14:paraId="1E161139"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u w:val="single"/>
        </w:rPr>
        <w:t>Epidémiologie</w:t>
      </w:r>
      <w:r w:rsidRPr="00B15634">
        <w:rPr>
          <w:rFonts w:ascii="Arial" w:hAnsi="Arial" w:cs="Arial"/>
          <w:sz w:val="20"/>
          <w:szCs w:val="20"/>
        </w:rPr>
        <w:t xml:space="preserve"> : </w:t>
      </w:r>
    </w:p>
    <w:p w14:paraId="4F9F70BA"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Fréquemment présente au diagnostic du diabète de type 2 (20 %) car elle a pu être précédée par des années d’hyperglycémie modérée et ignorée </w:t>
      </w:r>
    </w:p>
    <w:p w14:paraId="32B4722D"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Sa prévalence augmente avec la durée du diabète et avec le mauvais contrôle glycémique : après 15 ans d’évolution elle touche 80-90 % des DT1 et 50-80 % des DT2 </w:t>
      </w:r>
    </w:p>
    <w:p w14:paraId="4F8D03AF"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Première cause de cécité en France chez les moins de 50 ans </w:t>
      </w:r>
    </w:p>
    <w:p w14:paraId="6FD33A85" w14:textId="77777777" w:rsidR="00ED4694" w:rsidRPr="00B15634" w:rsidRDefault="00ED4694" w:rsidP="00ED4694">
      <w:pPr>
        <w:pStyle w:val="Sansinterligne"/>
        <w:jc w:val="both"/>
        <w:rPr>
          <w:rFonts w:ascii="Arial" w:hAnsi="Arial" w:cs="Arial"/>
          <w:sz w:val="20"/>
          <w:szCs w:val="20"/>
          <w:lang w:eastAsia="fr-FR"/>
        </w:rPr>
      </w:pPr>
    </w:p>
    <w:p w14:paraId="1578FA6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Recherche de lésions de rétinopathie à l’examen du fond d’œil</w:t>
      </w:r>
      <w:r w:rsidRPr="00B15634">
        <w:rPr>
          <w:rFonts w:ascii="Arial" w:hAnsi="Arial" w:cs="Arial"/>
          <w:sz w:val="20"/>
          <w:szCs w:val="20"/>
          <w:lang w:eastAsia="fr-FR"/>
        </w:rPr>
        <w:t xml:space="preserve"> :</w:t>
      </w:r>
    </w:p>
    <w:p w14:paraId="5D2A0AAB"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Premières lésions histologiques : </w:t>
      </w:r>
    </w:p>
    <w:p w14:paraId="30E81B23" w14:textId="77777777" w:rsidR="00ED4694" w:rsidRPr="00B15634" w:rsidRDefault="00ED4694" w:rsidP="00ED4694">
      <w:pPr>
        <w:pStyle w:val="Sansinterligne"/>
        <w:numPr>
          <w:ilvl w:val="0"/>
          <w:numId w:val="57"/>
        </w:numPr>
        <w:jc w:val="both"/>
        <w:rPr>
          <w:rFonts w:ascii="Arial" w:hAnsi="Arial" w:cs="Arial"/>
          <w:sz w:val="20"/>
          <w:szCs w:val="20"/>
          <w:lang w:eastAsia="fr-FR"/>
        </w:rPr>
      </w:pPr>
      <w:r w:rsidRPr="00B15634">
        <w:rPr>
          <w:rFonts w:ascii="Arial" w:hAnsi="Arial" w:cs="Arial"/>
          <w:sz w:val="20"/>
          <w:szCs w:val="20"/>
          <w:lang w:eastAsia="fr-FR"/>
        </w:rPr>
        <w:t xml:space="preserve">Épaississement de la membrane basale car synthèse accrue de matrice extracellulaire </w:t>
      </w:r>
    </w:p>
    <w:p w14:paraId="5365DF76" w14:textId="77777777" w:rsidR="00ED4694" w:rsidRPr="00B15634" w:rsidRDefault="00ED4694" w:rsidP="00ED4694">
      <w:pPr>
        <w:pStyle w:val="Sansinterligne"/>
        <w:numPr>
          <w:ilvl w:val="0"/>
          <w:numId w:val="57"/>
        </w:numPr>
        <w:jc w:val="both"/>
        <w:rPr>
          <w:rFonts w:ascii="Arial" w:hAnsi="Arial" w:cs="Arial"/>
          <w:sz w:val="20"/>
          <w:szCs w:val="20"/>
          <w:lang w:eastAsia="fr-FR"/>
        </w:rPr>
      </w:pPr>
      <w:r w:rsidRPr="00B15634">
        <w:rPr>
          <w:rFonts w:ascii="Arial" w:hAnsi="Arial" w:cs="Arial"/>
          <w:sz w:val="20"/>
          <w:szCs w:val="20"/>
          <w:lang w:eastAsia="fr-FR"/>
        </w:rPr>
        <w:t xml:space="preserve">Perte du maintien du tonus capillaire car perte des péricytes </w:t>
      </w:r>
    </w:p>
    <w:p w14:paraId="063A923B" w14:textId="77777777" w:rsidR="00ED4694" w:rsidRPr="00B15634" w:rsidRDefault="00ED4694" w:rsidP="00ED4694">
      <w:pPr>
        <w:pStyle w:val="Sansinterligne"/>
        <w:numPr>
          <w:ilvl w:val="0"/>
          <w:numId w:val="57"/>
        </w:numPr>
        <w:jc w:val="both"/>
        <w:rPr>
          <w:rFonts w:ascii="Arial" w:hAnsi="Arial" w:cs="Arial"/>
          <w:sz w:val="20"/>
          <w:szCs w:val="20"/>
          <w:lang w:eastAsia="fr-FR"/>
        </w:rPr>
      </w:pPr>
      <w:r w:rsidRPr="00B15634">
        <w:rPr>
          <w:rFonts w:ascii="Arial" w:hAnsi="Arial" w:cs="Arial"/>
          <w:sz w:val="20"/>
          <w:szCs w:val="20"/>
          <w:lang w:eastAsia="fr-FR"/>
        </w:rPr>
        <w:t xml:space="preserve">Obstruction des capillaires rétiniens car perte des cellules endothéliales </w:t>
      </w:r>
    </w:p>
    <w:p w14:paraId="1008852D"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Apparition de microanévrismes proches des capillaires obstrués </w:t>
      </w:r>
    </w:p>
    <w:p w14:paraId="31E9DB7A"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Œdème rétinien dû à l’hyperperméabilité des capillaires </w:t>
      </w:r>
    </w:p>
    <w:p w14:paraId="73959FC6"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Ischémie rétinienne sous forme de « cotton-wool spots » suite à l’occlusion capillaire, menant à terme à la cécité </w:t>
      </w:r>
    </w:p>
    <w:p w14:paraId="4E1F6192"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noProof/>
          <w:sz w:val="20"/>
          <w:szCs w:val="20"/>
          <w:lang w:eastAsia="fr-FR"/>
        </w:rPr>
        <w:drawing>
          <wp:anchor distT="0" distB="0" distL="114300" distR="114300" simplePos="0" relativeHeight="251667456" behindDoc="1" locked="0" layoutInCell="1" allowOverlap="1" wp14:anchorId="0D7DC8B0" wp14:editId="2D88C7B4">
            <wp:simplePos x="0" y="0"/>
            <wp:positionH relativeFrom="column">
              <wp:posOffset>4405630</wp:posOffset>
            </wp:positionH>
            <wp:positionV relativeFrom="paragraph">
              <wp:posOffset>29210</wp:posOffset>
            </wp:positionV>
            <wp:extent cx="2350770" cy="1229995"/>
            <wp:effectExtent l="0" t="0" r="0" b="1905"/>
            <wp:wrapTight wrapText="bothSides">
              <wp:wrapPolygon edited="0">
                <wp:start x="0" y="0"/>
                <wp:lineTo x="0" y="21410"/>
                <wp:lineTo x="21472" y="21410"/>
                <wp:lineTo x="21472" y="0"/>
                <wp:lineTo x="0" y="0"/>
              </wp:wrapPolygon>
            </wp:wrapTight>
            <wp:docPr id="10218608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860819"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50770" cy="1229995"/>
                    </a:xfrm>
                    <a:prstGeom prst="rect">
                      <a:avLst/>
                    </a:prstGeom>
                  </pic:spPr>
                </pic:pic>
              </a:graphicData>
            </a:graphic>
            <wp14:sizeRelH relativeFrom="page">
              <wp14:pctWidth>0</wp14:pctWidth>
            </wp14:sizeRelH>
            <wp14:sizeRelV relativeFrom="page">
              <wp14:pctHeight>0</wp14:pctHeight>
            </wp14:sizeRelV>
          </wp:anchor>
        </w:drawing>
      </w:r>
      <w:r w:rsidRPr="00B15634">
        <w:rPr>
          <w:rFonts w:ascii="Arial" w:hAnsi="Arial" w:cs="Arial"/>
          <w:sz w:val="20"/>
          <w:szCs w:val="20"/>
          <w:lang w:eastAsia="fr-FR"/>
        </w:rPr>
        <w:t xml:space="preserve">- Prolifération anormale de néovaisseaux qui peuvent conduire au glaucome néovasculaire </w:t>
      </w:r>
    </w:p>
    <w:p w14:paraId="24EEF495"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Hémorragie intra-vitréenne </w:t>
      </w:r>
    </w:p>
    <w:p w14:paraId="7E29CA19"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Décollement de la rétine </w:t>
      </w:r>
    </w:p>
    <w:p w14:paraId="243B1659"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Œdème maculaire </w:t>
      </w:r>
    </w:p>
    <w:p w14:paraId="09D51227" w14:textId="77777777" w:rsidR="00ED4694" w:rsidRPr="00B15634" w:rsidRDefault="00ED4694" w:rsidP="00ED4694">
      <w:pPr>
        <w:pStyle w:val="Sansinterligne"/>
        <w:jc w:val="both"/>
        <w:rPr>
          <w:rFonts w:ascii="Arial" w:hAnsi="Arial" w:cs="Arial"/>
          <w:sz w:val="20"/>
          <w:szCs w:val="20"/>
          <w:lang w:eastAsia="fr-FR"/>
        </w:rPr>
      </w:pPr>
    </w:p>
    <w:p w14:paraId="4E261006"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541965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03056A0" w14:textId="77777777" w:rsidR="00ED4694" w:rsidRPr="00B15634" w:rsidRDefault="00ED4694" w:rsidP="00ED4694">
      <w:pPr>
        <w:pStyle w:val="Sansinterligne"/>
        <w:numPr>
          <w:ilvl w:val="0"/>
          <w:numId w:val="56"/>
        </w:numPr>
        <w:jc w:val="both"/>
        <w:rPr>
          <w:rFonts w:ascii="Arial" w:hAnsi="Arial" w:cs="Arial"/>
          <w:color w:val="00B0F0"/>
          <w:sz w:val="20"/>
          <w:szCs w:val="20"/>
          <w:u w:val="single"/>
        </w:rPr>
      </w:pPr>
      <w:r w:rsidRPr="00B15634">
        <w:rPr>
          <w:rFonts w:ascii="Arial" w:hAnsi="Arial" w:cs="Arial"/>
          <w:color w:val="00B0F0"/>
          <w:sz w:val="20"/>
          <w:szCs w:val="20"/>
          <w:u w:val="single"/>
        </w:rPr>
        <w:t xml:space="preserve">Néphropathie </w:t>
      </w:r>
    </w:p>
    <w:p w14:paraId="3978109E"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color w:val="FF0000"/>
          <w:sz w:val="20"/>
          <w:szCs w:val="20"/>
        </w:rPr>
        <w:t xml:space="preserve">Classée comme microangiopathie </w:t>
      </w:r>
    </w:p>
    <w:p w14:paraId="4E2244BB"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inline distT="0" distB="0" distL="0" distR="0" wp14:anchorId="73620DF8" wp14:editId="13BECB2C">
            <wp:extent cx="4065996" cy="1535335"/>
            <wp:effectExtent l="0" t="0" r="0" b="1905"/>
            <wp:docPr id="3674869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86979" name=""/>
                    <pic:cNvPicPr/>
                  </pic:nvPicPr>
                  <pic:blipFill>
                    <a:blip r:embed="rId24"/>
                    <a:stretch>
                      <a:fillRect/>
                    </a:stretch>
                  </pic:blipFill>
                  <pic:spPr>
                    <a:xfrm>
                      <a:off x="0" y="0"/>
                      <a:ext cx="4094676" cy="1546165"/>
                    </a:xfrm>
                    <a:prstGeom prst="rect">
                      <a:avLst/>
                    </a:prstGeom>
                  </pic:spPr>
                </pic:pic>
              </a:graphicData>
            </a:graphic>
          </wp:inline>
        </w:drawing>
      </w:r>
    </w:p>
    <w:p w14:paraId="13B390C7"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Perméabilité des capillaires = passage +++ de l’albumine</w:t>
      </w:r>
    </w:p>
    <w:p w14:paraId="6AC5E9C6"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Détection d’une microalbuminurie (&gt; 3 mg/mmol de créatinine ou &gt; 30 mg/24h)</w:t>
      </w:r>
    </w:p>
    <w:p w14:paraId="45A635B5"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Evolue en macroalbuminurie ou protéinurie (&gt; 30 mg/mmol de créatinine ou &gt; 300 mg/24h) détectable sur une bandelette urinaire </w:t>
      </w:r>
    </w:p>
    <w:p w14:paraId="1467466F"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Diagnostic par une ponction rénale mais qui est rarement pratiquée</w:t>
      </w:r>
    </w:p>
    <w:p w14:paraId="5905D675"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lastRenderedPageBreak/>
        <w:sym w:font="Symbol" w:char="F0DE"/>
      </w:r>
      <w:r w:rsidRPr="00B15634">
        <w:rPr>
          <w:rFonts w:ascii="Arial" w:hAnsi="Arial" w:cs="Arial"/>
          <w:sz w:val="20"/>
          <w:szCs w:val="20"/>
        </w:rPr>
        <w:t xml:space="preserve"> Officieusement : diagnostic posé quand rétinopathie + macroalbuminurie (qui persiste sur 2 ou 3 examens consécutifs répétés dans les 3 mois) </w:t>
      </w:r>
    </w:p>
    <w:p w14:paraId="500120F1" w14:textId="77777777" w:rsidR="00ED4694" w:rsidRPr="00B15634" w:rsidRDefault="00ED4694" w:rsidP="00ED4694">
      <w:pPr>
        <w:pStyle w:val="Sansinterligne"/>
        <w:jc w:val="both"/>
        <w:rPr>
          <w:rFonts w:ascii="Arial" w:hAnsi="Arial" w:cs="Arial"/>
          <w:sz w:val="20"/>
          <w:szCs w:val="20"/>
        </w:rPr>
      </w:pPr>
    </w:p>
    <w:p w14:paraId="5659A09B" w14:textId="77777777" w:rsidR="00ED4694" w:rsidRPr="00B15634" w:rsidRDefault="00ED4694" w:rsidP="00ED4694">
      <w:pPr>
        <w:pStyle w:val="Sansinterligne"/>
        <w:jc w:val="both"/>
        <w:rPr>
          <w:rFonts w:ascii="Arial" w:hAnsi="Arial" w:cs="Arial"/>
          <w:b/>
          <w:bCs/>
          <w:sz w:val="20"/>
          <w:szCs w:val="20"/>
          <w:u w:val="single"/>
        </w:rPr>
      </w:pPr>
      <w:r w:rsidRPr="00B15634">
        <w:rPr>
          <w:rFonts w:ascii="Arial" w:hAnsi="Arial" w:cs="Arial"/>
          <w:sz w:val="20"/>
          <w:szCs w:val="20"/>
        </w:rPr>
        <w:t xml:space="preserve">Suivi biologique : </w:t>
      </w:r>
      <w:r w:rsidRPr="00B15634">
        <w:rPr>
          <w:rFonts w:ascii="Arial" w:hAnsi="Arial" w:cs="Arial"/>
          <w:b/>
          <w:bCs/>
          <w:sz w:val="20"/>
          <w:szCs w:val="20"/>
          <w:u w:val="single"/>
        </w:rPr>
        <w:t xml:space="preserve">recherche d’une insuffisance rénale </w:t>
      </w:r>
    </w:p>
    <w:p w14:paraId="47733918"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color w:val="FF0000"/>
          <w:sz w:val="20"/>
          <w:szCs w:val="20"/>
        </w:rPr>
        <w:t xml:space="preserve">-  Créatininémie </w:t>
      </w:r>
    </w:p>
    <w:p w14:paraId="2A621EF1"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color w:val="FF0000"/>
          <w:sz w:val="20"/>
          <w:szCs w:val="20"/>
        </w:rPr>
        <w:t xml:space="preserve">-  DFG (Débit de Filtration Glomérulaire) </w:t>
      </w:r>
    </w:p>
    <w:p w14:paraId="1149D97F"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color w:val="FF0000"/>
          <w:sz w:val="20"/>
          <w:szCs w:val="20"/>
        </w:rPr>
        <w:t xml:space="preserve">-  Albuminurie </w:t>
      </w:r>
    </w:p>
    <w:p w14:paraId="59299DB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C94B214" w14:textId="77777777" w:rsidR="00ED4694" w:rsidRPr="00B15634" w:rsidRDefault="00ED4694" w:rsidP="00ED4694">
      <w:pPr>
        <w:pStyle w:val="Sansinterligne"/>
        <w:numPr>
          <w:ilvl w:val="0"/>
          <w:numId w:val="56"/>
        </w:numPr>
        <w:jc w:val="both"/>
        <w:rPr>
          <w:rFonts w:ascii="Arial" w:hAnsi="Arial" w:cs="Arial"/>
          <w:color w:val="00B0F0"/>
          <w:sz w:val="20"/>
          <w:szCs w:val="20"/>
          <w:u w:val="single"/>
        </w:rPr>
      </w:pPr>
      <w:r w:rsidRPr="00B15634">
        <w:rPr>
          <w:rFonts w:ascii="Arial" w:hAnsi="Arial" w:cs="Arial"/>
          <w:color w:val="00B0F0"/>
          <w:sz w:val="20"/>
          <w:szCs w:val="20"/>
          <w:u w:val="single"/>
        </w:rPr>
        <w:t xml:space="preserve">Neuropathie </w:t>
      </w:r>
    </w:p>
    <w:p w14:paraId="5F806402" w14:textId="77777777" w:rsidR="00ED4694" w:rsidRPr="00B15634" w:rsidRDefault="00ED4694" w:rsidP="00ED4694">
      <w:pPr>
        <w:pStyle w:val="Sansinterligne"/>
        <w:jc w:val="both"/>
        <w:rPr>
          <w:rFonts w:ascii="Arial" w:hAnsi="Arial" w:cs="Arial"/>
          <w:color w:val="FF0000"/>
          <w:sz w:val="20"/>
          <w:szCs w:val="20"/>
        </w:rPr>
      </w:pPr>
    </w:p>
    <w:p w14:paraId="5B898A26"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color w:val="FF0000"/>
          <w:sz w:val="20"/>
          <w:szCs w:val="20"/>
        </w:rPr>
        <w:t xml:space="preserve">Classée comme microangiopathie </w:t>
      </w:r>
    </w:p>
    <w:p w14:paraId="4685C373"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Complication chez près de 50% des patient diabétiques </w:t>
      </w:r>
    </w:p>
    <w:p w14:paraId="14A7DEFB" w14:textId="77777777" w:rsidR="00ED4694" w:rsidRPr="00B15634" w:rsidRDefault="00ED4694" w:rsidP="00ED4694">
      <w:pPr>
        <w:pStyle w:val="Sansinterligne"/>
        <w:numPr>
          <w:ilvl w:val="0"/>
          <w:numId w:val="53"/>
        </w:numPr>
        <w:jc w:val="both"/>
        <w:rPr>
          <w:rFonts w:ascii="Arial" w:hAnsi="Arial" w:cs="Arial"/>
          <w:sz w:val="20"/>
          <w:szCs w:val="20"/>
          <w:u w:val="single"/>
        </w:rPr>
      </w:pPr>
      <w:r w:rsidRPr="00B15634">
        <w:rPr>
          <w:rFonts w:ascii="Arial" w:hAnsi="Arial" w:cs="Arial"/>
          <w:sz w:val="20"/>
          <w:szCs w:val="20"/>
          <w:u w:val="single"/>
        </w:rPr>
        <w:t>Polyneuropathies diabétiques</w:t>
      </w:r>
    </w:p>
    <w:p w14:paraId="0722129D"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80 à 85% des neuropathies diabétiques</w:t>
      </w:r>
    </w:p>
    <w:p w14:paraId="4130B2D4"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Souvent distale, bilatérale et symétrique, « en chaussette » </w:t>
      </w:r>
    </w:p>
    <w:p w14:paraId="044945C9" w14:textId="77777777" w:rsidR="00ED4694" w:rsidRPr="00B15634" w:rsidRDefault="00ED4694" w:rsidP="00ED4694">
      <w:pPr>
        <w:pStyle w:val="Sansinterligne"/>
        <w:numPr>
          <w:ilvl w:val="0"/>
          <w:numId w:val="53"/>
        </w:numPr>
        <w:jc w:val="both"/>
        <w:rPr>
          <w:rFonts w:ascii="Arial" w:hAnsi="Arial" w:cs="Arial"/>
          <w:sz w:val="20"/>
          <w:szCs w:val="20"/>
          <w:u w:val="single"/>
        </w:rPr>
      </w:pPr>
      <w:r w:rsidRPr="00B15634">
        <w:rPr>
          <w:rFonts w:ascii="Arial" w:hAnsi="Arial" w:cs="Arial"/>
          <w:sz w:val="20"/>
          <w:szCs w:val="20"/>
          <w:u w:val="single"/>
        </w:rPr>
        <w:t>Neuropathie végétative</w:t>
      </w:r>
    </w:p>
    <w:p w14:paraId="0A06F089"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Manifestations cardiovasculaires (dénervation cardiaque parasympathique, hypotension orthostatique), sudorales, urogénitales (impuissance), digestives (gastroparésite, diarrhée), dysautonomie diabétique </w:t>
      </w:r>
    </w:p>
    <w:p w14:paraId="47467A4E" w14:textId="77777777" w:rsidR="00ED4694" w:rsidRPr="00B15634" w:rsidRDefault="00ED4694" w:rsidP="00ED4694">
      <w:pPr>
        <w:pStyle w:val="Sansinterligne"/>
        <w:numPr>
          <w:ilvl w:val="0"/>
          <w:numId w:val="53"/>
        </w:numPr>
        <w:jc w:val="both"/>
        <w:rPr>
          <w:rFonts w:ascii="Arial" w:hAnsi="Arial" w:cs="Arial"/>
          <w:sz w:val="20"/>
          <w:szCs w:val="20"/>
          <w:u w:val="single"/>
        </w:rPr>
      </w:pPr>
      <w:r w:rsidRPr="00B15634">
        <w:rPr>
          <w:rFonts w:ascii="Arial" w:hAnsi="Arial" w:cs="Arial"/>
          <w:sz w:val="20"/>
          <w:szCs w:val="20"/>
          <w:u w:val="single"/>
        </w:rPr>
        <w:t>Mononeuropathies et neuropathies multiples</w:t>
      </w:r>
    </w:p>
    <w:p w14:paraId="75CEE790"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10 à 15% des neuropathies diabétiques</w:t>
      </w:r>
    </w:p>
    <w:p w14:paraId="1D96685D"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Signes moteurs déficitaires, douleurs exacerbées la nuit, +++ membres inférieurs </w:t>
      </w:r>
    </w:p>
    <w:p w14:paraId="2E2E84BD"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 </w:t>
      </w:r>
      <w:r w:rsidRPr="00B15634">
        <w:rPr>
          <w:rFonts w:ascii="Arial" w:hAnsi="Arial" w:cs="Arial"/>
          <w:sz w:val="20"/>
          <w:szCs w:val="20"/>
          <w:u w:val="single"/>
        </w:rPr>
        <w:t>Polyradiculopathies</w:t>
      </w:r>
    </w:p>
    <w:p w14:paraId="49A70F0A"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Impliquent typiquement le plexus lombosacré</w:t>
      </w:r>
    </w:p>
    <w:p w14:paraId="28F8DE4E"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Douleurs extrêmes unilatérales à la cuisse, amaigrissement, faiblesse motrice </w:t>
      </w:r>
    </w:p>
    <w:p w14:paraId="6E7530D9" w14:textId="77777777" w:rsidR="00ED4694" w:rsidRPr="00B15634" w:rsidRDefault="00ED4694" w:rsidP="00ED4694">
      <w:pPr>
        <w:pStyle w:val="Sansinterligne"/>
        <w:jc w:val="both"/>
        <w:rPr>
          <w:rFonts w:ascii="Arial" w:hAnsi="Arial" w:cs="Arial"/>
          <w:sz w:val="20"/>
          <w:szCs w:val="20"/>
        </w:rPr>
      </w:pPr>
    </w:p>
    <w:p w14:paraId="20DFDEDC" w14:textId="77777777" w:rsidR="00ED4694" w:rsidRPr="00B15634" w:rsidRDefault="00ED4694" w:rsidP="00ED4694">
      <w:pPr>
        <w:pStyle w:val="Sansinterligne"/>
        <w:numPr>
          <w:ilvl w:val="0"/>
          <w:numId w:val="56"/>
        </w:numPr>
        <w:jc w:val="both"/>
        <w:rPr>
          <w:rFonts w:ascii="Arial" w:hAnsi="Arial" w:cs="Arial"/>
          <w:color w:val="00B0F0"/>
          <w:sz w:val="20"/>
          <w:szCs w:val="20"/>
          <w:u w:val="single"/>
          <w:lang w:eastAsia="fr-FR"/>
        </w:rPr>
      </w:pPr>
      <w:r w:rsidRPr="00B15634">
        <w:rPr>
          <w:rFonts w:ascii="Arial" w:hAnsi="Arial" w:cs="Arial"/>
          <w:color w:val="00B0F0"/>
          <w:sz w:val="20"/>
          <w:szCs w:val="20"/>
          <w:u w:val="single"/>
          <w:lang w:eastAsia="fr-FR"/>
        </w:rPr>
        <w:t xml:space="preserve">Pied diabétique </w:t>
      </w:r>
    </w:p>
    <w:p w14:paraId="4775524C" w14:textId="77777777" w:rsidR="00ED4694" w:rsidRPr="00B15634" w:rsidRDefault="00ED4694" w:rsidP="00ED4694">
      <w:pPr>
        <w:pStyle w:val="Sansinterligne"/>
        <w:jc w:val="both"/>
        <w:rPr>
          <w:rFonts w:ascii="Arial" w:hAnsi="Arial" w:cs="Arial"/>
          <w:color w:val="FF0000"/>
          <w:sz w:val="20"/>
          <w:szCs w:val="20"/>
          <w:lang w:eastAsia="fr-FR"/>
        </w:rPr>
      </w:pPr>
    </w:p>
    <w:p w14:paraId="7AE3062C"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FF0000"/>
          <w:sz w:val="20"/>
          <w:szCs w:val="20"/>
          <w:lang w:eastAsia="fr-FR"/>
        </w:rPr>
        <w:t xml:space="preserve">Conséquence des complications de microangiopathies neuropathiques (= polyneuropathie diabétique) </w:t>
      </w:r>
    </w:p>
    <w:p w14:paraId="7270BAA5" w14:textId="77777777" w:rsidR="00ED469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20% des pieds diabétiques mènent à une amputation. </w:t>
      </w:r>
    </w:p>
    <w:p w14:paraId="69B5451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A28C558" w14:textId="77777777" w:rsidR="00ED4694" w:rsidRPr="00B15634" w:rsidRDefault="00ED4694" w:rsidP="00ED4694">
      <w:pPr>
        <w:pStyle w:val="Sansinterligne"/>
        <w:numPr>
          <w:ilvl w:val="0"/>
          <w:numId w:val="48"/>
        </w:numPr>
        <w:jc w:val="both"/>
        <w:rPr>
          <w:rFonts w:ascii="Arial" w:hAnsi="Arial" w:cs="Arial"/>
          <w:b/>
          <w:bCs/>
          <w:sz w:val="20"/>
          <w:szCs w:val="20"/>
          <w:u w:val="single"/>
        </w:rPr>
      </w:pPr>
      <w:r w:rsidRPr="00B15634">
        <w:rPr>
          <w:rFonts w:ascii="Arial" w:hAnsi="Arial" w:cs="Arial"/>
          <w:b/>
          <w:bCs/>
          <w:sz w:val="20"/>
          <w:szCs w:val="20"/>
          <w:u w:val="single"/>
        </w:rPr>
        <w:t xml:space="preserve">Schéma bilan des complications chroniques du diabète (non exhaustif) </w:t>
      </w:r>
    </w:p>
    <w:p w14:paraId="3927A513"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inline distT="0" distB="0" distL="0" distR="0" wp14:anchorId="19851600" wp14:editId="21A9CEA0">
            <wp:extent cx="4991281" cy="2384999"/>
            <wp:effectExtent l="0" t="0" r="0" b="3175"/>
            <wp:docPr id="12868669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866973" name=""/>
                    <pic:cNvPicPr/>
                  </pic:nvPicPr>
                  <pic:blipFill>
                    <a:blip r:embed="rId25"/>
                    <a:stretch>
                      <a:fillRect/>
                    </a:stretch>
                  </pic:blipFill>
                  <pic:spPr>
                    <a:xfrm>
                      <a:off x="0" y="0"/>
                      <a:ext cx="5017537" cy="2397545"/>
                    </a:xfrm>
                    <a:prstGeom prst="rect">
                      <a:avLst/>
                    </a:prstGeom>
                  </pic:spPr>
                </pic:pic>
              </a:graphicData>
            </a:graphic>
          </wp:inline>
        </w:drawing>
      </w:r>
    </w:p>
    <w:p w14:paraId="40F4972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257976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558E56B" w14:textId="77777777" w:rsidR="00ED4694" w:rsidRPr="00B15634" w:rsidRDefault="00ED4694" w:rsidP="00ED4694">
      <w:pPr>
        <w:pStyle w:val="Sansinterligne"/>
        <w:numPr>
          <w:ilvl w:val="0"/>
          <w:numId w:val="48"/>
        </w:numPr>
        <w:jc w:val="both"/>
        <w:rPr>
          <w:rFonts w:ascii="Arial" w:hAnsi="Arial" w:cs="Arial"/>
          <w:b/>
          <w:bCs/>
          <w:sz w:val="20"/>
          <w:szCs w:val="20"/>
          <w:u w:val="single"/>
        </w:rPr>
      </w:pPr>
      <w:r w:rsidRPr="00B15634">
        <w:rPr>
          <w:rFonts w:ascii="Arial" w:hAnsi="Arial" w:cs="Arial"/>
          <w:b/>
          <w:bCs/>
          <w:sz w:val="20"/>
          <w:szCs w:val="20"/>
          <w:u w:val="single"/>
        </w:rPr>
        <w:t xml:space="preserve">Le suivi du diabète </w:t>
      </w:r>
    </w:p>
    <w:p w14:paraId="6E663C3F" w14:textId="77777777" w:rsidR="00ED4694" w:rsidRPr="00B15634" w:rsidRDefault="00ED4694" w:rsidP="00ED4694">
      <w:pPr>
        <w:pStyle w:val="Sansinterligne"/>
        <w:numPr>
          <w:ilvl w:val="0"/>
          <w:numId w:val="58"/>
        </w:numPr>
        <w:jc w:val="both"/>
        <w:rPr>
          <w:rFonts w:ascii="Arial" w:hAnsi="Arial" w:cs="Arial"/>
          <w:color w:val="00B0F0"/>
          <w:sz w:val="20"/>
          <w:szCs w:val="20"/>
          <w:u w:val="single"/>
        </w:rPr>
      </w:pPr>
      <w:r w:rsidRPr="00B15634">
        <w:rPr>
          <w:rFonts w:ascii="Arial" w:hAnsi="Arial" w:cs="Arial"/>
          <w:color w:val="00B0F0"/>
          <w:sz w:val="20"/>
          <w:szCs w:val="20"/>
          <w:u w:val="single"/>
        </w:rPr>
        <w:t xml:space="preserve">Dépistage/diagnostic </w:t>
      </w:r>
    </w:p>
    <w:p w14:paraId="63222FE6"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inline distT="0" distB="0" distL="0" distR="0" wp14:anchorId="0A6894B0" wp14:editId="691CDF21">
            <wp:extent cx="4588510" cy="2017173"/>
            <wp:effectExtent l="0" t="0" r="0" b="2540"/>
            <wp:docPr id="9348248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24803" name=""/>
                    <pic:cNvPicPr/>
                  </pic:nvPicPr>
                  <pic:blipFill>
                    <a:blip r:embed="rId26"/>
                    <a:stretch>
                      <a:fillRect/>
                    </a:stretch>
                  </pic:blipFill>
                  <pic:spPr>
                    <a:xfrm>
                      <a:off x="0" y="0"/>
                      <a:ext cx="4616595" cy="2029520"/>
                    </a:xfrm>
                    <a:prstGeom prst="rect">
                      <a:avLst/>
                    </a:prstGeom>
                  </pic:spPr>
                </pic:pic>
              </a:graphicData>
            </a:graphic>
          </wp:inline>
        </w:drawing>
      </w:r>
    </w:p>
    <w:p w14:paraId="319483D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993920C" w14:textId="77777777" w:rsidR="00ED4694" w:rsidRPr="00B15634" w:rsidRDefault="00ED4694" w:rsidP="00ED4694">
      <w:pPr>
        <w:pStyle w:val="Sansinterligne"/>
        <w:numPr>
          <w:ilvl w:val="0"/>
          <w:numId w:val="58"/>
        </w:numPr>
        <w:jc w:val="both"/>
        <w:rPr>
          <w:rFonts w:ascii="Arial" w:hAnsi="Arial" w:cs="Arial"/>
          <w:color w:val="00B0F0"/>
          <w:sz w:val="20"/>
          <w:szCs w:val="20"/>
          <w:u w:val="single"/>
        </w:rPr>
      </w:pPr>
      <w:r w:rsidRPr="00B15634">
        <w:rPr>
          <w:rFonts w:ascii="Arial" w:hAnsi="Arial" w:cs="Arial"/>
          <w:color w:val="00B0F0"/>
          <w:sz w:val="20"/>
          <w:szCs w:val="20"/>
          <w:u w:val="single"/>
        </w:rPr>
        <w:lastRenderedPageBreak/>
        <w:t xml:space="preserve">Suivi des complications </w:t>
      </w:r>
    </w:p>
    <w:p w14:paraId="1D56AB41" w14:textId="77777777" w:rsidR="00ED4694" w:rsidRPr="00B15634" w:rsidRDefault="00ED4694" w:rsidP="00ED4694">
      <w:pPr>
        <w:pStyle w:val="Sansinterligne"/>
        <w:jc w:val="both"/>
        <w:rPr>
          <w:rFonts w:ascii="Arial" w:hAnsi="Arial" w:cs="Arial"/>
          <w:color w:val="FF0000"/>
          <w:sz w:val="20"/>
          <w:szCs w:val="20"/>
        </w:rPr>
      </w:pPr>
      <w:r w:rsidRPr="00B15634">
        <w:rPr>
          <w:rFonts w:ascii="Arial" w:hAnsi="Arial" w:cs="Arial"/>
          <w:color w:val="FF0000"/>
          <w:sz w:val="20"/>
          <w:szCs w:val="20"/>
        </w:rPr>
        <w:t xml:space="preserve">Expliquer clairement au patient ses traitements/sa prise en charge, consulter un diabétologue </w:t>
      </w:r>
    </w:p>
    <w:p w14:paraId="20F4AEBD" w14:textId="77777777" w:rsidR="00ED4694" w:rsidRPr="00B15634" w:rsidRDefault="00ED4694" w:rsidP="00ED4694">
      <w:pPr>
        <w:pStyle w:val="Sansinterligne"/>
        <w:jc w:val="both"/>
        <w:rPr>
          <w:rFonts w:ascii="Arial" w:hAnsi="Arial" w:cs="Arial"/>
          <w:color w:val="FF0000"/>
          <w:sz w:val="20"/>
          <w:szCs w:val="20"/>
        </w:rPr>
      </w:pPr>
    </w:p>
    <w:p w14:paraId="65E03F22" w14:textId="77777777" w:rsidR="00ED4694" w:rsidRPr="00B15634" w:rsidRDefault="00ED4694" w:rsidP="00ED4694">
      <w:pPr>
        <w:pStyle w:val="Sansinterligne"/>
        <w:jc w:val="center"/>
        <w:rPr>
          <w:rFonts w:ascii="Arial" w:hAnsi="Arial" w:cs="Arial"/>
          <w:sz w:val="20"/>
          <w:szCs w:val="20"/>
        </w:rPr>
      </w:pPr>
      <w:r w:rsidRPr="00B15634">
        <w:rPr>
          <w:rFonts w:ascii="Arial" w:hAnsi="Arial" w:cs="Arial"/>
          <w:noProof/>
          <w:sz w:val="20"/>
          <w:szCs w:val="20"/>
        </w:rPr>
        <w:drawing>
          <wp:inline distT="0" distB="0" distL="0" distR="0" wp14:anchorId="13A8E1DD" wp14:editId="50ED8BD7">
            <wp:extent cx="6134281" cy="3017321"/>
            <wp:effectExtent l="0" t="0" r="0" b="5715"/>
            <wp:docPr id="18345670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67016" name=""/>
                    <pic:cNvPicPr/>
                  </pic:nvPicPr>
                  <pic:blipFill>
                    <a:blip r:embed="rId27"/>
                    <a:stretch>
                      <a:fillRect/>
                    </a:stretch>
                  </pic:blipFill>
                  <pic:spPr>
                    <a:xfrm>
                      <a:off x="0" y="0"/>
                      <a:ext cx="6152070" cy="3026071"/>
                    </a:xfrm>
                    <a:prstGeom prst="rect">
                      <a:avLst/>
                    </a:prstGeom>
                  </pic:spPr>
                </pic:pic>
              </a:graphicData>
            </a:graphic>
          </wp:inline>
        </w:drawing>
      </w:r>
    </w:p>
    <w:p w14:paraId="66E2D736"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76726FC"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B4F4865"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B992308"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CE1C9AA" w14:textId="77777777" w:rsidR="00ED4694" w:rsidRDefault="00ED4694" w:rsidP="00ED4694">
      <w:pPr>
        <w:pStyle w:val="Sansinterligne"/>
        <w:jc w:val="both"/>
        <w:rPr>
          <w:rFonts w:ascii="Arial" w:hAnsi="Arial" w:cs="Arial"/>
          <w:color w:val="000000" w:themeColor="text1"/>
          <w:sz w:val="20"/>
          <w:szCs w:val="20"/>
          <w:lang w:eastAsia="fr-FR"/>
        </w:rPr>
      </w:pPr>
    </w:p>
    <w:p w14:paraId="2D025DFE" w14:textId="77777777" w:rsidR="00ED4694" w:rsidRDefault="00ED4694" w:rsidP="00ED4694">
      <w:pPr>
        <w:pStyle w:val="Sansinterligne"/>
        <w:jc w:val="both"/>
        <w:rPr>
          <w:rFonts w:ascii="Arial" w:hAnsi="Arial" w:cs="Arial"/>
          <w:color w:val="000000" w:themeColor="text1"/>
          <w:sz w:val="20"/>
          <w:szCs w:val="20"/>
          <w:lang w:eastAsia="fr-FR"/>
        </w:rPr>
      </w:pPr>
    </w:p>
    <w:p w14:paraId="4EDCAE04" w14:textId="77777777" w:rsidR="00ED4694" w:rsidRDefault="00ED4694" w:rsidP="00ED4694">
      <w:pPr>
        <w:pStyle w:val="Sansinterligne"/>
        <w:jc w:val="both"/>
        <w:rPr>
          <w:rFonts w:ascii="Arial" w:hAnsi="Arial" w:cs="Arial"/>
          <w:color w:val="000000" w:themeColor="text1"/>
          <w:sz w:val="20"/>
          <w:szCs w:val="20"/>
          <w:lang w:eastAsia="fr-FR"/>
        </w:rPr>
      </w:pPr>
    </w:p>
    <w:p w14:paraId="030CBA01" w14:textId="77777777" w:rsidR="00ED4694" w:rsidRDefault="00ED4694" w:rsidP="00ED4694">
      <w:pPr>
        <w:pStyle w:val="Sansinterligne"/>
        <w:jc w:val="both"/>
        <w:rPr>
          <w:rFonts w:ascii="Arial" w:hAnsi="Arial" w:cs="Arial"/>
          <w:color w:val="000000" w:themeColor="text1"/>
          <w:sz w:val="20"/>
          <w:szCs w:val="20"/>
          <w:lang w:eastAsia="fr-FR"/>
        </w:rPr>
      </w:pPr>
    </w:p>
    <w:p w14:paraId="1A487715" w14:textId="77777777" w:rsidR="00ED4694" w:rsidRDefault="00ED4694" w:rsidP="00ED4694">
      <w:pPr>
        <w:pStyle w:val="Sansinterligne"/>
        <w:jc w:val="both"/>
        <w:rPr>
          <w:rFonts w:ascii="Arial" w:hAnsi="Arial" w:cs="Arial"/>
          <w:color w:val="000000" w:themeColor="text1"/>
          <w:sz w:val="20"/>
          <w:szCs w:val="20"/>
          <w:lang w:eastAsia="fr-FR"/>
        </w:rPr>
      </w:pPr>
    </w:p>
    <w:p w14:paraId="690D1561" w14:textId="77777777" w:rsidR="00ED4694" w:rsidRDefault="00ED4694" w:rsidP="00ED4694">
      <w:pPr>
        <w:pStyle w:val="Sansinterligne"/>
        <w:jc w:val="both"/>
        <w:rPr>
          <w:rFonts w:ascii="Arial" w:hAnsi="Arial" w:cs="Arial"/>
          <w:color w:val="000000" w:themeColor="text1"/>
          <w:sz w:val="20"/>
          <w:szCs w:val="20"/>
          <w:lang w:eastAsia="fr-FR"/>
        </w:rPr>
      </w:pPr>
    </w:p>
    <w:p w14:paraId="35FA1649" w14:textId="77777777" w:rsidR="00ED4694" w:rsidRDefault="00ED4694" w:rsidP="00ED4694">
      <w:pPr>
        <w:pStyle w:val="Sansinterligne"/>
        <w:jc w:val="both"/>
        <w:rPr>
          <w:rFonts w:ascii="Arial" w:hAnsi="Arial" w:cs="Arial"/>
          <w:color w:val="000000" w:themeColor="text1"/>
          <w:sz w:val="20"/>
          <w:szCs w:val="20"/>
          <w:lang w:eastAsia="fr-FR"/>
        </w:rPr>
      </w:pPr>
    </w:p>
    <w:p w14:paraId="5635C583" w14:textId="77777777" w:rsidR="00ED4694" w:rsidRDefault="00ED4694" w:rsidP="00ED4694">
      <w:pPr>
        <w:pStyle w:val="Sansinterligne"/>
        <w:jc w:val="both"/>
        <w:rPr>
          <w:rFonts w:ascii="Arial" w:hAnsi="Arial" w:cs="Arial"/>
          <w:color w:val="000000" w:themeColor="text1"/>
          <w:sz w:val="20"/>
          <w:szCs w:val="20"/>
          <w:lang w:eastAsia="fr-FR"/>
        </w:rPr>
      </w:pPr>
    </w:p>
    <w:p w14:paraId="67E70802" w14:textId="77777777" w:rsidR="00ED4694" w:rsidRDefault="00ED4694" w:rsidP="00ED4694">
      <w:pPr>
        <w:pStyle w:val="Sansinterligne"/>
        <w:jc w:val="both"/>
        <w:rPr>
          <w:rFonts w:ascii="Arial" w:hAnsi="Arial" w:cs="Arial"/>
          <w:color w:val="000000" w:themeColor="text1"/>
          <w:sz w:val="20"/>
          <w:szCs w:val="20"/>
          <w:lang w:eastAsia="fr-FR"/>
        </w:rPr>
      </w:pPr>
    </w:p>
    <w:p w14:paraId="252B1144" w14:textId="77777777" w:rsidR="00ED4694" w:rsidRDefault="00ED4694" w:rsidP="00ED4694">
      <w:pPr>
        <w:pStyle w:val="Sansinterligne"/>
        <w:jc w:val="both"/>
        <w:rPr>
          <w:rFonts w:ascii="Arial" w:hAnsi="Arial" w:cs="Arial"/>
          <w:color w:val="000000" w:themeColor="text1"/>
          <w:sz w:val="20"/>
          <w:szCs w:val="20"/>
          <w:lang w:eastAsia="fr-FR"/>
        </w:rPr>
      </w:pPr>
    </w:p>
    <w:p w14:paraId="00421DB2" w14:textId="77777777" w:rsidR="00ED4694" w:rsidRDefault="00ED4694" w:rsidP="00ED4694">
      <w:pPr>
        <w:pStyle w:val="Sansinterligne"/>
        <w:jc w:val="both"/>
        <w:rPr>
          <w:rFonts w:ascii="Arial" w:hAnsi="Arial" w:cs="Arial"/>
          <w:color w:val="000000" w:themeColor="text1"/>
          <w:sz w:val="20"/>
          <w:szCs w:val="20"/>
          <w:lang w:eastAsia="fr-FR"/>
        </w:rPr>
      </w:pPr>
    </w:p>
    <w:p w14:paraId="0379EDCA" w14:textId="77777777" w:rsidR="00ED4694" w:rsidRDefault="00ED4694" w:rsidP="00ED4694">
      <w:pPr>
        <w:pStyle w:val="Sansinterligne"/>
        <w:jc w:val="both"/>
        <w:rPr>
          <w:rFonts w:ascii="Arial" w:hAnsi="Arial" w:cs="Arial"/>
          <w:color w:val="000000" w:themeColor="text1"/>
          <w:sz w:val="20"/>
          <w:szCs w:val="20"/>
          <w:lang w:eastAsia="fr-FR"/>
        </w:rPr>
      </w:pPr>
    </w:p>
    <w:p w14:paraId="77A413BB" w14:textId="77777777" w:rsidR="00ED4694" w:rsidRDefault="00ED4694" w:rsidP="00ED4694">
      <w:pPr>
        <w:pStyle w:val="Sansinterligne"/>
        <w:jc w:val="both"/>
        <w:rPr>
          <w:rFonts w:ascii="Arial" w:hAnsi="Arial" w:cs="Arial"/>
          <w:color w:val="000000" w:themeColor="text1"/>
          <w:sz w:val="20"/>
          <w:szCs w:val="20"/>
          <w:lang w:eastAsia="fr-FR"/>
        </w:rPr>
      </w:pPr>
    </w:p>
    <w:p w14:paraId="6C95E1BB" w14:textId="77777777" w:rsidR="00ED4694" w:rsidRDefault="00ED4694" w:rsidP="00ED4694">
      <w:pPr>
        <w:pStyle w:val="Sansinterligne"/>
        <w:jc w:val="both"/>
        <w:rPr>
          <w:rFonts w:ascii="Arial" w:hAnsi="Arial" w:cs="Arial"/>
          <w:color w:val="000000" w:themeColor="text1"/>
          <w:sz w:val="20"/>
          <w:szCs w:val="20"/>
          <w:lang w:eastAsia="fr-FR"/>
        </w:rPr>
      </w:pPr>
    </w:p>
    <w:p w14:paraId="4D01B31A" w14:textId="77777777" w:rsidR="00ED4694" w:rsidRDefault="00ED4694" w:rsidP="00ED4694">
      <w:pPr>
        <w:pStyle w:val="Sansinterligne"/>
        <w:jc w:val="both"/>
        <w:rPr>
          <w:rFonts w:ascii="Arial" w:hAnsi="Arial" w:cs="Arial"/>
          <w:color w:val="000000" w:themeColor="text1"/>
          <w:sz w:val="20"/>
          <w:szCs w:val="20"/>
          <w:lang w:eastAsia="fr-FR"/>
        </w:rPr>
      </w:pPr>
    </w:p>
    <w:p w14:paraId="5540C323" w14:textId="77777777" w:rsidR="00ED4694" w:rsidRDefault="00ED4694" w:rsidP="00ED4694">
      <w:pPr>
        <w:pStyle w:val="Sansinterligne"/>
        <w:jc w:val="both"/>
        <w:rPr>
          <w:rFonts w:ascii="Arial" w:hAnsi="Arial" w:cs="Arial"/>
          <w:color w:val="000000" w:themeColor="text1"/>
          <w:sz w:val="20"/>
          <w:szCs w:val="20"/>
          <w:lang w:eastAsia="fr-FR"/>
        </w:rPr>
      </w:pPr>
    </w:p>
    <w:p w14:paraId="308AF5A0" w14:textId="77777777" w:rsidR="00ED4694" w:rsidRDefault="00ED4694" w:rsidP="00ED4694">
      <w:pPr>
        <w:pStyle w:val="Sansinterligne"/>
        <w:jc w:val="both"/>
        <w:rPr>
          <w:rFonts w:ascii="Arial" w:hAnsi="Arial" w:cs="Arial"/>
          <w:color w:val="000000" w:themeColor="text1"/>
          <w:sz w:val="20"/>
          <w:szCs w:val="20"/>
          <w:lang w:eastAsia="fr-FR"/>
        </w:rPr>
      </w:pPr>
    </w:p>
    <w:p w14:paraId="5DFDC1C8" w14:textId="77777777" w:rsidR="00ED4694" w:rsidRDefault="00ED4694" w:rsidP="00ED4694">
      <w:pPr>
        <w:pStyle w:val="Sansinterligne"/>
        <w:jc w:val="both"/>
        <w:rPr>
          <w:rFonts w:ascii="Arial" w:hAnsi="Arial" w:cs="Arial"/>
          <w:color w:val="000000" w:themeColor="text1"/>
          <w:sz w:val="20"/>
          <w:szCs w:val="20"/>
          <w:lang w:eastAsia="fr-FR"/>
        </w:rPr>
      </w:pPr>
    </w:p>
    <w:p w14:paraId="6AFFFA82" w14:textId="77777777" w:rsidR="00ED4694" w:rsidRDefault="00ED4694" w:rsidP="00ED4694">
      <w:pPr>
        <w:pStyle w:val="Sansinterligne"/>
        <w:jc w:val="both"/>
        <w:rPr>
          <w:rFonts w:ascii="Arial" w:hAnsi="Arial" w:cs="Arial"/>
          <w:color w:val="000000" w:themeColor="text1"/>
          <w:sz w:val="20"/>
          <w:szCs w:val="20"/>
          <w:lang w:eastAsia="fr-FR"/>
        </w:rPr>
      </w:pPr>
    </w:p>
    <w:p w14:paraId="793A39CB" w14:textId="77777777" w:rsidR="00ED4694" w:rsidRDefault="00ED4694" w:rsidP="00ED4694">
      <w:pPr>
        <w:pStyle w:val="Sansinterligne"/>
        <w:jc w:val="both"/>
        <w:rPr>
          <w:rFonts w:ascii="Arial" w:hAnsi="Arial" w:cs="Arial"/>
          <w:color w:val="000000" w:themeColor="text1"/>
          <w:sz w:val="20"/>
          <w:szCs w:val="20"/>
          <w:lang w:eastAsia="fr-FR"/>
        </w:rPr>
      </w:pPr>
    </w:p>
    <w:p w14:paraId="49C82897" w14:textId="77777777" w:rsidR="00ED4694" w:rsidRDefault="00ED4694" w:rsidP="00ED4694">
      <w:pPr>
        <w:pStyle w:val="Sansinterligne"/>
        <w:jc w:val="both"/>
        <w:rPr>
          <w:rFonts w:ascii="Arial" w:hAnsi="Arial" w:cs="Arial"/>
          <w:color w:val="000000" w:themeColor="text1"/>
          <w:sz w:val="20"/>
          <w:szCs w:val="20"/>
          <w:lang w:eastAsia="fr-FR"/>
        </w:rPr>
      </w:pPr>
    </w:p>
    <w:p w14:paraId="1ECA0ED6" w14:textId="77777777" w:rsidR="00ED4694" w:rsidRDefault="00ED4694" w:rsidP="00ED4694">
      <w:pPr>
        <w:pStyle w:val="Sansinterligne"/>
        <w:jc w:val="both"/>
        <w:rPr>
          <w:rFonts w:ascii="Arial" w:hAnsi="Arial" w:cs="Arial"/>
          <w:color w:val="000000" w:themeColor="text1"/>
          <w:sz w:val="20"/>
          <w:szCs w:val="20"/>
          <w:lang w:eastAsia="fr-FR"/>
        </w:rPr>
      </w:pPr>
    </w:p>
    <w:p w14:paraId="48A7E363" w14:textId="77777777" w:rsidR="00ED4694" w:rsidRDefault="00ED4694" w:rsidP="00ED4694">
      <w:pPr>
        <w:pStyle w:val="Sansinterligne"/>
        <w:jc w:val="both"/>
        <w:rPr>
          <w:rFonts w:ascii="Arial" w:hAnsi="Arial" w:cs="Arial"/>
          <w:color w:val="000000" w:themeColor="text1"/>
          <w:sz w:val="20"/>
          <w:szCs w:val="20"/>
          <w:lang w:eastAsia="fr-FR"/>
        </w:rPr>
      </w:pPr>
    </w:p>
    <w:p w14:paraId="6BCB16EB" w14:textId="77777777" w:rsidR="00ED4694" w:rsidRDefault="00ED4694" w:rsidP="00ED4694">
      <w:pPr>
        <w:pStyle w:val="Sansinterligne"/>
        <w:jc w:val="both"/>
        <w:rPr>
          <w:rFonts w:ascii="Arial" w:hAnsi="Arial" w:cs="Arial"/>
          <w:color w:val="000000" w:themeColor="text1"/>
          <w:sz w:val="20"/>
          <w:szCs w:val="20"/>
          <w:lang w:eastAsia="fr-FR"/>
        </w:rPr>
      </w:pPr>
    </w:p>
    <w:p w14:paraId="693B19EC" w14:textId="77777777" w:rsidR="00ED4694" w:rsidRDefault="00ED4694" w:rsidP="00ED4694">
      <w:pPr>
        <w:pStyle w:val="Sansinterligne"/>
        <w:jc w:val="both"/>
        <w:rPr>
          <w:rFonts w:ascii="Arial" w:hAnsi="Arial" w:cs="Arial"/>
          <w:color w:val="000000" w:themeColor="text1"/>
          <w:sz w:val="20"/>
          <w:szCs w:val="20"/>
          <w:lang w:eastAsia="fr-FR"/>
        </w:rPr>
      </w:pPr>
    </w:p>
    <w:p w14:paraId="1B5E69F3" w14:textId="77777777" w:rsidR="00ED4694" w:rsidRDefault="00ED4694" w:rsidP="00ED4694">
      <w:pPr>
        <w:pStyle w:val="Sansinterligne"/>
        <w:jc w:val="both"/>
        <w:rPr>
          <w:rFonts w:ascii="Arial" w:hAnsi="Arial" w:cs="Arial"/>
          <w:color w:val="000000" w:themeColor="text1"/>
          <w:sz w:val="20"/>
          <w:szCs w:val="20"/>
          <w:lang w:eastAsia="fr-FR"/>
        </w:rPr>
      </w:pPr>
    </w:p>
    <w:p w14:paraId="10134262" w14:textId="77777777" w:rsidR="00ED4694" w:rsidRDefault="00ED4694" w:rsidP="00ED4694">
      <w:pPr>
        <w:pStyle w:val="Sansinterligne"/>
        <w:jc w:val="both"/>
        <w:rPr>
          <w:rFonts w:ascii="Arial" w:hAnsi="Arial" w:cs="Arial"/>
          <w:color w:val="000000" w:themeColor="text1"/>
          <w:sz w:val="20"/>
          <w:szCs w:val="20"/>
          <w:lang w:eastAsia="fr-FR"/>
        </w:rPr>
      </w:pPr>
    </w:p>
    <w:p w14:paraId="4DE6586E" w14:textId="77777777" w:rsidR="00ED4694" w:rsidRDefault="00ED4694" w:rsidP="00ED4694">
      <w:pPr>
        <w:pStyle w:val="Sansinterligne"/>
        <w:jc w:val="both"/>
        <w:rPr>
          <w:rFonts w:ascii="Arial" w:hAnsi="Arial" w:cs="Arial"/>
          <w:color w:val="000000" w:themeColor="text1"/>
          <w:sz w:val="20"/>
          <w:szCs w:val="20"/>
          <w:lang w:eastAsia="fr-FR"/>
        </w:rPr>
      </w:pPr>
    </w:p>
    <w:p w14:paraId="18DB61F5" w14:textId="77777777" w:rsidR="00ED4694" w:rsidRDefault="00ED4694" w:rsidP="00ED4694">
      <w:pPr>
        <w:pStyle w:val="Sansinterligne"/>
        <w:jc w:val="both"/>
        <w:rPr>
          <w:rFonts w:ascii="Arial" w:hAnsi="Arial" w:cs="Arial"/>
          <w:color w:val="000000" w:themeColor="text1"/>
          <w:sz w:val="20"/>
          <w:szCs w:val="20"/>
          <w:lang w:eastAsia="fr-FR"/>
        </w:rPr>
      </w:pPr>
    </w:p>
    <w:p w14:paraId="3349C05B" w14:textId="77777777" w:rsidR="00ED4694" w:rsidRDefault="00ED4694" w:rsidP="00ED4694">
      <w:pPr>
        <w:pStyle w:val="Sansinterligne"/>
        <w:jc w:val="both"/>
        <w:rPr>
          <w:rFonts w:ascii="Arial" w:hAnsi="Arial" w:cs="Arial"/>
          <w:color w:val="000000" w:themeColor="text1"/>
          <w:sz w:val="20"/>
          <w:szCs w:val="20"/>
          <w:lang w:eastAsia="fr-FR"/>
        </w:rPr>
      </w:pPr>
    </w:p>
    <w:p w14:paraId="2F65406C" w14:textId="77777777" w:rsidR="00ED4694" w:rsidRDefault="00ED4694" w:rsidP="00ED4694">
      <w:pPr>
        <w:pStyle w:val="Sansinterligne"/>
        <w:jc w:val="both"/>
        <w:rPr>
          <w:rFonts w:ascii="Arial" w:hAnsi="Arial" w:cs="Arial"/>
          <w:color w:val="000000" w:themeColor="text1"/>
          <w:sz w:val="20"/>
          <w:szCs w:val="20"/>
          <w:lang w:eastAsia="fr-FR"/>
        </w:rPr>
      </w:pPr>
    </w:p>
    <w:p w14:paraId="5A652F26" w14:textId="77777777" w:rsidR="00ED4694" w:rsidRDefault="00ED4694" w:rsidP="00ED4694">
      <w:pPr>
        <w:pStyle w:val="Sansinterligne"/>
        <w:jc w:val="both"/>
        <w:rPr>
          <w:rFonts w:ascii="Arial" w:hAnsi="Arial" w:cs="Arial"/>
          <w:color w:val="000000" w:themeColor="text1"/>
          <w:sz w:val="20"/>
          <w:szCs w:val="20"/>
          <w:lang w:eastAsia="fr-FR"/>
        </w:rPr>
      </w:pPr>
    </w:p>
    <w:p w14:paraId="76CE9C51" w14:textId="77777777" w:rsidR="00ED4694" w:rsidRDefault="00ED4694" w:rsidP="00ED4694">
      <w:pPr>
        <w:pStyle w:val="Sansinterligne"/>
        <w:jc w:val="both"/>
        <w:rPr>
          <w:rFonts w:ascii="Arial" w:hAnsi="Arial" w:cs="Arial"/>
          <w:color w:val="000000" w:themeColor="text1"/>
          <w:sz w:val="20"/>
          <w:szCs w:val="20"/>
          <w:lang w:eastAsia="fr-FR"/>
        </w:rPr>
      </w:pPr>
    </w:p>
    <w:p w14:paraId="6F4FD59F" w14:textId="77777777" w:rsidR="00ED4694" w:rsidRDefault="00ED4694" w:rsidP="00ED4694">
      <w:pPr>
        <w:pStyle w:val="Sansinterligne"/>
        <w:jc w:val="both"/>
        <w:rPr>
          <w:rFonts w:ascii="Arial" w:hAnsi="Arial" w:cs="Arial"/>
          <w:color w:val="000000" w:themeColor="text1"/>
          <w:sz w:val="20"/>
          <w:szCs w:val="20"/>
          <w:lang w:eastAsia="fr-FR"/>
        </w:rPr>
      </w:pPr>
    </w:p>
    <w:p w14:paraId="64C31AE3" w14:textId="77777777" w:rsidR="00ED4694" w:rsidRDefault="00ED4694" w:rsidP="00ED4694">
      <w:pPr>
        <w:pStyle w:val="Sansinterligne"/>
        <w:jc w:val="both"/>
        <w:rPr>
          <w:rFonts w:ascii="Arial" w:hAnsi="Arial" w:cs="Arial"/>
          <w:color w:val="000000" w:themeColor="text1"/>
          <w:sz w:val="20"/>
          <w:szCs w:val="20"/>
          <w:lang w:eastAsia="fr-FR"/>
        </w:rPr>
      </w:pPr>
    </w:p>
    <w:p w14:paraId="2BEB667C" w14:textId="77777777" w:rsidR="00ED4694" w:rsidRDefault="00ED4694" w:rsidP="00ED4694">
      <w:pPr>
        <w:pStyle w:val="Sansinterligne"/>
        <w:jc w:val="both"/>
        <w:rPr>
          <w:rFonts w:ascii="Arial" w:hAnsi="Arial" w:cs="Arial"/>
          <w:color w:val="000000" w:themeColor="text1"/>
          <w:sz w:val="20"/>
          <w:szCs w:val="20"/>
          <w:lang w:eastAsia="fr-FR"/>
        </w:rPr>
      </w:pPr>
    </w:p>
    <w:p w14:paraId="00C76BBB"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D7C9FC0"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1097925"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379512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b/>
          <w:bCs/>
          <w:color w:val="000000" w:themeColor="text1"/>
          <w:sz w:val="20"/>
          <w:szCs w:val="20"/>
          <w:highlight w:val="yellow"/>
          <w:u w:val="single"/>
          <w:lang w:eastAsia="fr-FR"/>
        </w:rPr>
        <w:lastRenderedPageBreak/>
        <w:t>CM5-6</w:t>
      </w:r>
      <w:r w:rsidRPr="00B15634">
        <w:rPr>
          <w:rFonts w:ascii="Arial" w:hAnsi="Arial" w:cs="Arial"/>
          <w:b/>
          <w:bCs/>
          <w:color w:val="000000" w:themeColor="text1"/>
          <w:sz w:val="20"/>
          <w:szCs w:val="20"/>
          <w:u w:val="single"/>
          <w:lang w:eastAsia="fr-FR"/>
        </w:rPr>
        <w:t> : Digestion et absorption des aliments</w:t>
      </w:r>
      <w:r w:rsidRPr="00B15634">
        <w:rPr>
          <w:rFonts w:ascii="Arial" w:hAnsi="Arial" w:cs="Arial"/>
          <w:color w:val="000000" w:themeColor="text1"/>
          <w:sz w:val="20"/>
          <w:szCs w:val="20"/>
          <w:lang w:eastAsia="fr-FR"/>
        </w:rPr>
        <w:t xml:space="preserve"> </w:t>
      </w:r>
    </w:p>
    <w:p w14:paraId="702A9D9A"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DED20B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b/>
          <w:bCs/>
          <w:color w:val="00B0F0"/>
          <w:sz w:val="20"/>
          <w:szCs w:val="20"/>
          <w:lang w:eastAsia="fr-FR"/>
        </w:rPr>
        <w:t>Digestion</w:t>
      </w:r>
      <w:r w:rsidRPr="00B15634">
        <w:rPr>
          <w:rFonts w:ascii="Arial" w:hAnsi="Arial" w:cs="Arial"/>
          <w:color w:val="00B0F0"/>
          <w:sz w:val="20"/>
          <w:szCs w:val="20"/>
          <w:lang w:eastAsia="fr-FR"/>
        </w:rPr>
        <w:t xml:space="preserve"> </w:t>
      </w:r>
      <w:r w:rsidRPr="00B15634">
        <w:rPr>
          <w:rFonts w:ascii="Arial" w:hAnsi="Arial" w:cs="Arial"/>
          <w:color w:val="000000" w:themeColor="text1"/>
          <w:sz w:val="20"/>
          <w:szCs w:val="20"/>
          <w:lang w:eastAsia="fr-FR"/>
        </w:rPr>
        <w:t xml:space="preserve">: Transformation d’aliments complexes et éléments simples absorbables </w:t>
      </w:r>
    </w:p>
    <w:p w14:paraId="7D0E0657" w14:textId="77777777" w:rsidR="00ED4694" w:rsidRPr="00B15634" w:rsidRDefault="00ED4694" w:rsidP="00ED4694">
      <w:pPr>
        <w:pStyle w:val="Sansinterligne"/>
        <w:numPr>
          <w:ilvl w:val="0"/>
          <w:numId w:val="86"/>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Hydrates de carbone complexes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disaccharides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monosaccharides </w:t>
      </w:r>
    </w:p>
    <w:p w14:paraId="1E163856" w14:textId="77777777" w:rsidR="00ED4694" w:rsidRPr="00B15634" w:rsidRDefault="00ED4694" w:rsidP="00ED4694">
      <w:pPr>
        <w:pStyle w:val="Sansinterligne"/>
        <w:numPr>
          <w:ilvl w:val="0"/>
          <w:numId w:val="86"/>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Protéines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peptones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peptides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AA, Di et tri-peptides </w:t>
      </w:r>
    </w:p>
    <w:p w14:paraId="557BF11D" w14:textId="77777777" w:rsidR="00ED4694" w:rsidRPr="00B15634" w:rsidRDefault="00ED4694" w:rsidP="00ED4694">
      <w:pPr>
        <w:pStyle w:val="Sansinterligne"/>
        <w:numPr>
          <w:ilvl w:val="0"/>
          <w:numId w:val="86"/>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Lipides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Triglycerides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monoacylglycerols + acides gras longues chaines</w:t>
      </w:r>
    </w:p>
    <w:p w14:paraId="0EDDD661"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Objectifs :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molécules simples pour produire de l’énergie, construire et réparer les tissus </w:t>
      </w:r>
    </w:p>
    <w:p w14:paraId="6F760FD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F4AABA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Pour la partie énergétique : </w:t>
      </w:r>
    </w:p>
    <w:p w14:paraId="0EA926BA"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Containers/UBF8T346G9.ms/WebArchiveCopyPasteTempFiles/com.microsoft.Word/page4image661381216"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noProof/>
          <w:color w:val="000000" w:themeColor="text1"/>
          <w:sz w:val="20"/>
          <w:szCs w:val="20"/>
          <w:lang w:eastAsia="fr-FR"/>
        </w:rPr>
        <w:drawing>
          <wp:inline distT="0" distB="0" distL="0" distR="0" wp14:anchorId="441A858E" wp14:editId="3682475C">
            <wp:extent cx="3978006" cy="1690254"/>
            <wp:effectExtent l="0" t="0" r="0" b="0"/>
            <wp:docPr id="532876104" name="Image 196" descr="page4image66138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4image6613812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01675" cy="1700311"/>
                    </a:xfrm>
                    <a:prstGeom prst="rect">
                      <a:avLst/>
                    </a:prstGeom>
                    <a:noFill/>
                    <a:ln>
                      <a:noFill/>
                    </a:ln>
                  </pic:spPr>
                </pic:pic>
              </a:graphicData>
            </a:graphic>
          </wp:inline>
        </w:drawing>
      </w:r>
      <w:r w:rsidRPr="00B15634">
        <w:rPr>
          <w:rFonts w:ascii="Arial" w:hAnsi="Arial" w:cs="Arial"/>
          <w:color w:val="000000" w:themeColor="text1"/>
          <w:sz w:val="20"/>
          <w:szCs w:val="20"/>
          <w:lang w:eastAsia="fr-FR"/>
        </w:rPr>
        <w:fldChar w:fldCharType="end"/>
      </w:r>
    </w:p>
    <w:p w14:paraId="0A3F725C" w14:textId="77777777" w:rsidR="00ED4694" w:rsidRPr="00B15634" w:rsidRDefault="00ED4694" w:rsidP="00ED4694">
      <w:pPr>
        <w:pStyle w:val="Sansinterligne"/>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L’énergie chimique contenue dans les aliments des glucides, lipides et protides, va se dégrader et se transformer en ATP permettant ainsi d’exercer un travail mécanique, un processus de synthèse, transport membranaire, travail électrique…</w:t>
      </w:r>
    </w:p>
    <w:p w14:paraId="3F12DD28"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1BB280A"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b/>
          <w:bCs/>
          <w:color w:val="00B0F0"/>
          <w:sz w:val="20"/>
          <w:szCs w:val="20"/>
          <w:lang w:eastAsia="fr-FR"/>
        </w:rPr>
        <w:t>Absorption</w:t>
      </w:r>
      <w:r w:rsidRPr="00B15634">
        <w:rPr>
          <w:rFonts w:ascii="Arial" w:hAnsi="Arial" w:cs="Arial"/>
          <w:color w:val="00B0F0"/>
          <w:sz w:val="20"/>
          <w:szCs w:val="20"/>
          <w:lang w:eastAsia="fr-FR"/>
        </w:rPr>
        <w:t xml:space="preserve"> </w:t>
      </w:r>
      <w:r w:rsidRPr="00B15634">
        <w:rPr>
          <w:rFonts w:ascii="Arial" w:hAnsi="Arial" w:cs="Arial"/>
          <w:color w:val="000000" w:themeColor="text1"/>
          <w:sz w:val="20"/>
          <w:szCs w:val="20"/>
          <w:lang w:eastAsia="fr-FR"/>
        </w:rPr>
        <w:t xml:space="preserve">: Passage de la lumière du tube digestif vers le sang (et le système lymphatique)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distribution dans l’ensemble de l’organisme et dans les organes cibles. </w:t>
      </w:r>
    </w:p>
    <w:p w14:paraId="13FBDFAD" w14:textId="77777777" w:rsidR="00ED4694" w:rsidRPr="00B15634" w:rsidRDefault="00ED4694" w:rsidP="00ED4694">
      <w:pPr>
        <w:pStyle w:val="Sansinterligne"/>
        <w:numPr>
          <w:ilvl w:val="0"/>
          <w:numId w:val="87"/>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Eau </w:t>
      </w:r>
    </w:p>
    <w:p w14:paraId="40C0B3BC" w14:textId="77777777" w:rsidR="00ED4694" w:rsidRPr="00B15634" w:rsidRDefault="00ED4694" w:rsidP="00ED4694">
      <w:pPr>
        <w:pStyle w:val="Sansinterligne"/>
        <w:numPr>
          <w:ilvl w:val="0"/>
          <w:numId w:val="87"/>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Nutriments issus de la digestion </w:t>
      </w:r>
    </w:p>
    <w:p w14:paraId="3BBBFC81" w14:textId="77777777" w:rsidR="00ED4694" w:rsidRPr="00B15634" w:rsidRDefault="00ED4694" w:rsidP="00ED4694">
      <w:pPr>
        <w:pStyle w:val="Sansinterligne"/>
        <w:numPr>
          <w:ilvl w:val="0"/>
          <w:numId w:val="87"/>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Éléments simples non digérés : Fer Vitamines, Électrolytes, Oligoéléments .... </w:t>
      </w:r>
    </w:p>
    <w:p w14:paraId="35D2A61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D3AE0A0"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b/>
          <w:bCs/>
          <w:color w:val="00B0F0"/>
          <w:sz w:val="20"/>
          <w:szCs w:val="20"/>
          <w:lang w:eastAsia="fr-FR"/>
        </w:rPr>
        <w:t>Notion de barrière intestinale</w:t>
      </w:r>
      <w:r w:rsidRPr="00B15634">
        <w:rPr>
          <w:rFonts w:ascii="Arial" w:hAnsi="Arial" w:cs="Arial"/>
          <w:color w:val="00B0F0"/>
          <w:sz w:val="20"/>
          <w:szCs w:val="20"/>
          <w:lang w:eastAsia="fr-FR"/>
        </w:rPr>
        <w:t> </w:t>
      </w:r>
      <w:r w:rsidRPr="00B15634">
        <w:rPr>
          <w:rFonts w:ascii="Arial" w:hAnsi="Arial" w:cs="Arial"/>
          <w:color w:val="000000" w:themeColor="text1"/>
          <w:sz w:val="20"/>
          <w:szCs w:val="20"/>
          <w:lang w:eastAsia="fr-FR"/>
        </w:rPr>
        <w:t xml:space="preserve">: couvre une surface d'environ 400 m2 et nécessite pour son maintien et son fonctionnement environ 40 % de la dépense énergétique du corps. </w:t>
      </w:r>
    </w:p>
    <w:p w14:paraId="06C84846"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p>
    <w:p w14:paraId="4C895981"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Rôles</w:t>
      </w:r>
      <w:r w:rsidRPr="00B15634">
        <w:rPr>
          <w:rFonts w:ascii="Arial" w:hAnsi="Arial" w:cs="Arial"/>
          <w:color w:val="000000" w:themeColor="text1"/>
          <w:sz w:val="20"/>
          <w:szCs w:val="20"/>
          <w:lang w:eastAsia="fr-FR"/>
        </w:rPr>
        <w:t xml:space="preserve"> : </w:t>
      </w:r>
    </w:p>
    <w:p w14:paraId="4C3B8CEB"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permettre l'échange de molécules entre l'hôte (l'organisme) et son environnement </w:t>
      </w:r>
    </w:p>
    <w:p w14:paraId="2399F228"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permettre l'absorption des nutriments apportés par l'alimentation. </w:t>
      </w:r>
    </w:p>
    <w:p w14:paraId="63EBB9C0"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prévenir la perte d'eau et d'électrolytes </w:t>
      </w:r>
    </w:p>
    <w:p w14:paraId="6541F70E"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prévenir l'entrée d'antigènes et micro-organismes </w:t>
      </w:r>
    </w:p>
    <w:p w14:paraId="2EAFBB0A"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Toute rupture dans cette fonction peut contribuer à modifier l'homéostasie de l'organisme et semble être impliquée dans la physiopathologie de maladies digestives, nutritionnelles, voire de maladies extradigestives. </w:t>
      </w:r>
    </w:p>
    <w:p w14:paraId="26A73824"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p>
    <w:p w14:paraId="782177D2" w14:textId="18DD487A"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Fonction complexe</w:t>
      </w:r>
      <w:r w:rsidRPr="00B15634">
        <w:rPr>
          <w:rFonts w:ascii="Arial" w:hAnsi="Arial" w:cs="Arial"/>
          <w:color w:val="000000" w:themeColor="text1"/>
          <w:sz w:val="20"/>
          <w:szCs w:val="20"/>
          <w:lang w:eastAsia="fr-FR"/>
        </w:rPr>
        <w:t xml:space="preserve"> : 2 fonctions apparemment </w:t>
      </w:r>
      <w:r w:rsidR="00323028" w:rsidRPr="00B15634">
        <w:rPr>
          <w:rFonts w:ascii="Arial" w:hAnsi="Arial" w:cs="Arial"/>
          <w:color w:val="000000" w:themeColor="text1"/>
          <w:sz w:val="20"/>
          <w:szCs w:val="20"/>
          <w:lang w:eastAsia="fr-FR"/>
        </w:rPr>
        <w:t>opposées</w:t>
      </w:r>
      <w:r w:rsidRPr="00B15634">
        <w:rPr>
          <w:rFonts w:ascii="Arial" w:hAnsi="Arial" w:cs="Arial"/>
          <w:color w:val="000000" w:themeColor="text1"/>
          <w:sz w:val="20"/>
          <w:szCs w:val="20"/>
          <w:lang w:eastAsia="fr-FR"/>
        </w:rPr>
        <w:t xml:space="preserve"> </w:t>
      </w:r>
    </w:p>
    <w:p w14:paraId="36FE9CB7"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permettre une </w:t>
      </w:r>
      <w:r w:rsidRPr="00225733">
        <w:rPr>
          <w:rFonts w:ascii="Arial" w:hAnsi="Arial" w:cs="Arial"/>
          <w:b/>
          <w:bCs/>
          <w:color w:val="000000" w:themeColor="text1"/>
          <w:sz w:val="20"/>
          <w:szCs w:val="20"/>
          <w:lang w:eastAsia="fr-FR"/>
        </w:rPr>
        <w:t>coexistence pacifique entre le microbiote intestinal et les cellules de l'organisme</w:t>
      </w:r>
      <w:r w:rsidRPr="00B15634">
        <w:rPr>
          <w:rFonts w:ascii="Arial" w:hAnsi="Arial" w:cs="Arial"/>
          <w:color w:val="000000" w:themeColor="text1"/>
          <w:sz w:val="20"/>
          <w:szCs w:val="20"/>
          <w:lang w:eastAsia="fr-FR"/>
        </w:rPr>
        <w:t xml:space="preserve"> sans provoquer de </w:t>
      </w:r>
      <w:r w:rsidRPr="0048185E">
        <w:rPr>
          <w:rFonts w:ascii="Arial" w:hAnsi="Arial" w:cs="Arial"/>
          <w:b/>
          <w:bCs/>
          <w:color w:val="000000" w:themeColor="text1"/>
          <w:sz w:val="20"/>
          <w:szCs w:val="20"/>
          <w:lang w:eastAsia="fr-FR"/>
        </w:rPr>
        <w:t>réponse inflammatoire</w:t>
      </w:r>
      <w:r w:rsidRPr="00B15634">
        <w:rPr>
          <w:rFonts w:ascii="Arial" w:hAnsi="Arial" w:cs="Arial"/>
          <w:color w:val="000000" w:themeColor="text1"/>
          <w:sz w:val="20"/>
          <w:szCs w:val="20"/>
          <w:lang w:eastAsia="fr-FR"/>
        </w:rPr>
        <w:t xml:space="preserve"> chronique (la symbiose). Le nombre de microorganismes qui résident dans le corps humain représente plus de 10x le nombre de cellules du corps</w:t>
      </w:r>
    </w:p>
    <w:p w14:paraId="60CEE1D5"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48185E">
        <w:rPr>
          <w:rFonts w:ascii="Arial" w:hAnsi="Arial" w:cs="Arial"/>
          <w:b/>
          <w:bCs/>
          <w:color w:val="000000" w:themeColor="text1"/>
          <w:sz w:val="20"/>
          <w:szCs w:val="20"/>
          <w:lang w:eastAsia="fr-FR"/>
        </w:rPr>
        <w:t>fournir une réponse défensive</w:t>
      </w:r>
      <w:r w:rsidRPr="00B15634">
        <w:rPr>
          <w:rFonts w:ascii="Arial" w:hAnsi="Arial" w:cs="Arial"/>
          <w:color w:val="000000" w:themeColor="text1"/>
          <w:sz w:val="20"/>
          <w:szCs w:val="20"/>
          <w:lang w:eastAsia="fr-FR"/>
        </w:rPr>
        <w:t xml:space="preserve"> adaptée en fonction de la menace des agents pathogènes. </w:t>
      </w:r>
    </w:p>
    <w:p w14:paraId="7BBAA1E9" w14:textId="77777777" w:rsidR="00ED4694" w:rsidRPr="00B15634" w:rsidRDefault="00ED4694" w:rsidP="00ED4694">
      <w:pPr>
        <w:pStyle w:val="Sansinterligne"/>
        <w:numPr>
          <w:ilvl w:val="0"/>
          <w:numId w:val="8"/>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barrière physique et barrière fonctionnelle « immunologique ou chimique » </w:t>
      </w:r>
    </w:p>
    <w:p w14:paraId="41E25950"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C’est une notion large incluant différents paramètres tels que la motricité, la couche de mucus, l'épithélium, l'immunité et le microbiote intestinal. </w:t>
      </w:r>
    </w:p>
    <w:p w14:paraId="23891AAC"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Containers/UBF8T346G9.ms/WebArchiveCopyPasteTempFiles/com.microsoft.Word/page8image591842624"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color w:val="000000" w:themeColor="text1"/>
          <w:sz w:val="20"/>
          <w:szCs w:val="20"/>
          <w:lang w:eastAsia="fr-FR"/>
        </w:rPr>
        <w:fldChar w:fldCharType="end"/>
      </w:r>
    </w:p>
    <w:p w14:paraId="5DD0EC55"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anchor distT="0" distB="0" distL="114300" distR="114300" simplePos="0" relativeHeight="251671552" behindDoc="1" locked="0" layoutInCell="1" allowOverlap="1" wp14:anchorId="50722580" wp14:editId="46158182">
            <wp:simplePos x="0" y="0"/>
            <wp:positionH relativeFrom="column">
              <wp:posOffset>3010902</wp:posOffset>
            </wp:positionH>
            <wp:positionV relativeFrom="paragraph">
              <wp:posOffset>127802</wp:posOffset>
            </wp:positionV>
            <wp:extent cx="3928110" cy="2092960"/>
            <wp:effectExtent l="0" t="0" r="0" b="2540"/>
            <wp:wrapTight wrapText="bothSides">
              <wp:wrapPolygon edited="0">
                <wp:start x="0" y="0"/>
                <wp:lineTo x="0" y="21495"/>
                <wp:lineTo x="21509" y="21495"/>
                <wp:lineTo x="21509" y="0"/>
                <wp:lineTo x="0" y="0"/>
              </wp:wrapPolygon>
            </wp:wrapTight>
            <wp:docPr id="713407144" name="Image 187" descr="page8image59184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8image5918426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28110" cy="2092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color w:val="000000" w:themeColor="text1"/>
          <w:sz w:val="20"/>
          <w:szCs w:val="20"/>
          <w:u w:val="single"/>
          <w:lang w:eastAsia="fr-FR"/>
        </w:rPr>
        <w:t>L’épithélium intestinale</w:t>
      </w:r>
      <w:r w:rsidRPr="00B15634">
        <w:rPr>
          <w:rFonts w:ascii="Arial" w:hAnsi="Arial" w:cs="Arial"/>
          <w:color w:val="000000" w:themeColor="text1"/>
          <w:sz w:val="20"/>
          <w:szCs w:val="20"/>
          <w:lang w:eastAsia="fr-FR"/>
        </w:rPr>
        <w:t xml:space="preserve"> :</w:t>
      </w:r>
    </w:p>
    <w:p w14:paraId="33076D65"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formé d’une seule couche de cellules épithéliales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forme la principale barrière physique entre la lumière et les tissus muqueux (sauf exception).</w:t>
      </w:r>
    </w:p>
    <w:p w14:paraId="3EFC807A"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Espace paracellulaire scellé par des </w:t>
      </w:r>
      <w:r w:rsidRPr="0048185E">
        <w:rPr>
          <w:rFonts w:ascii="Arial" w:hAnsi="Arial" w:cs="Arial"/>
          <w:b/>
          <w:bCs/>
          <w:color w:val="000000" w:themeColor="text1"/>
          <w:sz w:val="20"/>
          <w:szCs w:val="20"/>
          <w:lang w:eastAsia="fr-FR"/>
        </w:rPr>
        <w:t>jonctions serrées</w:t>
      </w:r>
      <w:r w:rsidRPr="00B15634">
        <w:rPr>
          <w:rFonts w:ascii="Arial" w:hAnsi="Arial" w:cs="Arial"/>
          <w:color w:val="000000" w:themeColor="text1"/>
          <w:sz w:val="20"/>
          <w:szCs w:val="20"/>
          <w:lang w:eastAsia="fr-FR"/>
        </w:rPr>
        <w:t xml:space="preserve"> entre les cellules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régulent les flux d'eau, d'ions et de petites molécules. </w:t>
      </w:r>
    </w:p>
    <w:p w14:paraId="77D9986A" w14:textId="0ACEBB8B"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sous les jonctions serrées, se trouvent les </w:t>
      </w:r>
      <w:r w:rsidRPr="002E43C3">
        <w:rPr>
          <w:rFonts w:ascii="Arial" w:hAnsi="Arial" w:cs="Arial"/>
          <w:b/>
          <w:bCs/>
          <w:color w:val="000000" w:themeColor="text1"/>
          <w:sz w:val="20"/>
          <w:szCs w:val="20"/>
          <w:lang w:eastAsia="fr-FR"/>
        </w:rPr>
        <w:t>jonctions adhérentes</w:t>
      </w:r>
      <w:r w:rsidRPr="00B15634">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signalisation cellule-cellule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mettent en jeu un réseau complexe de protéines com</w:t>
      </w:r>
      <w:r w:rsidR="000735D6">
        <w:rPr>
          <w:rFonts w:ascii="Arial" w:hAnsi="Arial" w:cs="Arial"/>
          <w:color w:val="000000" w:themeColor="text1"/>
          <w:sz w:val="20"/>
          <w:szCs w:val="20"/>
          <w:lang w:eastAsia="fr-FR"/>
        </w:rPr>
        <w:t>g</w:t>
      </w:r>
      <w:r w:rsidRPr="00B15634">
        <w:rPr>
          <w:rFonts w:ascii="Arial" w:hAnsi="Arial" w:cs="Arial"/>
          <w:color w:val="000000" w:themeColor="text1"/>
          <w:sz w:val="20"/>
          <w:szCs w:val="20"/>
          <w:lang w:eastAsia="fr-FR"/>
        </w:rPr>
        <w:t xml:space="preserve">me des claudines , l'occludine ou les zonula occludens (ZO). </w:t>
      </w:r>
    </w:p>
    <w:p w14:paraId="71B92160"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Présence de </w:t>
      </w:r>
      <w:r w:rsidRPr="002E43C3">
        <w:rPr>
          <w:rFonts w:ascii="Arial" w:hAnsi="Arial" w:cs="Arial"/>
          <w:b/>
          <w:bCs/>
          <w:color w:val="000000" w:themeColor="text1"/>
          <w:sz w:val="20"/>
          <w:szCs w:val="20"/>
          <w:lang w:eastAsia="fr-FR"/>
        </w:rPr>
        <w:t>desmosomes</w:t>
      </w:r>
      <w:r w:rsidRPr="00B15634">
        <w:rPr>
          <w:rFonts w:ascii="Arial" w:hAnsi="Arial" w:cs="Arial"/>
          <w:color w:val="000000" w:themeColor="text1"/>
          <w:sz w:val="20"/>
          <w:szCs w:val="20"/>
          <w:lang w:eastAsia="fr-FR"/>
        </w:rPr>
        <w:t xml:space="preserve">, qui soutiennent la stabilité épithéliale </w:t>
      </w:r>
    </w:p>
    <w:p w14:paraId="66425E4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B27B41E"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lastRenderedPageBreak/>
        <w:drawing>
          <wp:anchor distT="0" distB="0" distL="114300" distR="114300" simplePos="0" relativeHeight="251672576" behindDoc="1" locked="0" layoutInCell="1" allowOverlap="1" wp14:anchorId="4216222E" wp14:editId="662A2343">
            <wp:simplePos x="0" y="0"/>
            <wp:positionH relativeFrom="column">
              <wp:posOffset>5070898</wp:posOffset>
            </wp:positionH>
            <wp:positionV relativeFrom="paragraph">
              <wp:posOffset>282</wp:posOffset>
            </wp:positionV>
            <wp:extent cx="1840230" cy="1414780"/>
            <wp:effectExtent l="0" t="0" r="1270" b="0"/>
            <wp:wrapTight wrapText="bothSides">
              <wp:wrapPolygon edited="0">
                <wp:start x="0" y="0"/>
                <wp:lineTo x="0" y="21329"/>
                <wp:lineTo x="21466" y="21329"/>
                <wp:lineTo x="21466" y="0"/>
                <wp:lineTo x="0" y="0"/>
              </wp:wrapPolygon>
            </wp:wrapTight>
            <wp:docPr id="813332240" name="Image 182" descr="page10image65809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10image65809297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40230" cy="1414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b/>
          <w:bCs/>
          <w:color w:val="00B0F0"/>
          <w:sz w:val="20"/>
          <w:szCs w:val="20"/>
          <w:lang w:eastAsia="fr-FR"/>
        </w:rPr>
        <w:t>Perméabilité intestinale</w:t>
      </w:r>
      <w:r w:rsidRPr="00B15634">
        <w:rPr>
          <w:rFonts w:ascii="Arial" w:hAnsi="Arial" w:cs="Arial"/>
          <w:color w:val="00B0F0"/>
          <w:sz w:val="20"/>
          <w:szCs w:val="20"/>
          <w:lang w:eastAsia="fr-FR"/>
        </w:rPr>
        <w:t xml:space="preserve"> </w:t>
      </w:r>
      <w:r w:rsidRPr="00B15634">
        <w:rPr>
          <w:rFonts w:ascii="Arial" w:hAnsi="Arial" w:cs="Arial"/>
          <w:color w:val="000000" w:themeColor="text1"/>
          <w:sz w:val="20"/>
          <w:szCs w:val="20"/>
          <w:lang w:eastAsia="fr-FR"/>
        </w:rPr>
        <w:t xml:space="preserve">: correspond au passage sélectif d'eau, d'ions, de micro-organismes, peptides bactériens ou de différentes molécules à travers la muqueuse intestinale au travers de la barrière intestinale. Il existe 2 sortes de passages : </w:t>
      </w:r>
    </w:p>
    <w:p w14:paraId="5D35B312"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Transcellulaire</w:t>
      </w:r>
      <w:r w:rsidRPr="00B15634">
        <w:rPr>
          <w:rFonts w:ascii="Arial" w:hAnsi="Arial" w:cs="Arial"/>
          <w:color w:val="000000" w:themeColor="text1"/>
          <w:sz w:val="20"/>
          <w:szCs w:val="20"/>
          <w:lang w:eastAsia="fr-FR"/>
        </w:rPr>
        <w:t xml:space="preserve"> : passage complètement dans la cellule du pôle apical au basolatéral. </w:t>
      </w:r>
    </w:p>
    <w:p w14:paraId="7023A103"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Paracellulaire</w:t>
      </w:r>
      <w:r w:rsidRPr="00B15634">
        <w:rPr>
          <w:rFonts w:ascii="Arial" w:hAnsi="Arial" w:cs="Arial"/>
          <w:color w:val="000000" w:themeColor="text1"/>
          <w:sz w:val="20"/>
          <w:szCs w:val="20"/>
          <w:lang w:eastAsia="fr-FR"/>
        </w:rPr>
        <w:t> : passage entre 2 cellules serrées et étroites. Effet filtre : peu de cellules peuvent passer</w:t>
      </w:r>
    </w:p>
    <w:p w14:paraId="21E4EA60"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Containers/UBF8T346G9.ms/WebArchiveCopyPasteTempFiles/com.microsoft.Word/page10image658092976"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color w:val="000000" w:themeColor="text1"/>
          <w:sz w:val="20"/>
          <w:szCs w:val="20"/>
          <w:lang w:eastAsia="fr-FR"/>
        </w:rPr>
        <w:fldChar w:fldCharType="end"/>
      </w:r>
    </w:p>
    <w:p w14:paraId="66002922"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Si altération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risque de translocations bactériennes = passage de bactéries viables dˈorigine digestive à travers la barrière de la muqueuse intestinale vers les ganglions mésentériques et, de là, vers les organes à distance. </w:t>
      </w:r>
    </w:p>
    <w:p w14:paraId="2F36E966"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Mécanismes possibles : </w:t>
      </w:r>
    </w:p>
    <w:p w14:paraId="68A4C50B"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altération fonctionnelle de la muqueuse </w:t>
      </w:r>
    </w:p>
    <w:p w14:paraId="142832C8"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pullulation microbienne intestinale </w:t>
      </w:r>
    </w:p>
    <w:p w14:paraId="6530D8D4"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certaines modifications immunitaires. </w:t>
      </w:r>
    </w:p>
    <w:p w14:paraId="1DFB235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Expérimentalement, les situations dˈischémie du tube digestif, de traumatisme, dˈinflammation chronique ou dˈimmunodépression augmentent les translocations bactériennes. </w:t>
      </w:r>
    </w:p>
    <w:p w14:paraId="4688ABA2"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42D4191" w14:textId="77777777" w:rsidR="00ED4694" w:rsidRPr="00B15634" w:rsidRDefault="00ED4694" w:rsidP="00ED4694">
      <w:pPr>
        <w:pStyle w:val="Sansinterligne"/>
        <w:numPr>
          <w:ilvl w:val="0"/>
          <w:numId w:val="88"/>
        </w:numPr>
        <w:jc w:val="both"/>
        <w:rPr>
          <w:rFonts w:ascii="Arial" w:hAnsi="Arial" w:cs="Arial"/>
          <w:b/>
          <w:bCs/>
          <w:color w:val="00B0F0"/>
          <w:sz w:val="20"/>
          <w:szCs w:val="20"/>
          <w:u w:val="single"/>
          <w:lang w:eastAsia="fr-FR"/>
        </w:rPr>
      </w:pPr>
      <w:r w:rsidRPr="00B15634">
        <w:rPr>
          <w:rFonts w:ascii="Arial" w:hAnsi="Arial" w:cs="Arial"/>
          <w:b/>
          <w:bCs/>
          <w:color w:val="00B0F0"/>
          <w:sz w:val="20"/>
          <w:szCs w:val="20"/>
          <w:u w:val="single"/>
          <w:lang w:eastAsia="fr-FR"/>
        </w:rPr>
        <w:t xml:space="preserve">Digestion des hydrates de carbone </w:t>
      </w:r>
    </w:p>
    <w:p w14:paraId="573917B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450931D"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saccharides = sucres = polyoses </w:t>
      </w:r>
    </w:p>
    <w:p w14:paraId="62289720"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anchor distT="0" distB="0" distL="114300" distR="114300" simplePos="0" relativeHeight="251673600" behindDoc="1" locked="0" layoutInCell="1" allowOverlap="1" wp14:anchorId="7997B866" wp14:editId="4167645E">
            <wp:simplePos x="0" y="0"/>
            <wp:positionH relativeFrom="column">
              <wp:posOffset>-121920</wp:posOffset>
            </wp:positionH>
            <wp:positionV relativeFrom="paragraph">
              <wp:posOffset>137160</wp:posOffset>
            </wp:positionV>
            <wp:extent cx="4741545" cy="3810000"/>
            <wp:effectExtent l="0" t="0" r="0" b="0"/>
            <wp:wrapTight wrapText="bothSides">
              <wp:wrapPolygon edited="0">
                <wp:start x="0" y="0"/>
                <wp:lineTo x="0" y="21528"/>
                <wp:lineTo x="21522" y="21528"/>
                <wp:lineTo x="21522" y="0"/>
                <wp:lineTo x="0" y="0"/>
              </wp:wrapPolygon>
            </wp:wrapTight>
            <wp:docPr id="869678558" name="Image 175" descr="page13image54876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13image54876128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41545"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Containers/UBF8T346G9.ms/WebArchiveCopyPasteTempFiles/com.microsoft.Word/page13image548761280"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color w:val="000000" w:themeColor="text1"/>
          <w:sz w:val="20"/>
          <w:szCs w:val="20"/>
          <w:lang w:eastAsia="fr-FR"/>
        </w:rPr>
        <w:fldChar w:fldCharType="end"/>
      </w:r>
    </w:p>
    <w:p w14:paraId="4A3A8D6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350708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FF9D46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E55E901"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Glucose + fructose = saccharose (sucrose)</w:t>
      </w:r>
    </w:p>
    <w:p w14:paraId="30D89BC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0DC5DDD"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Glucose + galactose = lactose</w:t>
      </w:r>
    </w:p>
    <w:p w14:paraId="2109887B"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5C59C12"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Glucose + glucose = maltose</w:t>
      </w:r>
    </w:p>
    <w:p w14:paraId="0901252A"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BFB6416"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Polysaccharide : Quand &gt; 10 oses sinon oligosaccharides</w:t>
      </w:r>
    </w:p>
    <w:p w14:paraId="463B551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D3BC17C"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Glycogène : Forme principale de stock de glucides dans les muscles et le foie</w:t>
      </w:r>
    </w:p>
    <w:p w14:paraId="287A92B5"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15AE986"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Amidon = Polymère de glucoses – forme de réserve dans les plantes = 2 polymères : amylose et amylopectine </w:t>
      </w:r>
    </w:p>
    <w:p w14:paraId="17BD5CE6"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Glucose relié soit par des liaisons 1-4 ou 1-6.</w:t>
      </w:r>
    </w:p>
    <w:p w14:paraId="56A1A54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24E128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828DD7E"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2C6039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1838E84" w14:textId="0F768205"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Les glucides sont la principale source d'énergie pour les cellules et sont stockés </w:t>
      </w:r>
      <w:r w:rsidRPr="0031375B">
        <w:rPr>
          <w:rFonts w:ascii="Arial" w:hAnsi="Arial" w:cs="Arial"/>
          <w:b/>
          <w:bCs/>
          <w:color w:val="000000" w:themeColor="text1"/>
          <w:sz w:val="20"/>
          <w:szCs w:val="20"/>
          <w:lang w:eastAsia="fr-FR"/>
        </w:rPr>
        <w:t>sous forme de glycogène</w:t>
      </w:r>
      <w:r w:rsidRPr="00B15634">
        <w:rPr>
          <w:rFonts w:ascii="Arial" w:hAnsi="Arial" w:cs="Arial"/>
          <w:color w:val="000000" w:themeColor="text1"/>
          <w:sz w:val="20"/>
          <w:szCs w:val="20"/>
          <w:lang w:eastAsia="fr-FR"/>
        </w:rPr>
        <w:t xml:space="preserve"> et si réserves pleines en graisse. On les retrouve dans une grande variété d’aliments d’origine végétale sous forme digérés (céréales, pain, pâtes, fruits, légumes (pommes de terre)) ou non digérés (celluloses, lignines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paroi des plantes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 fibres ») ou d’origine animale (dans la viande, le foie sous forme de glycogène, lactose (lait)). </w:t>
      </w:r>
    </w:p>
    <w:p w14:paraId="5EFF4AAC"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Sucres alimentaires :</w:t>
      </w:r>
    </w:p>
    <w:p w14:paraId="02E097E8"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A5395B">
        <w:rPr>
          <w:rFonts w:ascii="Arial" w:hAnsi="Arial" w:cs="Arial"/>
          <w:b/>
          <w:bCs/>
          <w:color w:val="000000" w:themeColor="text1"/>
          <w:sz w:val="20"/>
          <w:szCs w:val="20"/>
          <w:lang w:eastAsia="fr-FR"/>
        </w:rPr>
        <w:t>Monosaccharides</w:t>
      </w:r>
      <w:r w:rsidRPr="00B15634">
        <w:rPr>
          <w:rFonts w:ascii="Arial" w:hAnsi="Arial" w:cs="Arial"/>
          <w:color w:val="000000" w:themeColor="text1"/>
          <w:sz w:val="20"/>
          <w:szCs w:val="20"/>
          <w:lang w:eastAsia="fr-FR"/>
        </w:rPr>
        <w:t xml:space="preserve"> : glucose, fructose, galactose</w:t>
      </w:r>
    </w:p>
    <w:p w14:paraId="7D305693"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A5395B">
        <w:rPr>
          <w:rFonts w:ascii="Arial" w:hAnsi="Arial" w:cs="Arial"/>
          <w:b/>
          <w:bCs/>
          <w:color w:val="000000" w:themeColor="text1"/>
          <w:sz w:val="20"/>
          <w:szCs w:val="20"/>
          <w:lang w:eastAsia="fr-FR"/>
        </w:rPr>
        <w:t>Disaccharides</w:t>
      </w:r>
      <w:r w:rsidRPr="00B15634">
        <w:rPr>
          <w:rFonts w:ascii="Arial" w:hAnsi="Arial" w:cs="Arial"/>
          <w:color w:val="000000" w:themeColor="text1"/>
          <w:sz w:val="20"/>
          <w:szCs w:val="20"/>
          <w:lang w:eastAsia="fr-FR"/>
        </w:rPr>
        <w:t xml:space="preserve"> : Saccharose, lactose maltose</w:t>
      </w:r>
    </w:p>
    <w:p w14:paraId="4276478E" w14:textId="77777777" w:rsidR="00ED4694" w:rsidRPr="00B15634" w:rsidRDefault="00ED4694" w:rsidP="00ED4694">
      <w:pPr>
        <w:pStyle w:val="Sansinterligne"/>
        <w:numPr>
          <w:ilvl w:val="0"/>
          <w:numId w:val="53"/>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Naturellement présents dans fruits, légumes, miel, sirop d’érable. .. </w:t>
      </w:r>
    </w:p>
    <w:p w14:paraId="4EA3F09F"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252DC08"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La séquence de la digestion / absorption commence au niveau salivaire avec l’α-amylase salivaire qui est stockée dans des granules de zymogène dans les Ȼ acineuses séreuses. Cela initie le processus de digestion de l’amidon, du glycogène. Les polysaccharides complexes sont les dextrines (=poly-α-d-glucosides de longueur intermédiaire dérivés des composés de l'amidon (amylopectines) par l'action des amylases), le maltotriose, et le maltose. L’action est optimale à pH</w:t>
      </w:r>
      <w:r w:rsidRPr="00B15634">
        <w:rPr>
          <w:rFonts w:ascii="Arial" w:hAnsi="Arial" w:cs="Arial"/>
          <w:color w:val="000000" w:themeColor="text1"/>
          <w:sz w:val="20"/>
          <w:szCs w:val="20"/>
          <w:lang w:eastAsia="fr-FR"/>
        </w:rPr>
        <w:sym w:font="Symbol" w:char="F0BB"/>
      </w:r>
      <w:r w:rsidRPr="00B15634">
        <w:rPr>
          <w:rFonts w:ascii="Arial" w:hAnsi="Arial" w:cs="Arial"/>
          <w:color w:val="000000" w:themeColor="text1"/>
          <w:sz w:val="20"/>
          <w:szCs w:val="20"/>
          <w:lang w:eastAsia="fr-FR"/>
        </w:rPr>
        <w:t xml:space="preserve">7.  </w:t>
      </w:r>
    </w:p>
    <w:p w14:paraId="3FCFD155"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Au niveau de l’estomac, l’α-amylase salivaire : </w:t>
      </w:r>
    </w:p>
    <w:p w14:paraId="229E8D1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a une activité résiduelle permettant de poursuivre la conversion des glucides, avec la formation du maltotriose et du maltobiose (maltose) d’action tant que le pH du bol alimentaire n’est pas diminué (effet tampon).  </w:t>
      </w:r>
    </w:p>
    <w:p w14:paraId="3797625B"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est inactivé par l’acidité de l’estomac quand le bol alimentaire est acidifié </w:t>
      </w:r>
    </w:p>
    <w:p w14:paraId="45A4FCF9" w14:textId="77777777" w:rsidR="00ED4694" w:rsidRPr="00B15634" w:rsidRDefault="00ED4694" w:rsidP="00ED4694">
      <w:pPr>
        <w:pStyle w:val="Sansinterligne"/>
        <w:numPr>
          <w:ilvl w:val="0"/>
          <w:numId w:val="92"/>
        </w:numPr>
        <w:jc w:val="both"/>
        <w:rPr>
          <w:rFonts w:ascii="Arial" w:hAnsi="Arial" w:cs="Arial"/>
          <w:color w:val="ED7D31" w:themeColor="accent2"/>
          <w:sz w:val="20"/>
          <w:szCs w:val="20"/>
          <w:u w:val="single"/>
          <w:lang w:eastAsia="fr-FR"/>
        </w:rPr>
      </w:pPr>
      <w:r w:rsidRPr="00B15634">
        <w:rPr>
          <w:rFonts w:ascii="Arial" w:hAnsi="Arial" w:cs="Arial"/>
          <w:color w:val="ED7D31" w:themeColor="accent2"/>
          <w:sz w:val="20"/>
          <w:szCs w:val="20"/>
          <w:u w:val="single"/>
          <w:lang w:eastAsia="fr-FR"/>
        </w:rPr>
        <w:lastRenderedPageBreak/>
        <w:t>Composante enzymatique du suc pancréatique </w:t>
      </w:r>
    </w:p>
    <w:p w14:paraId="6589B3F9" w14:textId="77777777" w:rsidR="00ED4694" w:rsidRPr="00B15634" w:rsidRDefault="00ED4694" w:rsidP="00ED4694">
      <w:pPr>
        <w:pStyle w:val="Sansinterligne"/>
        <w:jc w:val="both"/>
        <w:rPr>
          <w:rFonts w:ascii="Arial" w:hAnsi="Arial" w:cs="Arial"/>
          <w:b/>
          <w:bCs/>
          <w:color w:val="000000" w:themeColor="text1"/>
          <w:sz w:val="20"/>
          <w:szCs w:val="20"/>
          <w:lang w:eastAsia="fr-FR"/>
        </w:rPr>
      </w:pPr>
    </w:p>
    <w:p w14:paraId="6ECA374A"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anchor distT="0" distB="0" distL="114300" distR="114300" simplePos="0" relativeHeight="251674624" behindDoc="1" locked="0" layoutInCell="1" allowOverlap="1" wp14:anchorId="6805AB59" wp14:editId="0B1F0DF7">
            <wp:simplePos x="0" y="0"/>
            <wp:positionH relativeFrom="column">
              <wp:posOffset>4425950</wp:posOffset>
            </wp:positionH>
            <wp:positionV relativeFrom="paragraph">
              <wp:posOffset>5715</wp:posOffset>
            </wp:positionV>
            <wp:extent cx="2517775" cy="1619885"/>
            <wp:effectExtent l="0" t="0" r="0" b="5715"/>
            <wp:wrapTight wrapText="bothSides">
              <wp:wrapPolygon edited="0">
                <wp:start x="0" y="0"/>
                <wp:lineTo x="0" y="21507"/>
                <wp:lineTo x="21464" y="21507"/>
                <wp:lineTo x="21464" y="0"/>
                <wp:lineTo x="0" y="0"/>
              </wp:wrapPolygon>
            </wp:wrapTight>
            <wp:docPr id="1459955098" name="Image 162" descr="page17image55159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17image55159220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1777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Containers/UBF8T346G9.ms/WebArchiveCopyPasteTempFiles/com.microsoft.Word/page17image551592208"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color w:val="000000" w:themeColor="text1"/>
          <w:sz w:val="20"/>
          <w:szCs w:val="20"/>
          <w:lang w:eastAsia="fr-FR"/>
        </w:rPr>
        <w:fldChar w:fldCharType="end"/>
      </w:r>
    </w:p>
    <w:p w14:paraId="5EB7F7E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Au niveau de l’intestin grêle sont sécrétées des </w:t>
      </w:r>
      <w:r w:rsidRPr="00B15634">
        <w:rPr>
          <w:rFonts w:ascii="Arial" w:hAnsi="Arial" w:cs="Arial"/>
          <w:b/>
          <w:bCs/>
          <w:color w:val="000000" w:themeColor="text1"/>
          <w:sz w:val="20"/>
          <w:szCs w:val="20"/>
          <w:lang w:eastAsia="fr-FR"/>
        </w:rPr>
        <w:t>cellulaires exocrines</w:t>
      </w:r>
      <w:r w:rsidRPr="00B15634">
        <w:rPr>
          <w:rFonts w:ascii="Arial" w:hAnsi="Arial" w:cs="Arial"/>
          <w:color w:val="000000" w:themeColor="text1"/>
          <w:sz w:val="20"/>
          <w:szCs w:val="20"/>
          <w:lang w:eastAsia="fr-FR"/>
        </w:rPr>
        <w:t xml:space="preserve"> par le canal pancréatique principal (qui fusionne avec le canal biliaire) et canal accessoire (canal de Santorin)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Duodénum </w:t>
      </w:r>
    </w:p>
    <w:p w14:paraId="52AF74F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026620C"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b/>
          <w:bCs/>
          <w:color w:val="000000" w:themeColor="text1"/>
          <w:sz w:val="20"/>
          <w:szCs w:val="20"/>
          <w:lang w:eastAsia="fr-FR"/>
        </w:rPr>
        <w:t>L’amylase pancréatique</w:t>
      </w:r>
      <w:r w:rsidRPr="00B15634">
        <w:rPr>
          <w:rFonts w:ascii="Arial" w:hAnsi="Arial" w:cs="Arial"/>
          <w:color w:val="000000" w:themeColor="text1"/>
          <w:sz w:val="20"/>
          <w:szCs w:val="20"/>
          <w:lang w:eastAsia="fr-FR"/>
        </w:rPr>
        <w:t xml:space="preserve"> est libérée au niveau du duodénum. Elle coupe les liaisons α1-4 glucosidiques de l’amidon. Elle est sécrétée sous forme active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maltose, maltotriose et dextrines branchées (liaisons 1-6 glucosidiques). Les disaccharides et dextrines sont digérés par les disaccharidases et dextrinases de la bordure en brosse </w:t>
      </w:r>
    </w:p>
    <w:p w14:paraId="4B8C430C"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EF4F14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5D953C2"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Le saccharose (ou sucrose) est issu du canne à sucre, betterave sucrière et est largement utilisé en alimentation humaine.</w:t>
      </w:r>
    </w:p>
    <w:p w14:paraId="2D6F3C4E"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Saccharase = sucrase = saccharase-isomaltase</w:t>
      </w:r>
      <w:r w:rsidRPr="00B15634">
        <w:rPr>
          <w:rFonts w:ascii="Arial" w:hAnsi="Arial" w:cs="Arial"/>
          <w:color w:val="000000" w:themeColor="text1"/>
          <w:sz w:val="20"/>
          <w:szCs w:val="20"/>
          <w:lang w:eastAsia="fr-FR"/>
        </w:rPr>
        <w:sym w:font="Symbol" w:char="F0E0"/>
      </w:r>
      <w:r w:rsidRPr="00B15634">
        <w:rPr>
          <w:rFonts w:ascii="Arial" w:hAnsi="Arial" w:cs="Arial"/>
          <w:color w:val="000000" w:themeColor="text1"/>
          <w:sz w:val="20"/>
          <w:szCs w:val="20"/>
          <w:lang w:eastAsia="fr-FR"/>
        </w:rPr>
        <w:t xml:space="preserve">dans la bordure en brosse des entérocytes De l’intestin grêle proximal. </w:t>
      </w:r>
    </w:p>
    <w:p w14:paraId="1F693582"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2368668" w14:textId="77777777" w:rsidR="00ED4694" w:rsidRPr="00B15634" w:rsidRDefault="00ED4694" w:rsidP="00ED4694">
      <w:pPr>
        <w:pStyle w:val="Sansinterligne"/>
        <w:numPr>
          <w:ilvl w:val="0"/>
          <w:numId w:val="92"/>
        </w:numPr>
        <w:jc w:val="both"/>
        <w:rPr>
          <w:rFonts w:ascii="Arial" w:hAnsi="Arial" w:cs="Arial"/>
          <w:color w:val="000000" w:themeColor="text1"/>
          <w:sz w:val="20"/>
          <w:szCs w:val="20"/>
          <w:u w:val="single"/>
          <w:lang w:eastAsia="fr-FR"/>
        </w:rPr>
      </w:pPr>
      <w:r w:rsidRPr="00B15634">
        <w:rPr>
          <w:rFonts w:ascii="Arial" w:hAnsi="Arial" w:cs="Arial"/>
          <w:color w:val="ED7D31" w:themeColor="accent2"/>
          <w:sz w:val="20"/>
          <w:szCs w:val="20"/>
          <w:u w:val="single"/>
          <w:lang w:eastAsia="fr-FR"/>
        </w:rPr>
        <w:t>Absorption des produits de la digestion</w:t>
      </w:r>
      <w:r w:rsidRPr="00B15634">
        <w:rPr>
          <w:rFonts w:ascii="Arial" w:hAnsi="Arial" w:cs="Arial"/>
          <w:color w:val="000000" w:themeColor="text1"/>
          <w:sz w:val="20"/>
          <w:szCs w:val="20"/>
          <w:u w:val="single"/>
          <w:lang w:eastAsia="fr-FR"/>
        </w:rPr>
        <w:t xml:space="preserve"> </w:t>
      </w:r>
    </w:p>
    <w:p w14:paraId="20CF16E1"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mc:AlternateContent>
          <mc:Choice Requires="wps">
            <w:drawing>
              <wp:anchor distT="0" distB="0" distL="114300" distR="114300" simplePos="0" relativeHeight="251676672" behindDoc="0" locked="0" layoutInCell="1" allowOverlap="1" wp14:anchorId="4A519B29" wp14:editId="37BA541A">
                <wp:simplePos x="0" y="0"/>
                <wp:positionH relativeFrom="column">
                  <wp:posOffset>4999355</wp:posOffset>
                </wp:positionH>
                <wp:positionV relativeFrom="paragraph">
                  <wp:posOffset>76835</wp:posOffset>
                </wp:positionV>
                <wp:extent cx="275421" cy="231354"/>
                <wp:effectExtent l="0" t="0" r="17145" b="10160"/>
                <wp:wrapNone/>
                <wp:docPr id="1812483381" name="Rectangle 201"/>
                <wp:cNvGraphicFramePr/>
                <a:graphic xmlns:a="http://schemas.openxmlformats.org/drawingml/2006/main">
                  <a:graphicData uri="http://schemas.microsoft.com/office/word/2010/wordprocessingShape">
                    <wps:wsp>
                      <wps:cNvSpPr/>
                      <wps:spPr>
                        <a:xfrm>
                          <a:off x="0" y="0"/>
                          <a:ext cx="275421" cy="231354"/>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52ABF72" w14:textId="77777777" w:rsidR="00ED4694" w:rsidRDefault="00ED4694" w:rsidP="00ED469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519B29" id="Rectangle 201" o:spid="_x0000_s1026" style="position:absolute;left:0;text-align:left;margin-left:393.65pt;margin-top:6.05pt;width:21.7pt;height:18.2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" fillcolor="white [3212]" strokecolor="white [3212]" strokeweight="1pt">
                <v:textbox>
                  <w:txbxContent>
                    <w:p w14:paraId="552ABF72" w14:textId="77777777" w:rsidR="00ED4694" w:rsidRDefault="00ED4694" w:rsidP="00ED4694">
                      <w:pPr>
                        <w:jc w:val="center"/>
                      </w:pPr>
                      <w:r>
                        <w:t xml:space="preserve"> </w:t>
                      </w:r>
                    </w:p>
                  </w:txbxContent>
                </v:textbox>
              </v:rect>
            </w:pict>
          </mc:Fallback>
        </mc:AlternateContent>
      </w:r>
    </w:p>
    <w:p w14:paraId="63FF5F70"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noProof/>
          <w:color w:val="5B9BD5" w:themeColor="accent5"/>
          <w:sz w:val="20"/>
          <w:szCs w:val="20"/>
          <w:u w:val="single"/>
          <w:lang w:eastAsia="fr-FR"/>
        </w:rPr>
        <w:drawing>
          <wp:anchor distT="0" distB="0" distL="114300" distR="114300" simplePos="0" relativeHeight="251675648" behindDoc="1" locked="0" layoutInCell="1" allowOverlap="1" wp14:anchorId="02394BFB" wp14:editId="6B248A30">
            <wp:simplePos x="0" y="0"/>
            <wp:positionH relativeFrom="column">
              <wp:posOffset>5070475</wp:posOffset>
            </wp:positionH>
            <wp:positionV relativeFrom="paragraph">
              <wp:posOffset>48895</wp:posOffset>
            </wp:positionV>
            <wp:extent cx="1492250" cy="1049655"/>
            <wp:effectExtent l="0" t="0" r="6350" b="4445"/>
            <wp:wrapTight wrapText="bothSides">
              <wp:wrapPolygon edited="0">
                <wp:start x="0" y="0"/>
                <wp:lineTo x="0" y="21430"/>
                <wp:lineTo x="21508" y="21430"/>
                <wp:lineTo x="21508" y="0"/>
                <wp:lineTo x="0" y="0"/>
              </wp:wrapPolygon>
            </wp:wrapTight>
            <wp:docPr id="1972925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92545"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92250" cy="1049655"/>
                    </a:xfrm>
                    <a:prstGeom prst="rect">
                      <a:avLst/>
                    </a:prstGeom>
                  </pic:spPr>
                </pic:pic>
              </a:graphicData>
            </a:graphic>
            <wp14:sizeRelH relativeFrom="page">
              <wp14:pctWidth>0</wp14:pctWidth>
            </wp14:sizeRelH>
            <wp14:sizeRelV relativeFrom="page">
              <wp14:pctHeight>0</wp14:pctHeight>
            </wp14:sizeRelV>
          </wp:anchor>
        </w:drawing>
      </w:r>
      <w:r w:rsidRPr="00B15634">
        <w:rPr>
          <w:rFonts w:ascii="Arial" w:hAnsi="Arial" w:cs="Arial"/>
          <w:color w:val="5B9BD5" w:themeColor="accent5"/>
          <w:sz w:val="20"/>
          <w:szCs w:val="20"/>
          <w:u w:val="single"/>
          <w:lang w:eastAsia="fr-FR"/>
        </w:rPr>
        <w:t>Absorption des monosaccharides</w:t>
      </w:r>
      <w:r w:rsidRPr="00B15634">
        <w:rPr>
          <w:rFonts w:ascii="Arial" w:hAnsi="Arial" w:cs="Arial"/>
          <w:color w:val="5B9BD5" w:themeColor="accent5"/>
          <w:sz w:val="20"/>
          <w:szCs w:val="20"/>
          <w:lang w:eastAsia="fr-FR"/>
        </w:rPr>
        <w:t xml:space="preserve"> </w:t>
      </w:r>
      <w:r w:rsidRPr="00B15634">
        <w:rPr>
          <w:rFonts w:ascii="Arial" w:hAnsi="Arial" w:cs="Arial"/>
          <w:color w:val="000000" w:themeColor="text1"/>
          <w:sz w:val="20"/>
          <w:szCs w:val="20"/>
          <w:lang w:eastAsia="fr-FR"/>
        </w:rPr>
        <w:t xml:space="preserve">: </w:t>
      </w:r>
    </w:p>
    <w:p w14:paraId="56FD4286"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Pour le </w:t>
      </w:r>
      <w:r w:rsidRPr="00B15634">
        <w:rPr>
          <w:rFonts w:ascii="Arial" w:hAnsi="Arial" w:cs="Arial"/>
          <w:b/>
          <w:bCs/>
          <w:color w:val="000000" w:themeColor="text1"/>
          <w:sz w:val="20"/>
          <w:szCs w:val="20"/>
          <w:lang w:eastAsia="fr-FR"/>
        </w:rPr>
        <w:t>glucose</w:t>
      </w:r>
      <w:r w:rsidRPr="00B15634">
        <w:rPr>
          <w:rFonts w:ascii="Arial" w:hAnsi="Arial" w:cs="Arial"/>
          <w:color w:val="000000" w:themeColor="text1"/>
          <w:sz w:val="20"/>
          <w:szCs w:val="20"/>
          <w:lang w:eastAsia="fr-FR"/>
        </w:rPr>
        <w:t xml:space="preserve"> : principalement dans la première partie de l’intestin grêle </w:t>
      </w:r>
    </w:p>
    <w:p w14:paraId="4CEDEBAA" w14:textId="77777777" w:rsidR="00ED4694" w:rsidRPr="00B15634" w:rsidRDefault="00ED4694" w:rsidP="00ED4694">
      <w:pPr>
        <w:pStyle w:val="Sansinterligne"/>
        <w:numPr>
          <w:ilvl w:val="0"/>
          <w:numId w:val="90"/>
        </w:numPr>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si concentration intraluminale faible </w:t>
      </w:r>
    </w:p>
    <w:p w14:paraId="5E76C28E" w14:textId="10A53B17" w:rsidR="00ED4694" w:rsidRPr="00B15634" w:rsidRDefault="00ED4694" w:rsidP="00ED4694">
      <w:pPr>
        <w:pStyle w:val="Sansinterligne"/>
        <w:numPr>
          <w:ilvl w:val="0"/>
          <w:numId w:val="91"/>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Passage de la </w:t>
      </w:r>
      <w:r w:rsidR="006367FD" w:rsidRPr="00B15634">
        <w:rPr>
          <w:rFonts w:ascii="Arial" w:hAnsi="Arial" w:cs="Arial"/>
          <w:color w:val="000000" w:themeColor="text1"/>
          <w:sz w:val="20"/>
          <w:szCs w:val="20"/>
          <w:lang w:eastAsia="fr-FR"/>
        </w:rPr>
        <w:t>lumière</w:t>
      </w:r>
      <w:r w:rsidRPr="00B15634">
        <w:rPr>
          <w:rFonts w:ascii="Arial" w:hAnsi="Arial" w:cs="Arial"/>
          <w:color w:val="000000" w:themeColor="text1"/>
          <w:sz w:val="20"/>
          <w:szCs w:val="20"/>
          <w:lang w:eastAsia="fr-FR"/>
        </w:rPr>
        <w:t xml:space="preserve"> vers le milieu intracellulaire : </w:t>
      </w:r>
    </w:p>
    <w:p w14:paraId="0D12ADB6" w14:textId="77777777" w:rsidR="00ED4694" w:rsidRPr="00B15634" w:rsidRDefault="00ED4694" w:rsidP="00ED4694">
      <w:pPr>
        <w:pStyle w:val="Sansinterligne"/>
        <w:numPr>
          <w:ilvl w:val="1"/>
          <w:numId w:val="91"/>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via transporteur SGLT1 contre son gradient de conc.</w:t>
      </w:r>
    </w:p>
    <w:p w14:paraId="209ED6B7" w14:textId="77777777" w:rsidR="00ED4694" w:rsidRPr="00B15634" w:rsidRDefault="00ED4694" w:rsidP="00ED4694">
      <w:pPr>
        <w:pStyle w:val="Sansinterligne"/>
        <w:numPr>
          <w:ilvl w:val="1"/>
          <w:numId w:val="91"/>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transport secondairement actif couplé au Na+ </w:t>
      </w:r>
    </w:p>
    <w:p w14:paraId="089FFBC8" w14:textId="77777777" w:rsidR="00ED4694" w:rsidRPr="00B15634" w:rsidRDefault="00ED4694" w:rsidP="00ED4694">
      <w:pPr>
        <w:pStyle w:val="Sansinterligne"/>
        <w:numPr>
          <w:ilvl w:val="1"/>
          <w:numId w:val="91"/>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Symport </w:t>
      </w:r>
    </w:p>
    <w:p w14:paraId="7C8ADE33" w14:textId="77777777" w:rsidR="00ED4694" w:rsidRPr="00B15634" w:rsidRDefault="00ED4694" w:rsidP="00ED4694">
      <w:pPr>
        <w:pStyle w:val="Sansinterligne"/>
        <w:numPr>
          <w:ilvl w:val="0"/>
          <w:numId w:val="91"/>
        </w:numPr>
        <w:jc w:val="both"/>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anchor distT="0" distB="0" distL="114300" distR="114300" simplePos="0" relativeHeight="251677696" behindDoc="1" locked="0" layoutInCell="1" allowOverlap="1" wp14:anchorId="73D64182" wp14:editId="7D9C028C">
            <wp:simplePos x="0" y="0"/>
            <wp:positionH relativeFrom="column">
              <wp:posOffset>5128928</wp:posOffset>
            </wp:positionH>
            <wp:positionV relativeFrom="paragraph">
              <wp:posOffset>66975</wp:posOffset>
            </wp:positionV>
            <wp:extent cx="1433830" cy="991235"/>
            <wp:effectExtent l="0" t="0" r="1270" b="0"/>
            <wp:wrapTight wrapText="bothSides">
              <wp:wrapPolygon edited="0">
                <wp:start x="0" y="0"/>
                <wp:lineTo x="0" y="21309"/>
                <wp:lineTo x="21428" y="21309"/>
                <wp:lineTo x="21428" y="0"/>
                <wp:lineTo x="0" y="0"/>
              </wp:wrapPolygon>
            </wp:wrapTight>
            <wp:docPr id="6584599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459973"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33830" cy="991235"/>
                    </a:xfrm>
                    <a:prstGeom prst="rect">
                      <a:avLst/>
                    </a:prstGeom>
                  </pic:spPr>
                </pic:pic>
              </a:graphicData>
            </a:graphic>
            <wp14:sizeRelH relativeFrom="page">
              <wp14:pctWidth>0</wp14:pctWidth>
            </wp14:sizeRelH>
            <wp14:sizeRelV relativeFrom="page">
              <wp14:pctHeight>0</wp14:pctHeight>
            </wp14:sizeRelV>
          </wp:anchor>
        </w:drawing>
      </w:r>
      <w:r w:rsidRPr="00B15634">
        <w:rPr>
          <w:rFonts w:ascii="Arial" w:hAnsi="Arial" w:cs="Arial"/>
          <w:color w:val="000000" w:themeColor="text1"/>
          <w:sz w:val="20"/>
          <w:szCs w:val="20"/>
          <w:lang w:eastAsia="fr-FR"/>
        </w:rPr>
        <w:t>Passage du milieu IntraȻ vers le sang (capillaire)</w:t>
      </w:r>
    </w:p>
    <w:p w14:paraId="767B53B8" w14:textId="77777777" w:rsidR="00ED4694" w:rsidRPr="00B15634" w:rsidRDefault="00ED4694" w:rsidP="00ED4694">
      <w:pPr>
        <w:pStyle w:val="Sansinterligne"/>
        <w:numPr>
          <w:ilvl w:val="1"/>
          <w:numId w:val="91"/>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Via Glut 2 selon le gradient de concentration du glucose (passif)</w:t>
      </w:r>
    </w:p>
    <w:p w14:paraId="7447AA29" w14:textId="77777777" w:rsidR="00ED4694" w:rsidRPr="00B15634" w:rsidRDefault="00ED4694" w:rsidP="00ED4694">
      <w:pPr>
        <w:pStyle w:val="Sansinterligne"/>
        <w:numPr>
          <w:ilvl w:val="1"/>
          <w:numId w:val="91"/>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Uniport</w:t>
      </w:r>
    </w:p>
    <w:p w14:paraId="7C57CB85" w14:textId="77777777" w:rsidR="00ED4694" w:rsidRPr="00B15634" w:rsidRDefault="00ED4694" w:rsidP="00ED4694">
      <w:pPr>
        <w:pStyle w:val="Sansinterligne"/>
        <w:numPr>
          <w:ilvl w:val="1"/>
          <w:numId w:val="91"/>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Réalisation du gradient de Na+ grâce à une pompe Na+/K+/ATPase au pôle basolatéral </w:t>
      </w:r>
    </w:p>
    <w:p w14:paraId="4F27AB6C" w14:textId="77777777" w:rsidR="00ED4694" w:rsidRPr="00B15634" w:rsidRDefault="00ED4694" w:rsidP="00ED4694">
      <w:pPr>
        <w:pStyle w:val="Sansinterligne"/>
        <w:numPr>
          <w:ilvl w:val="0"/>
          <w:numId w:val="90"/>
        </w:numPr>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si conc. intraluminale forte (exp après un repas) </w:t>
      </w:r>
    </w:p>
    <w:p w14:paraId="3FE81CAF" w14:textId="77777777" w:rsidR="00ED4694" w:rsidRPr="00B15634" w:rsidRDefault="00ED4694" w:rsidP="00ED4694">
      <w:pPr>
        <w:pStyle w:val="Sansinterligne"/>
        <w:ind w:left="720"/>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Insertion de rcpt GLUT2 au pôle apical </w:t>
      </w:r>
    </w:p>
    <w:p w14:paraId="46A1463B"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Même mécanisme pour le </w:t>
      </w:r>
      <w:r w:rsidRPr="00B15634">
        <w:rPr>
          <w:rFonts w:ascii="Arial" w:hAnsi="Arial" w:cs="Arial"/>
          <w:b/>
          <w:bCs/>
          <w:color w:val="000000" w:themeColor="text1"/>
          <w:sz w:val="20"/>
          <w:szCs w:val="20"/>
          <w:lang w:eastAsia="fr-FR"/>
        </w:rPr>
        <w:t>galactose</w:t>
      </w:r>
      <w:r w:rsidRPr="00B15634">
        <w:rPr>
          <w:rFonts w:ascii="Arial" w:hAnsi="Arial" w:cs="Arial"/>
          <w:color w:val="000000" w:themeColor="text1"/>
          <w:sz w:val="20"/>
          <w:szCs w:val="20"/>
          <w:lang w:eastAsia="fr-FR"/>
        </w:rPr>
        <w:t xml:space="preserve"> </w:t>
      </w:r>
    </w:p>
    <w:p w14:paraId="34102B69"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anchor distT="0" distB="0" distL="114300" distR="114300" simplePos="0" relativeHeight="251678720" behindDoc="1" locked="0" layoutInCell="1" allowOverlap="1" wp14:anchorId="651AAB78" wp14:editId="4B31091D">
            <wp:simplePos x="0" y="0"/>
            <wp:positionH relativeFrom="column">
              <wp:posOffset>4991452</wp:posOffset>
            </wp:positionH>
            <wp:positionV relativeFrom="paragraph">
              <wp:posOffset>14323</wp:posOffset>
            </wp:positionV>
            <wp:extent cx="1725930" cy="1061085"/>
            <wp:effectExtent l="0" t="0" r="1270" b="5715"/>
            <wp:wrapTight wrapText="bothSides">
              <wp:wrapPolygon edited="0">
                <wp:start x="0" y="0"/>
                <wp:lineTo x="0" y="21458"/>
                <wp:lineTo x="21457" y="21458"/>
                <wp:lineTo x="21457" y="0"/>
                <wp:lineTo x="0" y="0"/>
              </wp:wrapPolygon>
            </wp:wrapTight>
            <wp:docPr id="1423915722" name="Image 156" descr="page22image55204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age22image55204977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25930" cy="1061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5E3D26"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Pour le </w:t>
      </w:r>
      <w:r w:rsidRPr="00B15634">
        <w:rPr>
          <w:rFonts w:ascii="Arial" w:hAnsi="Arial" w:cs="Arial"/>
          <w:b/>
          <w:bCs/>
          <w:color w:val="000000" w:themeColor="text1"/>
          <w:sz w:val="20"/>
          <w:szCs w:val="20"/>
          <w:lang w:eastAsia="fr-FR"/>
        </w:rPr>
        <w:t>fructose</w:t>
      </w:r>
      <w:r w:rsidRPr="00B15634">
        <w:rPr>
          <w:rFonts w:ascii="Arial" w:hAnsi="Arial" w:cs="Arial"/>
          <w:color w:val="000000" w:themeColor="text1"/>
          <w:sz w:val="20"/>
          <w:szCs w:val="20"/>
          <w:lang w:eastAsia="fr-FR"/>
        </w:rPr>
        <w:t xml:space="preserve"> : principalement dans la première partie de l’intestin grêle </w:t>
      </w:r>
    </w:p>
    <w:p w14:paraId="195CCB20"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Transport facilité, indépendant du Na+ </w:t>
      </w:r>
    </w:p>
    <w:p w14:paraId="17E948E5"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Passif</w:t>
      </w:r>
    </w:p>
    <w:p w14:paraId="6B9E2A7E"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Glut5 = spécifique du fructose</w:t>
      </w:r>
    </w:p>
    <w:p w14:paraId="2DD1118B"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Peut utiliser Glut2 quand présent </w:t>
      </w:r>
    </w:p>
    <w:p w14:paraId="489ADF62"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Dans le sens du gradient de conc. </w:t>
      </w: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Containers/UBF8T346G9.ms/WebArchiveCopyPasteTempFiles/com.microsoft.Word/page22image552049776"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color w:val="000000" w:themeColor="text1"/>
          <w:sz w:val="20"/>
          <w:szCs w:val="20"/>
          <w:lang w:eastAsia="fr-FR"/>
        </w:rPr>
        <w:fldChar w:fldCharType="end"/>
      </w:r>
    </w:p>
    <w:p w14:paraId="78787CED"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Une partie du fructose ingéré est métabolisé au niveau des entérocytes </w:t>
      </w:r>
    </w:p>
    <w:p w14:paraId="415D977E"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E899F4E"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b/>
          <w:bCs/>
          <w:color w:val="000000" w:themeColor="text1"/>
          <w:sz w:val="20"/>
          <w:szCs w:val="20"/>
          <w:lang w:eastAsia="fr-FR"/>
        </w:rPr>
        <w:t>Résumé</w:t>
      </w:r>
      <w:r w:rsidRPr="00B15634">
        <w:rPr>
          <w:rFonts w:ascii="Arial" w:hAnsi="Arial" w:cs="Arial"/>
          <w:color w:val="000000" w:themeColor="text1"/>
          <w:sz w:val="20"/>
          <w:szCs w:val="20"/>
          <w:lang w:eastAsia="fr-FR"/>
        </w:rPr>
        <w:t xml:space="preserve"> : </w:t>
      </w:r>
    </w:p>
    <w:p w14:paraId="40B147B5"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anchor distT="0" distB="0" distL="114300" distR="114300" simplePos="0" relativeHeight="251679744" behindDoc="1" locked="0" layoutInCell="1" allowOverlap="1" wp14:anchorId="3337744E" wp14:editId="767895FD">
            <wp:simplePos x="0" y="0"/>
            <wp:positionH relativeFrom="column">
              <wp:posOffset>1863501</wp:posOffset>
            </wp:positionH>
            <wp:positionV relativeFrom="paragraph">
              <wp:posOffset>98649</wp:posOffset>
            </wp:positionV>
            <wp:extent cx="2325370" cy="2820670"/>
            <wp:effectExtent l="0" t="0" r="0" b="0"/>
            <wp:wrapTight wrapText="bothSides">
              <wp:wrapPolygon edited="0">
                <wp:start x="0" y="0"/>
                <wp:lineTo x="0" y="21493"/>
                <wp:lineTo x="21470" y="21493"/>
                <wp:lineTo x="21470" y="0"/>
                <wp:lineTo x="0" y="0"/>
              </wp:wrapPolygon>
            </wp:wrapTight>
            <wp:docPr id="792569916" name="Image 155" descr="page23image55200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ge23image55200379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25370" cy="2820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18B275"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A832C31"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Containers/UBF8T346G9.ms/WebArchiveCopyPasteTempFiles/com.microsoft.Word/page23image552003792"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color w:val="000000" w:themeColor="text1"/>
          <w:sz w:val="20"/>
          <w:szCs w:val="20"/>
          <w:lang w:eastAsia="fr-FR"/>
        </w:rPr>
        <w:fldChar w:fldCharType="end"/>
      </w:r>
    </w:p>
    <w:p w14:paraId="654306A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7640180"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29A5F7F"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74E565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35415B6"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BD1BE7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8856CF2"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1B147D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91E11B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199A68B"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E96FAE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124475C" w14:textId="77777777" w:rsidR="00ED4694" w:rsidRDefault="00ED4694" w:rsidP="00ED4694">
      <w:pPr>
        <w:pStyle w:val="Sansinterligne"/>
        <w:jc w:val="both"/>
        <w:rPr>
          <w:rFonts w:ascii="Arial" w:hAnsi="Arial" w:cs="Arial"/>
          <w:color w:val="000000" w:themeColor="text1"/>
          <w:sz w:val="20"/>
          <w:szCs w:val="20"/>
          <w:lang w:eastAsia="fr-FR"/>
        </w:rPr>
      </w:pPr>
    </w:p>
    <w:p w14:paraId="47D26D49" w14:textId="77777777" w:rsidR="00ED4694" w:rsidRDefault="00ED4694" w:rsidP="00ED4694">
      <w:pPr>
        <w:pStyle w:val="Sansinterligne"/>
        <w:jc w:val="both"/>
        <w:rPr>
          <w:rFonts w:ascii="Arial" w:hAnsi="Arial" w:cs="Arial"/>
          <w:color w:val="000000" w:themeColor="text1"/>
          <w:sz w:val="20"/>
          <w:szCs w:val="20"/>
          <w:lang w:eastAsia="fr-FR"/>
        </w:rPr>
      </w:pPr>
    </w:p>
    <w:p w14:paraId="6EB773B1" w14:textId="77777777" w:rsidR="00ED4694" w:rsidRDefault="00ED4694" w:rsidP="00ED4694">
      <w:pPr>
        <w:pStyle w:val="Sansinterligne"/>
        <w:jc w:val="both"/>
        <w:rPr>
          <w:rFonts w:ascii="Arial" w:hAnsi="Arial" w:cs="Arial"/>
          <w:color w:val="000000" w:themeColor="text1"/>
          <w:sz w:val="20"/>
          <w:szCs w:val="20"/>
          <w:lang w:eastAsia="fr-FR"/>
        </w:rPr>
      </w:pPr>
    </w:p>
    <w:p w14:paraId="0EDE35E7" w14:textId="77777777" w:rsidR="00ED4694" w:rsidRDefault="00ED4694" w:rsidP="00ED4694">
      <w:pPr>
        <w:pStyle w:val="Sansinterligne"/>
        <w:jc w:val="both"/>
        <w:rPr>
          <w:rFonts w:ascii="Arial" w:hAnsi="Arial" w:cs="Arial"/>
          <w:color w:val="000000" w:themeColor="text1"/>
          <w:sz w:val="20"/>
          <w:szCs w:val="20"/>
          <w:lang w:eastAsia="fr-FR"/>
        </w:rPr>
      </w:pPr>
    </w:p>
    <w:p w14:paraId="7DC6A845"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932589A"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B7DD766" w14:textId="77777777" w:rsidR="00ED4694" w:rsidRPr="00B15634" w:rsidRDefault="00ED4694" w:rsidP="00ED4694">
      <w:pPr>
        <w:pStyle w:val="Sansinterligne"/>
        <w:jc w:val="both"/>
        <w:rPr>
          <w:rFonts w:ascii="Arial" w:hAnsi="Arial" w:cs="Arial"/>
          <w:b/>
          <w:bCs/>
          <w:color w:val="00B0F0"/>
          <w:sz w:val="20"/>
          <w:szCs w:val="20"/>
          <w:lang w:eastAsia="fr-FR"/>
        </w:rPr>
      </w:pPr>
    </w:p>
    <w:p w14:paraId="15BD3A86" w14:textId="77777777" w:rsidR="00ED4694" w:rsidRPr="00B15634" w:rsidRDefault="00ED4694" w:rsidP="00ED4694">
      <w:pPr>
        <w:pStyle w:val="Sansinterligne"/>
        <w:numPr>
          <w:ilvl w:val="0"/>
          <w:numId w:val="92"/>
        </w:numPr>
        <w:jc w:val="both"/>
        <w:rPr>
          <w:rFonts w:ascii="Arial" w:hAnsi="Arial" w:cs="Arial"/>
          <w:b/>
          <w:bCs/>
          <w:color w:val="00B0F0"/>
          <w:sz w:val="20"/>
          <w:szCs w:val="20"/>
          <w:lang w:eastAsia="fr-FR"/>
        </w:rPr>
      </w:pPr>
      <w:r w:rsidRPr="00B15634">
        <w:rPr>
          <w:rFonts w:ascii="Arial" w:hAnsi="Arial" w:cs="Arial"/>
          <w:color w:val="ED7D31" w:themeColor="accent2"/>
          <w:sz w:val="20"/>
          <w:szCs w:val="20"/>
          <w:lang w:eastAsia="fr-FR"/>
        </w:rPr>
        <w:lastRenderedPageBreak/>
        <w:t>Indice glycémique</w:t>
      </w:r>
      <w:r w:rsidRPr="00B15634">
        <w:rPr>
          <w:rFonts w:ascii="Arial" w:hAnsi="Arial" w:cs="Arial"/>
          <w:b/>
          <w:bCs/>
          <w:color w:val="ED7D31" w:themeColor="accent2"/>
          <w:sz w:val="20"/>
          <w:szCs w:val="20"/>
          <w:lang w:eastAsia="fr-FR"/>
        </w:rPr>
        <w:t> </w:t>
      </w:r>
    </w:p>
    <w:p w14:paraId="177AF1B0" w14:textId="77777777" w:rsidR="00ED4694" w:rsidRPr="00B15634" w:rsidRDefault="00ED4694" w:rsidP="00ED4694">
      <w:pPr>
        <w:pStyle w:val="Sansinterligne"/>
        <w:jc w:val="both"/>
        <w:rPr>
          <w:rFonts w:ascii="Arial" w:hAnsi="Arial" w:cs="Arial"/>
          <w:b/>
          <w:bCs/>
          <w:color w:val="00B0F0"/>
          <w:sz w:val="20"/>
          <w:szCs w:val="20"/>
          <w:lang w:eastAsia="fr-FR"/>
        </w:rPr>
      </w:pPr>
      <w:r w:rsidRPr="00B15634">
        <w:rPr>
          <w:rFonts w:ascii="Arial" w:hAnsi="Arial" w:cs="Arial"/>
          <w:color w:val="000000" w:themeColor="text1"/>
          <w:sz w:val="20"/>
          <w:szCs w:val="20"/>
          <w:lang w:eastAsia="fr-FR"/>
        </w:rPr>
        <w:t xml:space="preserve">C’est un moyen de classer les aliments en fonction de la </w:t>
      </w:r>
      <w:r w:rsidRPr="00472CE5">
        <w:rPr>
          <w:rFonts w:ascii="Arial" w:hAnsi="Arial" w:cs="Arial"/>
          <w:b/>
          <w:bCs/>
          <w:color w:val="000000" w:themeColor="text1"/>
          <w:sz w:val="20"/>
          <w:szCs w:val="20"/>
          <w:lang w:eastAsia="fr-FR"/>
        </w:rPr>
        <w:t>rapidité avec laquelle la consommation de glucides disponibles augmente la glycémie</w:t>
      </w:r>
      <w:r w:rsidRPr="00B15634">
        <w:rPr>
          <w:rFonts w:ascii="Arial" w:hAnsi="Arial" w:cs="Arial"/>
          <w:color w:val="000000" w:themeColor="text1"/>
          <w:sz w:val="20"/>
          <w:szCs w:val="20"/>
          <w:lang w:eastAsia="fr-FR"/>
        </w:rPr>
        <w:t xml:space="preserve"> par rapport à une norme. </w:t>
      </w:r>
    </w:p>
    <w:p w14:paraId="62969998"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Les valeurs limites s'étalent entre 1 (augmentation la plus lente) et 100 (augmentation la plus rapide, équivalente à celle du glucose pur). Il dépend également des aliments associés aux glucides</w:t>
      </w:r>
    </w:p>
    <w:p w14:paraId="468F3FF3"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Glucides avec IG élevé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 rapide et à une valeur élevée de la glycémie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 insuline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hpoglycémie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faim</w:t>
      </w:r>
    </w:p>
    <w:p w14:paraId="00951E0E"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Glucides avec IG faibles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 lente de la glycémie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 insuline moindre </w:t>
      </w:r>
    </w:p>
    <w:p w14:paraId="73AEAB3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Cuisson : Pâtes peu cuites ont un IG plus bas que des pâtes très cuites. </w:t>
      </w:r>
    </w:p>
    <w:p w14:paraId="0EEB5CAA"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Ex d’IG : Fructose : 22, glucose : 100</w:t>
      </w:r>
    </w:p>
    <w:p w14:paraId="764E9230"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F4B30A0" w14:textId="77777777" w:rsidR="00ED4694" w:rsidRPr="00B15634" w:rsidRDefault="00ED4694" w:rsidP="00ED4694">
      <w:pPr>
        <w:pStyle w:val="Sansinterligne"/>
        <w:numPr>
          <w:ilvl w:val="0"/>
          <w:numId w:val="92"/>
        </w:numPr>
        <w:jc w:val="both"/>
        <w:rPr>
          <w:rFonts w:ascii="Arial" w:hAnsi="Arial" w:cs="Arial"/>
          <w:color w:val="ED7D31" w:themeColor="accent2"/>
          <w:sz w:val="20"/>
          <w:szCs w:val="20"/>
          <w:lang w:eastAsia="fr-FR"/>
        </w:rPr>
      </w:pPr>
      <w:r w:rsidRPr="00B15634">
        <w:rPr>
          <w:rFonts w:ascii="Arial" w:hAnsi="Arial" w:cs="Arial"/>
          <w:color w:val="ED7D31" w:themeColor="accent2"/>
          <w:sz w:val="20"/>
          <w:szCs w:val="20"/>
          <w:lang w:eastAsia="fr-FR"/>
        </w:rPr>
        <w:t xml:space="preserve">Fibres </w:t>
      </w:r>
    </w:p>
    <w:p w14:paraId="4295474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Ce sont des glucides complexes sous formes diverses : cellulose, hémicellulose, pectine, gommes... Les fibres alimentaires peuvent être solubles ou insolubles. </w:t>
      </w:r>
    </w:p>
    <w:p w14:paraId="73DBA6B6"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Les fibres insolubles ↑ la motilité gastro-intestinale, préviennent la constipation, ↑ le volume des selles. Il a été suggéré que qu’elles favorisaient l'élimination des substances cancérigènes produites par les bactéries dans le gros intestin. </w:t>
      </w:r>
    </w:p>
    <w:p w14:paraId="4C9777F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Les fibres solubles (présentes dans fruits, légumes, avoine, orge et légumineuses) réduisent l'augmentation postprandiale de la glycémie et de l'insuline et peuvent diminuer les taux de cholestérol. </w:t>
      </w:r>
    </w:p>
    <w:p w14:paraId="69E3506B"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0911075" w14:textId="77777777" w:rsidR="00ED4694" w:rsidRPr="00B15634" w:rsidRDefault="00ED4694" w:rsidP="00ED4694">
      <w:pPr>
        <w:pStyle w:val="Sansinterligne"/>
        <w:numPr>
          <w:ilvl w:val="0"/>
          <w:numId w:val="88"/>
        </w:numPr>
        <w:jc w:val="both"/>
        <w:rPr>
          <w:rFonts w:ascii="Arial" w:hAnsi="Arial" w:cs="Arial"/>
          <w:b/>
          <w:bCs/>
          <w:color w:val="00B0F0"/>
          <w:sz w:val="20"/>
          <w:szCs w:val="20"/>
          <w:u w:val="single"/>
          <w:lang w:eastAsia="fr-FR"/>
        </w:rPr>
      </w:pPr>
      <w:r w:rsidRPr="00B15634">
        <w:rPr>
          <w:rFonts w:ascii="Arial" w:hAnsi="Arial" w:cs="Arial"/>
          <w:b/>
          <w:bCs/>
          <w:color w:val="00B0F0"/>
          <w:sz w:val="20"/>
          <w:szCs w:val="20"/>
          <w:u w:val="single"/>
          <w:lang w:eastAsia="fr-FR"/>
        </w:rPr>
        <w:t xml:space="preserve">Digestion des protéines </w:t>
      </w:r>
    </w:p>
    <w:p w14:paraId="68312E72"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Protéine : séquence d’acides aminés (AA) reliés par des liaisons peptidiques Si &gt; 50 AA, il s’agit d’un peptide.</w:t>
      </w:r>
      <w:r w:rsidRPr="00B15634">
        <w:rPr>
          <w:rFonts w:ascii="Arial" w:hAnsi="Arial" w:cs="Arial"/>
          <w:color w:val="000000" w:themeColor="text1"/>
          <w:sz w:val="20"/>
          <w:szCs w:val="20"/>
          <w:lang w:eastAsia="fr-FR"/>
        </w:rPr>
        <w:br/>
        <w:t xml:space="preserve">20 AA au total. Nombreuses fonctions : </w:t>
      </w:r>
    </w:p>
    <w:p w14:paraId="41CFB25E"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protéines de </w:t>
      </w:r>
      <w:r w:rsidRPr="002750D4">
        <w:rPr>
          <w:rFonts w:ascii="Arial" w:hAnsi="Arial" w:cs="Arial"/>
          <w:b/>
          <w:bCs/>
          <w:color w:val="000000" w:themeColor="text1"/>
          <w:sz w:val="20"/>
          <w:szCs w:val="20"/>
          <w:lang w:eastAsia="fr-FR"/>
        </w:rPr>
        <w:t>structure</w:t>
      </w:r>
      <w:r w:rsidRPr="00B15634">
        <w:rPr>
          <w:rFonts w:ascii="Arial" w:hAnsi="Arial" w:cs="Arial"/>
          <w:color w:val="000000" w:themeColor="text1"/>
          <w:sz w:val="20"/>
          <w:szCs w:val="20"/>
          <w:lang w:eastAsia="fr-FR"/>
        </w:rPr>
        <w:t xml:space="preserve"> (collagène, ...) </w:t>
      </w:r>
    </w:p>
    <w:p w14:paraId="57FA89A7"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protéines </w:t>
      </w:r>
      <w:r w:rsidRPr="002750D4">
        <w:rPr>
          <w:rFonts w:ascii="Arial" w:hAnsi="Arial" w:cs="Arial"/>
          <w:b/>
          <w:bCs/>
          <w:color w:val="000000" w:themeColor="text1"/>
          <w:sz w:val="20"/>
          <w:szCs w:val="20"/>
          <w:lang w:eastAsia="fr-FR"/>
        </w:rPr>
        <w:t>contractiles</w:t>
      </w:r>
      <w:r w:rsidRPr="00B15634">
        <w:rPr>
          <w:rFonts w:ascii="Arial" w:hAnsi="Arial" w:cs="Arial"/>
          <w:color w:val="000000" w:themeColor="text1"/>
          <w:sz w:val="20"/>
          <w:szCs w:val="20"/>
          <w:lang w:eastAsia="fr-FR"/>
        </w:rPr>
        <w:t xml:space="preserve"> (myosine, ...) </w:t>
      </w:r>
    </w:p>
    <w:p w14:paraId="417FACC6"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protéines de </w:t>
      </w:r>
      <w:r w:rsidRPr="002750D4">
        <w:rPr>
          <w:rFonts w:ascii="Arial" w:hAnsi="Arial" w:cs="Arial"/>
          <w:b/>
          <w:bCs/>
          <w:color w:val="000000" w:themeColor="text1"/>
          <w:sz w:val="20"/>
          <w:szCs w:val="20"/>
          <w:lang w:eastAsia="fr-FR"/>
        </w:rPr>
        <w:t>transport</w:t>
      </w:r>
      <w:r w:rsidRPr="00B15634">
        <w:rPr>
          <w:rFonts w:ascii="Arial" w:hAnsi="Arial" w:cs="Arial"/>
          <w:color w:val="000000" w:themeColor="text1"/>
          <w:sz w:val="20"/>
          <w:szCs w:val="20"/>
          <w:lang w:eastAsia="fr-FR"/>
        </w:rPr>
        <w:t xml:space="preserve"> (albumine, ....) </w:t>
      </w:r>
    </w:p>
    <w:p w14:paraId="5A14115A"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protéines </w:t>
      </w:r>
      <w:r w:rsidRPr="002750D4">
        <w:rPr>
          <w:rFonts w:ascii="Arial" w:hAnsi="Arial" w:cs="Arial"/>
          <w:b/>
          <w:bCs/>
          <w:color w:val="000000" w:themeColor="text1"/>
          <w:sz w:val="20"/>
          <w:szCs w:val="20"/>
          <w:lang w:eastAsia="fr-FR"/>
        </w:rPr>
        <w:t>immunitaires</w:t>
      </w:r>
      <w:r w:rsidRPr="00B15634">
        <w:rPr>
          <w:rFonts w:ascii="Arial" w:hAnsi="Arial" w:cs="Arial"/>
          <w:color w:val="000000" w:themeColor="text1"/>
          <w:sz w:val="20"/>
          <w:szCs w:val="20"/>
          <w:lang w:eastAsia="fr-FR"/>
        </w:rPr>
        <w:t xml:space="preserve"> (immunoglobulines) </w:t>
      </w:r>
    </w:p>
    <w:p w14:paraId="4EEA9956"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protéines </w:t>
      </w:r>
      <w:r w:rsidRPr="002750D4">
        <w:rPr>
          <w:rFonts w:ascii="Arial" w:hAnsi="Arial" w:cs="Arial"/>
          <w:b/>
          <w:bCs/>
          <w:color w:val="000000" w:themeColor="text1"/>
          <w:sz w:val="20"/>
          <w:szCs w:val="20"/>
          <w:lang w:eastAsia="fr-FR"/>
        </w:rPr>
        <w:t>enzymatiques</w:t>
      </w:r>
      <w:r w:rsidRPr="00B15634">
        <w:rPr>
          <w:rFonts w:ascii="Arial" w:hAnsi="Arial" w:cs="Arial"/>
          <w:color w:val="000000" w:themeColor="text1"/>
          <w:sz w:val="20"/>
          <w:szCs w:val="20"/>
          <w:lang w:eastAsia="fr-FR"/>
        </w:rPr>
        <w:t xml:space="preserve"> </w:t>
      </w:r>
    </w:p>
    <w:p w14:paraId="19096ACF" w14:textId="77777777" w:rsidR="00ED4694" w:rsidRPr="002750D4" w:rsidRDefault="00ED4694" w:rsidP="00ED4694">
      <w:pPr>
        <w:pStyle w:val="Sansinterligne"/>
        <w:numPr>
          <w:ilvl w:val="0"/>
          <w:numId w:val="90"/>
        </w:numPr>
        <w:jc w:val="both"/>
        <w:rPr>
          <w:rFonts w:ascii="Arial" w:hAnsi="Arial" w:cs="Arial"/>
          <w:b/>
          <w:bCs/>
          <w:color w:val="000000" w:themeColor="text1"/>
          <w:sz w:val="20"/>
          <w:szCs w:val="20"/>
          <w:lang w:eastAsia="fr-FR"/>
        </w:rPr>
      </w:pPr>
      <w:r w:rsidRPr="002750D4">
        <w:rPr>
          <w:rFonts w:ascii="Arial" w:hAnsi="Arial" w:cs="Arial"/>
          <w:b/>
          <w:bCs/>
          <w:color w:val="000000" w:themeColor="text1"/>
          <w:sz w:val="20"/>
          <w:szCs w:val="20"/>
          <w:lang w:eastAsia="fr-FR"/>
        </w:rPr>
        <w:t xml:space="preserve">Hormones </w:t>
      </w:r>
    </w:p>
    <w:p w14:paraId="195356A0" w14:textId="339D05FF" w:rsidR="00ED4694" w:rsidRPr="002750D4" w:rsidRDefault="002750D4" w:rsidP="00ED4694">
      <w:pPr>
        <w:pStyle w:val="Sansinterligne"/>
        <w:numPr>
          <w:ilvl w:val="0"/>
          <w:numId w:val="90"/>
        </w:numPr>
        <w:jc w:val="both"/>
        <w:rPr>
          <w:rFonts w:ascii="Arial" w:hAnsi="Arial" w:cs="Arial"/>
          <w:b/>
          <w:bCs/>
          <w:color w:val="000000" w:themeColor="text1"/>
          <w:sz w:val="20"/>
          <w:szCs w:val="20"/>
          <w:lang w:eastAsia="fr-FR"/>
        </w:rPr>
      </w:pPr>
      <w:r w:rsidRPr="002750D4">
        <w:rPr>
          <w:rFonts w:ascii="Arial" w:hAnsi="Arial" w:cs="Arial"/>
          <w:b/>
          <w:bCs/>
          <w:color w:val="000000" w:themeColor="text1"/>
          <w:sz w:val="20"/>
          <w:szCs w:val="20"/>
          <w:lang w:eastAsia="fr-FR"/>
        </w:rPr>
        <w:t>Récepteurs</w:t>
      </w:r>
      <w:r w:rsidR="00ED4694" w:rsidRPr="002750D4">
        <w:rPr>
          <w:rFonts w:ascii="Arial" w:hAnsi="Arial" w:cs="Arial"/>
          <w:b/>
          <w:bCs/>
          <w:color w:val="000000" w:themeColor="text1"/>
          <w:sz w:val="20"/>
          <w:szCs w:val="20"/>
          <w:lang w:eastAsia="fr-FR"/>
        </w:rPr>
        <w:t xml:space="preserve"> </w:t>
      </w:r>
    </w:p>
    <w:p w14:paraId="2D2F0048"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 l'équilibre, les apports protéiques doivent compenser les pertes d'acides aminés. La différence entre apports et pertes constitue le </w:t>
      </w:r>
      <w:r w:rsidRPr="001E1A9F">
        <w:rPr>
          <w:rFonts w:ascii="Arial" w:hAnsi="Arial" w:cs="Arial"/>
          <w:b/>
          <w:bCs/>
          <w:color w:val="000000" w:themeColor="text1"/>
          <w:sz w:val="20"/>
          <w:szCs w:val="20"/>
          <w:lang w:eastAsia="fr-FR"/>
        </w:rPr>
        <w:t>bilan protéique</w:t>
      </w:r>
      <w:r w:rsidRPr="00B15634">
        <w:rPr>
          <w:rFonts w:ascii="Arial" w:hAnsi="Arial" w:cs="Arial"/>
          <w:color w:val="000000" w:themeColor="text1"/>
          <w:sz w:val="20"/>
          <w:szCs w:val="20"/>
          <w:lang w:eastAsia="fr-FR"/>
        </w:rPr>
        <w:t xml:space="preserve"> (ou </w:t>
      </w:r>
      <w:r w:rsidRPr="001E1A9F">
        <w:rPr>
          <w:rFonts w:ascii="Arial" w:hAnsi="Arial" w:cs="Arial"/>
          <w:b/>
          <w:bCs/>
          <w:color w:val="000000" w:themeColor="text1"/>
          <w:sz w:val="20"/>
          <w:szCs w:val="20"/>
          <w:lang w:eastAsia="fr-FR"/>
        </w:rPr>
        <w:t>bilan azoté</w:t>
      </w:r>
      <w:r w:rsidRPr="00B15634">
        <w:rPr>
          <w:rFonts w:ascii="Arial" w:hAnsi="Arial" w:cs="Arial"/>
          <w:color w:val="000000" w:themeColor="text1"/>
          <w:sz w:val="20"/>
          <w:szCs w:val="20"/>
          <w:lang w:eastAsia="fr-FR"/>
        </w:rPr>
        <w:t xml:space="preserve">) et correspond également à la différence entre synthèse et dégradation protéique : Bilan = Apport d'azote – (Azote urinaire + Azote fécal + Autres pertes azotées) </w:t>
      </w:r>
    </w:p>
    <w:p w14:paraId="7F2AA0EB"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inline distT="0" distB="0" distL="0" distR="0" wp14:anchorId="46DC31BB" wp14:editId="086CB82A">
            <wp:extent cx="4783243" cy="1602336"/>
            <wp:effectExtent l="0" t="0" r="5080" b="0"/>
            <wp:docPr id="5298809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880934" name=""/>
                    <pic:cNvPicPr/>
                  </pic:nvPicPr>
                  <pic:blipFill>
                    <a:blip r:embed="rId37"/>
                    <a:stretch>
                      <a:fillRect/>
                    </a:stretch>
                  </pic:blipFill>
                  <pic:spPr>
                    <a:xfrm>
                      <a:off x="0" y="0"/>
                      <a:ext cx="4814084" cy="1612667"/>
                    </a:xfrm>
                    <a:prstGeom prst="rect">
                      <a:avLst/>
                    </a:prstGeom>
                  </pic:spPr>
                </pic:pic>
              </a:graphicData>
            </a:graphic>
          </wp:inline>
        </w:drawing>
      </w:r>
    </w:p>
    <w:p w14:paraId="216C649D"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Containers/UBF8T346G9.ms/WebArchiveCopyPasteTempFiles/com.microsoft.Word/page30image592355520"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noProof/>
          <w:color w:val="000000" w:themeColor="text1"/>
          <w:sz w:val="20"/>
          <w:szCs w:val="20"/>
          <w:lang w:eastAsia="fr-FR"/>
        </w:rPr>
        <w:drawing>
          <wp:inline distT="0" distB="0" distL="0" distR="0" wp14:anchorId="4DE1E5F2" wp14:editId="6E3F41B7">
            <wp:extent cx="1140460" cy="621030"/>
            <wp:effectExtent l="0" t="0" r="0" b="0"/>
            <wp:docPr id="315827055" name="Image 142" descr="page30image59235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age30image5923555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0460" cy="621030"/>
                    </a:xfrm>
                    <a:prstGeom prst="rect">
                      <a:avLst/>
                    </a:prstGeom>
                    <a:noFill/>
                    <a:ln>
                      <a:noFill/>
                    </a:ln>
                  </pic:spPr>
                </pic:pic>
              </a:graphicData>
            </a:graphic>
          </wp:inline>
        </w:drawing>
      </w:r>
      <w:r w:rsidRPr="00B15634">
        <w:rPr>
          <w:rFonts w:ascii="Arial" w:hAnsi="Arial" w:cs="Arial"/>
          <w:color w:val="000000" w:themeColor="text1"/>
          <w:sz w:val="20"/>
          <w:szCs w:val="20"/>
          <w:lang w:eastAsia="fr-FR"/>
        </w:rPr>
        <w:fldChar w:fldCharType="end"/>
      </w: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Containers/UBF8T346G9.ms/WebArchiveCopyPasteTempFiles/com.microsoft.Word/page30image592355808"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noProof/>
          <w:color w:val="000000" w:themeColor="text1"/>
          <w:sz w:val="20"/>
          <w:szCs w:val="20"/>
          <w:lang w:eastAsia="fr-FR"/>
        </w:rPr>
        <w:drawing>
          <wp:inline distT="0" distB="0" distL="0" distR="0" wp14:anchorId="0BC8EA4B" wp14:editId="35D0E66F">
            <wp:extent cx="2923822" cy="1975817"/>
            <wp:effectExtent l="0" t="0" r="0" b="5715"/>
            <wp:docPr id="561171275" name="Image 141" descr="page30image59235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age30image59235580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38294" cy="1985597"/>
                    </a:xfrm>
                    <a:prstGeom prst="rect">
                      <a:avLst/>
                    </a:prstGeom>
                    <a:noFill/>
                    <a:ln>
                      <a:noFill/>
                    </a:ln>
                  </pic:spPr>
                </pic:pic>
              </a:graphicData>
            </a:graphic>
          </wp:inline>
        </w:drawing>
      </w:r>
      <w:r w:rsidRPr="00B15634">
        <w:rPr>
          <w:rFonts w:ascii="Arial" w:hAnsi="Arial" w:cs="Arial"/>
          <w:color w:val="000000" w:themeColor="text1"/>
          <w:sz w:val="20"/>
          <w:szCs w:val="20"/>
          <w:lang w:eastAsia="fr-FR"/>
        </w:rPr>
        <w:fldChar w:fldCharType="end"/>
      </w: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Containers/UBF8T346G9.ms/WebArchiveCopyPasteTempFiles/com.microsoft.Word/page30image592356112"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noProof/>
          <w:color w:val="000000" w:themeColor="text1"/>
          <w:sz w:val="20"/>
          <w:szCs w:val="20"/>
          <w:lang w:eastAsia="fr-FR"/>
        </w:rPr>
        <w:drawing>
          <wp:inline distT="0" distB="0" distL="0" distR="0" wp14:anchorId="2A250A17" wp14:editId="6A00DF0F">
            <wp:extent cx="1140460" cy="937260"/>
            <wp:effectExtent l="0" t="0" r="0" b="0"/>
            <wp:docPr id="209631057" name="Image 140" descr="page30image59235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age30image5923561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40460" cy="937260"/>
                    </a:xfrm>
                    <a:prstGeom prst="rect">
                      <a:avLst/>
                    </a:prstGeom>
                    <a:noFill/>
                    <a:ln>
                      <a:noFill/>
                    </a:ln>
                  </pic:spPr>
                </pic:pic>
              </a:graphicData>
            </a:graphic>
          </wp:inline>
        </w:drawing>
      </w:r>
      <w:r w:rsidRPr="00B15634">
        <w:rPr>
          <w:rFonts w:ascii="Arial" w:hAnsi="Arial" w:cs="Arial"/>
          <w:color w:val="000000" w:themeColor="text1"/>
          <w:sz w:val="20"/>
          <w:szCs w:val="20"/>
          <w:lang w:eastAsia="fr-FR"/>
        </w:rPr>
        <w:fldChar w:fldCharType="end"/>
      </w:r>
    </w:p>
    <w:p w14:paraId="565C9DA5" w14:textId="77777777" w:rsidR="00ED4694" w:rsidRPr="00B15634" w:rsidRDefault="00ED4694" w:rsidP="00ED4694">
      <w:pPr>
        <w:pStyle w:val="Sansinterligne"/>
        <w:jc w:val="center"/>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Schéma général du métabolisme protéique chez l'homme.</w:t>
      </w:r>
    </w:p>
    <w:p w14:paraId="3A18AF2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003B6A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Un acide aminé est dit </w:t>
      </w:r>
      <w:r w:rsidRPr="00E678B5">
        <w:rPr>
          <w:rFonts w:ascii="Arial" w:hAnsi="Arial" w:cs="Arial"/>
          <w:b/>
          <w:bCs/>
          <w:color w:val="000000" w:themeColor="text1"/>
          <w:sz w:val="20"/>
          <w:szCs w:val="20"/>
          <w:lang w:eastAsia="fr-FR"/>
        </w:rPr>
        <w:t>essentiel</w:t>
      </w:r>
      <w:r w:rsidRPr="00B15634">
        <w:rPr>
          <w:rFonts w:ascii="Arial" w:hAnsi="Arial" w:cs="Arial"/>
          <w:color w:val="000000" w:themeColor="text1"/>
          <w:sz w:val="20"/>
          <w:szCs w:val="20"/>
          <w:lang w:eastAsia="fr-FR"/>
        </w:rPr>
        <w:t xml:space="preserve"> lorsqu'il ne peut être synthétisé par l'organisme, ce qui implique qu'il </w:t>
      </w:r>
      <w:r w:rsidRPr="00E678B5">
        <w:rPr>
          <w:rFonts w:ascii="Arial" w:hAnsi="Arial" w:cs="Arial"/>
          <w:b/>
          <w:bCs/>
          <w:color w:val="000000" w:themeColor="text1"/>
          <w:sz w:val="20"/>
          <w:szCs w:val="20"/>
          <w:lang w:eastAsia="fr-FR"/>
        </w:rPr>
        <w:t>doit être apporté par l'alimentation</w:t>
      </w:r>
      <w:r w:rsidRPr="00B15634">
        <w:rPr>
          <w:rFonts w:ascii="Arial" w:hAnsi="Arial" w:cs="Arial"/>
          <w:color w:val="000000" w:themeColor="text1"/>
          <w:sz w:val="20"/>
          <w:szCs w:val="20"/>
          <w:lang w:eastAsia="fr-FR"/>
        </w:rPr>
        <w:t xml:space="preserve">. </w:t>
      </w:r>
    </w:p>
    <w:p w14:paraId="0982A51F" w14:textId="2366A72B"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Acides aminés </w:t>
      </w:r>
      <w:r w:rsidRPr="00E678B5">
        <w:rPr>
          <w:rFonts w:ascii="Arial" w:hAnsi="Arial" w:cs="Arial"/>
          <w:b/>
          <w:bCs/>
          <w:color w:val="000000" w:themeColor="text1"/>
          <w:sz w:val="20"/>
          <w:szCs w:val="20"/>
          <w:lang w:eastAsia="fr-FR"/>
        </w:rPr>
        <w:t>essentiels</w:t>
      </w:r>
      <w:r w:rsidRPr="00B15634">
        <w:rPr>
          <w:rFonts w:ascii="Arial" w:hAnsi="Arial" w:cs="Arial"/>
          <w:color w:val="000000" w:themeColor="text1"/>
          <w:sz w:val="20"/>
          <w:szCs w:val="20"/>
          <w:lang w:eastAsia="fr-FR"/>
        </w:rPr>
        <w:t xml:space="preserve"> : Leucine Isoleucine Phénylalanine Tryptophane Thréonine Lysine Valine Méthionine Histidine </w:t>
      </w:r>
      <w:r w:rsidR="00614F18">
        <w:rPr>
          <w:rFonts w:ascii="Arial" w:hAnsi="Arial" w:cs="Arial"/>
          <w:color w:val="000000" w:themeColor="text1"/>
          <w:sz w:val="20"/>
          <w:szCs w:val="20"/>
          <w:lang w:eastAsia="fr-FR"/>
        </w:rPr>
        <w:t xml:space="preserve">(Le </w:t>
      </w:r>
      <w:r w:rsidR="005976A9">
        <w:rPr>
          <w:rFonts w:ascii="Arial" w:hAnsi="Arial" w:cs="Arial"/>
          <w:color w:val="000000" w:themeColor="text1"/>
          <w:sz w:val="20"/>
          <w:szCs w:val="20"/>
          <w:lang w:eastAsia="fr-FR"/>
        </w:rPr>
        <w:t>T</w:t>
      </w:r>
      <w:r w:rsidR="00614F18">
        <w:rPr>
          <w:rFonts w:ascii="Arial" w:hAnsi="Arial" w:cs="Arial"/>
          <w:color w:val="000000" w:themeColor="text1"/>
          <w:sz w:val="20"/>
          <w:szCs w:val="20"/>
          <w:lang w:eastAsia="fr-FR"/>
        </w:rPr>
        <w:t xml:space="preserve">rès </w:t>
      </w:r>
      <w:r w:rsidR="005976A9">
        <w:rPr>
          <w:rFonts w:ascii="Arial" w:hAnsi="Arial" w:cs="Arial"/>
          <w:color w:val="000000" w:themeColor="text1"/>
          <w:sz w:val="20"/>
          <w:szCs w:val="20"/>
          <w:lang w:eastAsia="fr-FR"/>
        </w:rPr>
        <w:t>L</w:t>
      </w:r>
      <w:r w:rsidR="00614F18">
        <w:rPr>
          <w:rFonts w:ascii="Arial" w:hAnsi="Arial" w:cs="Arial"/>
          <w:color w:val="000000" w:themeColor="text1"/>
          <w:sz w:val="20"/>
          <w:szCs w:val="20"/>
          <w:lang w:eastAsia="fr-FR"/>
        </w:rPr>
        <w:t xml:space="preserve">yrique Tristan fait </w:t>
      </w:r>
      <w:r w:rsidR="005976A9">
        <w:rPr>
          <w:rFonts w:ascii="Arial" w:hAnsi="Arial" w:cs="Arial"/>
          <w:color w:val="000000" w:themeColor="text1"/>
          <w:sz w:val="20"/>
          <w:szCs w:val="20"/>
          <w:lang w:eastAsia="fr-FR"/>
        </w:rPr>
        <w:t>V</w:t>
      </w:r>
      <w:r w:rsidR="008B3980">
        <w:rPr>
          <w:rFonts w:ascii="Arial" w:hAnsi="Arial" w:cs="Arial"/>
          <w:color w:val="000000" w:themeColor="text1"/>
          <w:sz w:val="20"/>
          <w:szCs w:val="20"/>
          <w:lang w:eastAsia="fr-FR"/>
        </w:rPr>
        <w:t>achement</w:t>
      </w:r>
      <w:r w:rsidR="005976A9">
        <w:rPr>
          <w:rFonts w:ascii="Arial" w:hAnsi="Arial" w:cs="Arial"/>
          <w:color w:val="000000" w:themeColor="text1"/>
          <w:sz w:val="20"/>
          <w:szCs w:val="20"/>
          <w:lang w:eastAsia="fr-FR"/>
        </w:rPr>
        <w:t xml:space="preserve"> M</w:t>
      </w:r>
      <w:r w:rsidR="008B3980">
        <w:rPr>
          <w:rFonts w:ascii="Arial" w:hAnsi="Arial" w:cs="Arial"/>
          <w:color w:val="000000" w:themeColor="text1"/>
          <w:sz w:val="20"/>
          <w:szCs w:val="20"/>
          <w:lang w:eastAsia="fr-FR"/>
        </w:rPr>
        <w:t>éditer Iseult)</w:t>
      </w:r>
    </w:p>
    <w:p w14:paraId="74054D2E"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Acides aminés </w:t>
      </w:r>
      <w:r w:rsidRPr="00E678B5">
        <w:rPr>
          <w:rFonts w:ascii="Arial" w:hAnsi="Arial" w:cs="Arial"/>
          <w:b/>
          <w:bCs/>
          <w:color w:val="000000" w:themeColor="text1"/>
          <w:sz w:val="20"/>
          <w:szCs w:val="20"/>
          <w:lang w:eastAsia="fr-FR"/>
        </w:rPr>
        <w:t>non essentiels</w:t>
      </w:r>
      <w:r w:rsidRPr="00B15634">
        <w:rPr>
          <w:rFonts w:ascii="Arial" w:hAnsi="Arial" w:cs="Arial"/>
          <w:color w:val="000000" w:themeColor="text1"/>
          <w:sz w:val="20"/>
          <w:szCs w:val="20"/>
          <w:lang w:eastAsia="fr-FR"/>
        </w:rPr>
        <w:t xml:space="preserve"> : Alanine Glutamine Glutamate Aspartate Asparagine Cystéine Proline Glycine Arginine Tyrosine Sérine </w:t>
      </w:r>
    </w:p>
    <w:p w14:paraId="0A6EE36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Si une protéine alimentaire est de structure complexe, il faut dégrader cette protéine en ses unités constitutives (les acides aminés), pour reconstruire ultérieurement une protéine tout aussi complexe mais spécifique de l’espèce </w:t>
      </w:r>
    </w:p>
    <w:p w14:paraId="5B16023D"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Au niveau salivaire</w:t>
      </w:r>
      <w:r w:rsidRPr="00B15634">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sym w:font="Symbol" w:char="F0BB"/>
      </w:r>
      <w:r w:rsidRPr="00B15634">
        <w:rPr>
          <w:rFonts w:ascii="Arial" w:hAnsi="Arial" w:cs="Arial"/>
          <w:color w:val="000000" w:themeColor="text1"/>
          <w:sz w:val="20"/>
          <w:szCs w:val="20"/>
          <w:lang w:eastAsia="fr-FR"/>
        </w:rPr>
        <w:t xml:space="preserve"> 0 </w:t>
      </w:r>
    </w:p>
    <w:p w14:paraId="7660BD9E"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lastRenderedPageBreak/>
        <w:t>Au niveau de l’estomac</w:t>
      </w:r>
      <w:r w:rsidRPr="00B15634">
        <w:rPr>
          <w:rFonts w:ascii="Arial" w:hAnsi="Arial" w:cs="Arial"/>
          <w:color w:val="000000" w:themeColor="text1"/>
          <w:sz w:val="20"/>
          <w:szCs w:val="20"/>
          <w:lang w:eastAsia="fr-FR"/>
        </w:rPr>
        <w:t xml:space="preserve"> : </w:t>
      </w:r>
    </w:p>
    <w:p w14:paraId="78573FF8"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anchor distT="0" distB="0" distL="114300" distR="114300" simplePos="0" relativeHeight="251680768" behindDoc="1" locked="0" layoutInCell="1" allowOverlap="1" wp14:anchorId="3E7A1FF6" wp14:editId="6E28EE37">
            <wp:simplePos x="0" y="0"/>
            <wp:positionH relativeFrom="column">
              <wp:posOffset>4731149</wp:posOffset>
            </wp:positionH>
            <wp:positionV relativeFrom="paragraph">
              <wp:posOffset>0</wp:posOffset>
            </wp:positionV>
            <wp:extent cx="1932940" cy="714375"/>
            <wp:effectExtent l="0" t="0" r="0" b="0"/>
            <wp:wrapTight wrapText="bothSides">
              <wp:wrapPolygon edited="0">
                <wp:start x="0" y="0"/>
                <wp:lineTo x="0" y="21120"/>
                <wp:lineTo x="21430" y="21120"/>
                <wp:lineTo x="21430" y="0"/>
                <wp:lineTo x="0" y="0"/>
              </wp:wrapPolygon>
            </wp:wrapTight>
            <wp:docPr id="3334496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49615"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32940" cy="714375"/>
                    </a:xfrm>
                    <a:prstGeom prst="rect">
                      <a:avLst/>
                    </a:prstGeom>
                  </pic:spPr>
                </pic:pic>
              </a:graphicData>
            </a:graphic>
            <wp14:sizeRelH relativeFrom="page">
              <wp14:pctWidth>0</wp14:pctWidth>
            </wp14:sizeRelH>
            <wp14:sizeRelV relativeFrom="page">
              <wp14:pctHeight>0</wp14:pctHeight>
            </wp14:sizeRelV>
          </wp:anchor>
        </w:drawing>
      </w:r>
      <w:r w:rsidRPr="00B15634">
        <w:rPr>
          <w:rFonts w:ascii="Arial" w:hAnsi="Arial" w:cs="Arial"/>
          <w:color w:val="000000" w:themeColor="text1"/>
          <w:sz w:val="20"/>
          <w:szCs w:val="20"/>
          <w:lang w:eastAsia="fr-FR"/>
        </w:rPr>
        <w:t xml:space="preserve">digestion des protéines en milieu acide (H+ produit par les Ȼ pariétales) </w:t>
      </w:r>
    </w:p>
    <w:p w14:paraId="463E0AC0"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Production et libération de pepsinogène par les cellules principales </w:t>
      </w:r>
    </w:p>
    <w:p w14:paraId="552F32C1"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La pepsine transforme les protéines en peptones </w:t>
      </w:r>
    </w:p>
    <w:p w14:paraId="0EBAE923"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Libération dans la lumière de l’estomac </w:t>
      </w:r>
    </w:p>
    <w:p w14:paraId="338EA115"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1C67368"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Pepsine = endopeptidase – clive les protéines au niveau des AA aromatiques </w:t>
      </w:r>
    </w:p>
    <w:p w14:paraId="354608EA"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AD0D25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Au niveau de l’intestin</w:t>
      </w:r>
      <w:r w:rsidRPr="00B15634">
        <w:rPr>
          <w:rFonts w:ascii="Arial" w:hAnsi="Arial" w:cs="Arial"/>
          <w:color w:val="000000" w:themeColor="text1"/>
          <w:sz w:val="20"/>
          <w:szCs w:val="20"/>
          <w:lang w:eastAsia="fr-FR"/>
        </w:rPr>
        <w:t xml:space="preserve"> : </w:t>
      </w:r>
    </w:p>
    <w:p w14:paraId="1821986A"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Enzymes protéolytiques pancréatiques : Trypsine, chymotrypsines, carboxypeptidases, amoinopeptidases,...</w:t>
      </w:r>
      <w:r w:rsidRPr="00B15634">
        <w:rPr>
          <w:rFonts w:ascii="Arial" w:hAnsi="Arial" w:cs="Arial"/>
          <w:color w:val="000000" w:themeColor="text1"/>
          <w:sz w:val="20"/>
          <w:szCs w:val="20"/>
          <w:lang w:eastAsia="fr-FR"/>
        </w:rPr>
        <w:br/>
        <w:t xml:space="preserve">Sous forme de granules de zymogènes (= proenzymes inactives) dans les Ȼ acineuses puis activées dans la lumière de l’intestin grêle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évite l’autodigestion </w:t>
      </w:r>
    </w:p>
    <w:p w14:paraId="5BE0E150"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Enz de la bordure en brosse Entéropeptidase (= entérokinase) active la trypsine qui active d’autres enz. Pancréatiques </w:t>
      </w:r>
    </w:p>
    <w:p w14:paraId="5D30ACDA"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F640B87"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inline distT="0" distB="0" distL="0" distR="0" wp14:anchorId="3347A99E" wp14:editId="5F42F2FB">
            <wp:extent cx="3303477" cy="2153892"/>
            <wp:effectExtent l="0" t="0" r="0" b="5715"/>
            <wp:docPr id="18528352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835245" name=""/>
                    <pic:cNvPicPr/>
                  </pic:nvPicPr>
                  <pic:blipFill>
                    <a:blip r:embed="rId42"/>
                    <a:stretch>
                      <a:fillRect/>
                    </a:stretch>
                  </pic:blipFill>
                  <pic:spPr>
                    <a:xfrm>
                      <a:off x="0" y="0"/>
                      <a:ext cx="3313098" cy="2160165"/>
                    </a:xfrm>
                    <a:prstGeom prst="rect">
                      <a:avLst/>
                    </a:prstGeom>
                  </pic:spPr>
                </pic:pic>
              </a:graphicData>
            </a:graphic>
          </wp:inline>
        </w:drawing>
      </w:r>
    </w:p>
    <w:p w14:paraId="2C1AF5D6" w14:textId="77777777" w:rsidR="00ED4694" w:rsidRPr="00B15634" w:rsidRDefault="00ED4694" w:rsidP="00ED4694">
      <w:pPr>
        <w:pStyle w:val="Sansinterligne"/>
        <w:numPr>
          <w:ilvl w:val="0"/>
          <w:numId w:val="93"/>
        </w:numPr>
        <w:jc w:val="both"/>
        <w:rPr>
          <w:rFonts w:ascii="Arial" w:hAnsi="Arial" w:cs="Arial"/>
          <w:color w:val="ED7D31" w:themeColor="accent2"/>
          <w:sz w:val="20"/>
          <w:szCs w:val="20"/>
          <w:u w:val="single"/>
          <w:lang w:eastAsia="fr-FR"/>
        </w:rPr>
      </w:pPr>
      <w:r w:rsidRPr="00B15634">
        <w:rPr>
          <w:rFonts w:ascii="Arial" w:hAnsi="Arial" w:cs="Arial"/>
          <w:color w:val="ED7D31" w:themeColor="accent2"/>
          <w:sz w:val="20"/>
          <w:szCs w:val="20"/>
          <w:u w:val="single"/>
          <w:lang w:eastAsia="fr-FR"/>
        </w:rPr>
        <w:t xml:space="preserve">Composante enzymatique du suc pancréatique : </w:t>
      </w:r>
    </w:p>
    <w:p w14:paraId="2155EAA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8172529"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Enzymes protéolytiques (non exhaustif) </w:t>
      </w: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643"/>
        <w:gridCol w:w="1976"/>
        <w:gridCol w:w="1487"/>
        <w:gridCol w:w="4060"/>
      </w:tblGrid>
      <w:tr w:rsidR="00ED4694" w:rsidRPr="00B15634" w14:paraId="6609FEFB" w14:textId="77777777" w:rsidTr="00177C07">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E7E6E6" w:themeFill="background2"/>
            <w:vAlign w:val="center"/>
            <w:hideMark/>
          </w:tcPr>
          <w:p w14:paraId="2AF98DB5" w14:textId="77777777" w:rsidR="00ED4694" w:rsidRPr="00B15634" w:rsidRDefault="00ED4694" w:rsidP="00177C07">
            <w:pPr>
              <w:pStyle w:val="Sansinterligne"/>
              <w:jc w:val="center"/>
              <w:rPr>
                <w:rFonts w:ascii="Arial" w:hAnsi="Arial" w:cs="Arial"/>
                <w:b/>
                <w:bCs/>
                <w:color w:val="000000" w:themeColor="text1"/>
                <w:sz w:val="20"/>
                <w:szCs w:val="20"/>
                <w:lang w:eastAsia="fr-FR"/>
              </w:rPr>
            </w:pPr>
            <w:r w:rsidRPr="00B15634">
              <w:rPr>
                <w:rFonts w:ascii="Arial" w:hAnsi="Arial" w:cs="Arial"/>
                <w:b/>
                <w:bCs/>
                <w:color w:val="000000" w:themeColor="text1"/>
                <w:sz w:val="20"/>
                <w:szCs w:val="20"/>
                <w:lang w:eastAsia="fr-FR"/>
              </w:rPr>
              <w:t>Enzyme</w:t>
            </w:r>
          </w:p>
        </w:tc>
        <w:tc>
          <w:tcPr>
            <w:tcW w:w="0" w:type="auto"/>
            <w:tcBorders>
              <w:top w:val="single" w:sz="8" w:space="0" w:color="000000"/>
              <w:left w:val="single" w:sz="8" w:space="0" w:color="000000"/>
              <w:bottom w:val="single" w:sz="8" w:space="0" w:color="000000"/>
              <w:right w:val="single" w:sz="8" w:space="0" w:color="000000"/>
            </w:tcBorders>
            <w:shd w:val="clear" w:color="auto" w:fill="E7E6E6" w:themeFill="background2"/>
            <w:vAlign w:val="center"/>
            <w:hideMark/>
          </w:tcPr>
          <w:p w14:paraId="42BE1D50" w14:textId="77777777" w:rsidR="00ED4694" w:rsidRPr="00B15634" w:rsidRDefault="00ED4694" w:rsidP="00177C07">
            <w:pPr>
              <w:pStyle w:val="Sansinterligne"/>
              <w:jc w:val="center"/>
              <w:rPr>
                <w:rFonts w:ascii="Arial" w:hAnsi="Arial" w:cs="Arial"/>
                <w:b/>
                <w:bCs/>
                <w:color w:val="000000" w:themeColor="text1"/>
                <w:sz w:val="20"/>
                <w:szCs w:val="20"/>
                <w:lang w:eastAsia="fr-FR"/>
              </w:rPr>
            </w:pPr>
            <w:r w:rsidRPr="00B15634">
              <w:rPr>
                <w:rFonts w:ascii="Arial" w:hAnsi="Arial" w:cs="Arial"/>
                <w:b/>
                <w:bCs/>
                <w:color w:val="000000" w:themeColor="text1"/>
                <w:sz w:val="20"/>
                <w:szCs w:val="20"/>
                <w:lang w:eastAsia="fr-FR"/>
              </w:rPr>
              <w:t>Zymogène</w:t>
            </w:r>
          </w:p>
        </w:tc>
        <w:tc>
          <w:tcPr>
            <w:tcW w:w="0" w:type="auto"/>
            <w:tcBorders>
              <w:top w:val="single" w:sz="8" w:space="0" w:color="000000"/>
              <w:left w:val="single" w:sz="8" w:space="0" w:color="000000"/>
              <w:bottom w:val="single" w:sz="8" w:space="0" w:color="000000"/>
              <w:right w:val="single" w:sz="8" w:space="0" w:color="000000"/>
            </w:tcBorders>
            <w:shd w:val="clear" w:color="auto" w:fill="E7E6E6" w:themeFill="background2"/>
            <w:vAlign w:val="center"/>
            <w:hideMark/>
          </w:tcPr>
          <w:p w14:paraId="1277679F" w14:textId="77777777" w:rsidR="00ED4694" w:rsidRPr="00B15634" w:rsidRDefault="00ED4694" w:rsidP="00177C07">
            <w:pPr>
              <w:pStyle w:val="Sansinterligne"/>
              <w:jc w:val="center"/>
              <w:rPr>
                <w:rFonts w:ascii="Arial" w:hAnsi="Arial" w:cs="Arial"/>
                <w:b/>
                <w:bCs/>
                <w:color w:val="000000" w:themeColor="text1"/>
                <w:sz w:val="20"/>
                <w:szCs w:val="20"/>
                <w:lang w:eastAsia="fr-FR"/>
              </w:rPr>
            </w:pPr>
            <w:r w:rsidRPr="00B15634">
              <w:rPr>
                <w:rFonts w:ascii="Arial" w:hAnsi="Arial" w:cs="Arial"/>
                <w:b/>
                <w:bCs/>
                <w:color w:val="000000" w:themeColor="text1"/>
                <w:sz w:val="20"/>
                <w:szCs w:val="20"/>
                <w:lang w:eastAsia="fr-FR"/>
              </w:rPr>
              <w:t>Activateur</w:t>
            </w:r>
          </w:p>
        </w:tc>
        <w:tc>
          <w:tcPr>
            <w:tcW w:w="0" w:type="auto"/>
            <w:tcBorders>
              <w:top w:val="single" w:sz="8" w:space="0" w:color="000000"/>
              <w:left w:val="single" w:sz="8" w:space="0" w:color="000000"/>
              <w:bottom w:val="single" w:sz="8" w:space="0" w:color="000000"/>
              <w:right w:val="single" w:sz="8" w:space="0" w:color="000000"/>
            </w:tcBorders>
            <w:shd w:val="clear" w:color="auto" w:fill="E7E6E6" w:themeFill="background2"/>
            <w:vAlign w:val="center"/>
            <w:hideMark/>
          </w:tcPr>
          <w:p w14:paraId="09CF0546" w14:textId="77777777" w:rsidR="00ED4694" w:rsidRPr="00B15634" w:rsidRDefault="00ED4694" w:rsidP="00177C07">
            <w:pPr>
              <w:pStyle w:val="Sansinterligne"/>
              <w:jc w:val="center"/>
              <w:rPr>
                <w:rFonts w:ascii="Arial" w:hAnsi="Arial" w:cs="Arial"/>
                <w:b/>
                <w:bCs/>
                <w:color w:val="000000" w:themeColor="text1"/>
                <w:sz w:val="20"/>
                <w:szCs w:val="20"/>
                <w:lang w:eastAsia="fr-FR"/>
              </w:rPr>
            </w:pPr>
            <w:r w:rsidRPr="00B15634">
              <w:rPr>
                <w:rFonts w:ascii="Arial" w:hAnsi="Arial" w:cs="Arial"/>
                <w:b/>
                <w:bCs/>
                <w:color w:val="000000" w:themeColor="text1"/>
                <w:sz w:val="20"/>
                <w:szCs w:val="20"/>
                <w:lang w:eastAsia="fr-FR"/>
              </w:rPr>
              <w:t>Action principale</w:t>
            </w:r>
          </w:p>
        </w:tc>
      </w:tr>
      <w:tr w:rsidR="00ED4694" w:rsidRPr="00B15634" w14:paraId="5A24C74E" w14:textId="77777777" w:rsidTr="00177C07">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2887D800"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Trypsine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7E76324A"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Trypsinogène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17744D3A"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Entéropeptidase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63C365C9"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Coupe les liaisons peptidiques internes</w:t>
            </w:r>
          </w:p>
        </w:tc>
      </w:tr>
      <w:tr w:rsidR="00ED4694" w:rsidRPr="00B15634" w14:paraId="32925BC8" w14:textId="77777777" w:rsidTr="00177C07">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4FFEDBC5"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Chymotrypsine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7F41E5A3"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Chymotrypsinogène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1E138C96"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Trypsine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6F051F65"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Coupe les liaisons peptidiques internes</w:t>
            </w:r>
          </w:p>
        </w:tc>
      </w:tr>
      <w:tr w:rsidR="00ED4694" w:rsidRPr="00B15634" w14:paraId="6A740D82" w14:textId="77777777" w:rsidTr="00177C07">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33D7C553"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Élastase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77B9C76F"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Proélastase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2D24D5B3"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Trypsine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79270EEA"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Coupe les liaisons peptidiques internes</w:t>
            </w:r>
          </w:p>
        </w:tc>
      </w:tr>
      <w:tr w:rsidR="00ED4694" w:rsidRPr="00B15634" w14:paraId="1518114E" w14:textId="77777777" w:rsidTr="00177C07">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3720A7"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Carboxypeptidase</w:t>
            </w:r>
          </w:p>
        </w:tc>
        <w:tc>
          <w:tcPr>
            <w:tcW w:w="0" w:type="auto"/>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EC53C7"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Procarboxy-peptidase</w:t>
            </w:r>
          </w:p>
        </w:tc>
        <w:tc>
          <w:tcPr>
            <w:tcW w:w="0" w:type="auto"/>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56BA1C"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Trypsine</w:t>
            </w:r>
          </w:p>
        </w:tc>
        <w:tc>
          <w:tcPr>
            <w:tcW w:w="0" w:type="auto"/>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2E87AE"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Attaque les peptides à l'extrémité C-terminale</w:t>
            </w:r>
          </w:p>
        </w:tc>
      </w:tr>
    </w:tbl>
    <w:p w14:paraId="575C90D0"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52C4D3D" w14:textId="77777777" w:rsidR="00ED4694" w:rsidRPr="00B15634" w:rsidRDefault="00ED4694" w:rsidP="00ED4694">
      <w:pPr>
        <w:pStyle w:val="Sansinterligne"/>
        <w:numPr>
          <w:ilvl w:val="0"/>
          <w:numId w:val="93"/>
        </w:numPr>
        <w:jc w:val="both"/>
        <w:rPr>
          <w:rFonts w:ascii="Arial" w:hAnsi="Arial" w:cs="Arial"/>
          <w:color w:val="ED7D31" w:themeColor="accent2"/>
          <w:sz w:val="20"/>
          <w:szCs w:val="20"/>
          <w:u w:val="single"/>
          <w:lang w:eastAsia="fr-FR"/>
        </w:rPr>
      </w:pPr>
      <w:r w:rsidRPr="00B15634">
        <w:rPr>
          <w:rFonts w:ascii="Arial" w:hAnsi="Arial" w:cs="Arial"/>
          <w:noProof/>
          <w:color w:val="000000" w:themeColor="text1"/>
          <w:sz w:val="20"/>
          <w:szCs w:val="20"/>
          <w:lang w:eastAsia="fr-FR"/>
        </w:rPr>
        <w:drawing>
          <wp:anchor distT="0" distB="0" distL="114300" distR="114300" simplePos="0" relativeHeight="251681792" behindDoc="1" locked="0" layoutInCell="1" allowOverlap="1" wp14:anchorId="26706632" wp14:editId="410D4BEE">
            <wp:simplePos x="0" y="0"/>
            <wp:positionH relativeFrom="column">
              <wp:posOffset>4507230</wp:posOffset>
            </wp:positionH>
            <wp:positionV relativeFrom="paragraph">
              <wp:posOffset>131999</wp:posOffset>
            </wp:positionV>
            <wp:extent cx="2160905" cy="1377950"/>
            <wp:effectExtent l="0" t="0" r="0" b="6350"/>
            <wp:wrapTight wrapText="bothSides">
              <wp:wrapPolygon edited="0">
                <wp:start x="0" y="0"/>
                <wp:lineTo x="0" y="21500"/>
                <wp:lineTo x="21454" y="21500"/>
                <wp:lineTo x="21454" y="0"/>
                <wp:lineTo x="0" y="0"/>
              </wp:wrapPolygon>
            </wp:wrapTight>
            <wp:docPr id="2136109395" name="Image 121" descr="page36image552398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age36image55239870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60905" cy="1377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color w:val="ED7D31" w:themeColor="accent2"/>
          <w:sz w:val="20"/>
          <w:szCs w:val="20"/>
          <w:u w:val="single"/>
          <w:lang w:eastAsia="fr-FR"/>
        </w:rPr>
        <w:t>Absorption des produits de la digestion des protéines </w:t>
      </w:r>
    </w:p>
    <w:p w14:paraId="5F9BD02F"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78E8FA9"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Absorption des peptides et AA : Produit de la digestion des protéines : </w:t>
      </w:r>
    </w:p>
    <w:p w14:paraId="332A388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Pour les AA :</w:t>
      </w:r>
    </w:p>
    <w:p w14:paraId="75C6C5A4"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Cotransports liés au Na+ secondairement actif</w:t>
      </w:r>
    </w:p>
    <w:p w14:paraId="65990C6D"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De nombreux types de transporteurs / classes d’AA </w:t>
      </w:r>
    </w:p>
    <w:p w14:paraId="3B7EA882"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Uniport en basolatéral </w:t>
      </w:r>
    </w:p>
    <w:p w14:paraId="0513672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Pour les petits peptides (di et tripeptides) : Cotransport liés au H+ </w:t>
      </w:r>
    </w:p>
    <w:p w14:paraId="546A356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Containers/UBF8T346G9.ms/WebArchiveCopyPasteTempFiles/com.microsoft.Word/page36image552398704"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color w:val="000000" w:themeColor="text1"/>
          <w:sz w:val="20"/>
          <w:szCs w:val="20"/>
          <w:lang w:eastAsia="fr-FR"/>
        </w:rPr>
        <w:fldChar w:fldCharType="end"/>
      </w:r>
    </w:p>
    <w:p w14:paraId="098F037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La quantité d‘AA absorbée par l'intestin grêle &gt;&gt; aux apports (70 à 100g/ jour) </w:t>
      </w:r>
    </w:p>
    <w:p w14:paraId="4E84A04E"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L’ensemble des protéines « sécrétées » par le tube digestif est sous forme d'enzymes, de mucus, de débris cellulaires, ...Ces protéines « sécrétées » représentent environ 50 g et total quotidien de </w:t>
      </w:r>
      <w:r w:rsidRPr="00B15634">
        <w:rPr>
          <w:rFonts w:ascii="Arial" w:hAnsi="Arial" w:cs="Arial"/>
          <w:color w:val="000000" w:themeColor="text1"/>
          <w:sz w:val="20"/>
          <w:szCs w:val="20"/>
          <w:lang w:eastAsia="fr-FR"/>
        </w:rPr>
        <w:sym w:font="Symbol" w:char="F0BB"/>
      </w:r>
      <w:r w:rsidRPr="00B15634">
        <w:rPr>
          <w:rFonts w:ascii="Arial" w:hAnsi="Arial" w:cs="Arial"/>
          <w:color w:val="000000" w:themeColor="text1"/>
          <w:sz w:val="20"/>
          <w:szCs w:val="20"/>
          <w:lang w:eastAsia="fr-FR"/>
        </w:rPr>
        <w:t xml:space="preserve"> 150 g d'acides aminés qui vont arriver dans la veine porte. </w:t>
      </w:r>
    </w:p>
    <w:p w14:paraId="5106B36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91CE21E" w14:textId="77777777" w:rsidR="00ED4694" w:rsidRPr="00B15634" w:rsidRDefault="00ED4694" w:rsidP="00ED4694">
      <w:pPr>
        <w:pStyle w:val="Sansinterligne"/>
        <w:numPr>
          <w:ilvl w:val="0"/>
          <w:numId w:val="88"/>
        </w:numPr>
        <w:jc w:val="both"/>
        <w:rPr>
          <w:rFonts w:ascii="Arial" w:hAnsi="Arial" w:cs="Arial"/>
          <w:b/>
          <w:bCs/>
          <w:color w:val="00B0F0"/>
          <w:sz w:val="20"/>
          <w:szCs w:val="20"/>
          <w:u w:val="single"/>
          <w:lang w:eastAsia="fr-FR"/>
        </w:rPr>
      </w:pPr>
      <w:r w:rsidRPr="00B15634">
        <w:rPr>
          <w:rFonts w:ascii="Arial" w:hAnsi="Arial" w:cs="Arial"/>
          <w:b/>
          <w:bCs/>
          <w:color w:val="00B0F0"/>
          <w:sz w:val="20"/>
          <w:szCs w:val="20"/>
          <w:u w:val="single"/>
          <w:lang w:eastAsia="fr-FR"/>
        </w:rPr>
        <w:t xml:space="preserve">Absorption des lipides </w:t>
      </w:r>
    </w:p>
    <w:p w14:paraId="341B43C2"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5033F6C" w14:textId="77777777" w:rsidR="00ED4694" w:rsidRPr="00B15634" w:rsidRDefault="00ED4694" w:rsidP="00ED4694">
      <w:pPr>
        <w:pStyle w:val="Sansinterligne"/>
        <w:numPr>
          <w:ilvl w:val="0"/>
          <w:numId w:val="94"/>
        </w:numPr>
        <w:jc w:val="both"/>
        <w:rPr>
          <w:rFonts w:ascii="Arial" w:hAnsi="Arial" w:cs="Arial"/>
          <w:color w:val="ED7D31" w:themeColor="accent2"/>
          <w:sz w:val="20"/>
          <w:szCs w:val="20"/>
          <w:u w:val="single"/>
          <w:lang w:eastAsia="fr-FR"/>
        </w:rPr>
      </w:pPr>
      <w:r w:rsidRPr="00B15634">
        <w:rPr>
          <w:rFonts w:ascii="Arial" w:hAnsi="Arial" w:cs="Arial"/>
          <w:color w:val="ED7D31" w:themeColor="accent2"/>
          <w:sz w:val="20"/>
          <w:szCs w:val="20"/>
          <w:u w:val="single"/>
          <w:lang w:eastAsia="fr-FR"/>
        </w:rPr>
        <w:t>Composante enzymatique du suc pancréatique </w:t>
      </w:r>
    </w:p>
    <w:p w14:paraId="38A4D2D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Enzymes pancréatiques : </w:t>
      </w: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844"/>
        <w:gridCol w:w="1343"/>
        <w:gridCol w:w="920"/>
        <w:gridCol w:w="6339"/>
      </w:tblGrid>
      <w:tr w:rsidR="00ED4694" w:rsidRPr="00B15634" w14:paraId="64B4631F" w14:textId="77777777" w:rsidTr="00177C07">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E7E6E6" w:themeFill="background2"/>
            <w:vAlign w:val="center"/>
            <w:hideMark/>
          </w:tcPr>
          <w:p w14:paraId="2638B229"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Enzyme</w:t>
            </w:r>
          </w:p>
        </w:tc>
        <w:tc>
          <w:tcPr>
            <w:tcW w:w="0" w:type="auto"/>
            <w:tcBorders>
              <w:top w:val="single" w:sz="8" w:space="0" w:color="000000"/>
              <w:left w:val="single" w:sz="8" w:space="0" w:color="000000"/>
              <w:bottom w:val="single" w:sz="8" w:space="0" w:color="000000"/>
              <w:right w:val="single" w:sz="8" w:space="0" w:color="000000"/>
            </w:tcBorders>
            <w:shd w:val="clear" w:color="auto" w:fill="E7E6E6" w:themeFill="background2"/>
            <w:vAlign w:val="center"/>
            <w:hideMark/>
          </w:tcPr>
          <w:p w14:paraId="681789A3"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Zymogène</w:t>
            </w:r>
          </w:p>
        </w:tc>
        <w:tc>
          <w:tcPr>
            <w:tcW w:w="0" w:type="auto"/>
            <w:tcBorders>
              <w:top w:val="single" w:sz="8" w:space="0" w:color="000000"/>
              <w:left w:val="single" w:sz="8" w:space="0" w:color="000000"/>
              <w:bottom w:val="single" w:sz="8" w:space="0" w:color="000000"/>
              <w:right w:val="single" w:sz="8" w:space="0" w:color="000000"/>
            </w:tcBorders>
            <w:shd w:val="clear" w:color="auto" w:fill="E7E6E6" w:themeFill="background2"/>
            <w:vAlign w:val="center"/>
            <w:hideMark/>
          </w:tcPr>
          <w:p w14:paraId="6A081BA3"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Activateur</w:t>
            </w:r>
          </w:p>
        </w:tc>
        <w:tc>
          <w:tcPr>
            <w:tcW w:w="0" w:type="auto"/>
            <w:tcBorders>
              <w:top w:val="single" w:sz="8" w:space="0" w:color="000000"/>
              <w:left w:val="single" w:sz="8" w:space="0" w:color="000000"/>
              <w:bottom w:val="single" w:sz="8" w:space="0" w:color="000000"/>
              <w:right w:val="single" w:sz="8" w:space="0" w:color="000000"/>
            </w:tcBorders>
            <w:shd w:val="clear" w:color="auto" w:fill="E7E6E6" w:themeFill="background2"/>
            <w:vAlign w:val="center"/>
            <w:hideMark/>
          </w:tcPr>
          <w:p w14:paraId="54192BDB"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Action principale</w:t>
            </w:r>
          </w:p>
        </w:tc>
      </w:tr>
      <w:tr w:rsidR="00ED4694" w:rsidRPr="00B15634" w14:paraId="38546674" w14:textId="77777777" w:rsidTr="00177C07">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774B920C"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Lipase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292EC4E1"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0243C296"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7C8C959B"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Clive les glycérides libérant des acides gras et du glycérol</w:t>
            </w:r>
          </w:p>
        </w:tc>
      </w:tr>
      <w:tr w:rsidR="00ED4694" w:rsidRPr="00B15634" w14:paraId="29E74FE8" w14:textId="77777777" w:rsidTr="00177C07">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18EB4663"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Colipase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14F7FA11"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Procolipase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08411733"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Trypsine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4423BBC5"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Se lie aux micelles pour libérer la lipase de l'inhibition par les sels biliaires</w:t>
            </w:r>
          </w:p>
        </w:tc>
      </w:tr>
      <w:tr w:rsidR="00ED4694" w:rsidRPr="00B15634" w14:paraId="60C1256A" w14:textId="77777777" w:rsidTr="00177C07">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29F13ADE"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Phospholipase A </w:t>
            </w:r>
            <w:r w:rsidRPr="00B15634">
              <w:rPr>
                <w:rFonts w:ascii="Arial" w:hAnsi="Arial" w:cs="Arial"/>
                <w:color w:val="000000" w:themeColor="text1"/>
                <w:position w:val="-6"/>
                <w:sz w:val="20"/>
                <w:szCs w:val="20"/>
                <w:lang w:eastAsia="fr-FR"/>
              </w:rPr>
              <w:t>2</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266C2A58"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Phospholipase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1EA147B0"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Trypsine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2C47FCFC"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Coupe les acides gras des phospholipides</w:t>
            </w:r>
          </w:p>
        </w:tc>
      </w:tr>
      <w:tr w:rsidR="00ED4694" w:rsidRPr="00B15634" w14:paraId="11B21F9E" w14:textId="77777777" w:rsidTr="00177C07">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6CC5337D"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Cholestérol estérase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64553666"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3414C7CA"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Trypsine</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1C4156F8" w14:textId="77777777" w:rsidR="00ED4694" w:rsidRPr="00B15634" w:rsidRDefault="00ED4694" w:rsidP="00177C07">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Libère du cholestérol estérifié</w:t>
            </w:r>
          </w:p>
        </w:tc>
      </w:tr>
    </w:tbl>
    <w:p w14:paraId="7973BAB9" w14:textId="77777777" w:rsidR="00ED4694" w:rsidRPr="00B15634" w:rsidRDefault="00ED4694" w:rsidP="00ED4694">
      <w:pPr>
        <w:pStyle w:val="Sansinterligne"/>
        <w:numPr>
          <w:ilvl w:val="0"/>
          <w:numId w:val="94"/>
        </w:numPr>
        <w:jc w:val="both"/>
        <w:rPr>
          <w:rFonts w:ascii="Arial" w:hAnsi="Arial" w:cs="Arial"/>
          <w:color w:val="ED7D31" w:themeColor="accent2"/>
          <w:sz w:val="20"/>
          <w:szCs w:val="20"/>
          <w:u w:val="single"/>
          <w:lang w:eastAsia="fr-FR"/>
        </w:rPr>
      </w:pPr>
      <w:r w:rsidRPr="00B15634">
        <w:rPr>
          <w:rFonts w:ascii="Arial" w:hAnsi="Arial" w:cs="Arial"/>
          <w:color w:val="ED7D31" w:themeColor="accent2"/>
          <w:sz w:val="20"/>
          <w:szCs w:val="20"/>
          <w:u w:val="single"/>
          <w:lang w:eastAsia="fr-FR"/>
        </w:rPr>
        <w:lastRenderedPageBreak/>
        <w:t xml:space="preserve">Dégradation des triglycérides </w:t>
      </w:r>
    </w:p>
    <w:p w14:paraId="67CF529A"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Containers/UBF8T346G9.ms/WebArchiveCopyPasteTempFiles/com.microsoft.Word/page40image646525184"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noProof/>
          <w:color w:val="000000" w:themeColor="text1"/>
          <w:sz w:val="20"/>
          <w:szCs w:val="20"/>
          <w:lang w:eastAsia="fr-FR"/>
        </w:rPr>
        <w:drawing>
          <wp:anchor distT="0" distB="0" distL="114300" distR="114300" simplePos="0" relativeHeight="251682816" behindDoc="1" locked="0" layoutInCell="1" allowOverlap="1" wp14:anchorId="3626B30B" wp14:editId="33E5158D">
            <wp:simplePos x="0" y="0"/>
            <wp:positionH relativeFrom="column">
              <wp:posOffset>6350</wp:posOffset>
            </wp:positionH>
            <wp:positionV relativeFrom="paragraph">
              <wp:posOffset>6350</wp:posOffset>
            </wp:positionV>
            <wp:extent cx="2927350" cy="3180715"/>
            <wp:effectExtent l="0" t="0" r="6350" b="0"/>
            <wp:wrapTight wrapText="bothSides">
              <wp:wrapPolygon edited="0">
                <wp:start x="0" y="0"/>
                <wp:lineTo x="0" y="21475"/>
                <wp:lineTo x="21553" y="21475"/>
                <wp:lineTo x="21553" y="0"/>
                <wp:lineTo x="0" y="0"/>
              </wp:wrapPolygon>
            </wp:wrapTight>
            <wp:docPr id="253176117" name="Image 114" descr="page40image64652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age40image64652518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27350" cy="3180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color w:val="000000" w:themeColor="text1"/>
          <w:sz w:val="20"/>
          <w:szCs w:val="20"/>
          <w:lang w:eastAsia="fr-FR"/>
        </w:rPr>
        <w:fldChar w:fldCharType="end"/>
      </w:r>
    </w:p>
    <w:p w14:paraId="17A0C07B"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D04DCB1"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A noter : Orlistat est un inhibiteur de la lipase</w:t>
      </w:r>
      <w:r w:rsidRPr="00B15634">
        <w:rPr>
          <w:rFonts w:ascii="Arial" w:hAnsi="Arial" w:cs="Arial"/>
          <w:color w:val="000000" w:themeColor="text1"/>
          <w:sz w:val="20"/>
          <w:szCs w:val="20"/>
          <w:lang w:eastAsia="fr-FR"/>
        </w:rPr>
        <w:br/>
        <w:t xml:space="preserve">- diminution de la digestion des graisses </w:t>
      </w:r>
    </w:p>
    <w:p w14:paraId="0E933A03"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utilisé pour la perte de poids </w:t>
      </w:r>
    </w:p>
    <w:p w14:paraId="4125320C"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selles grasses si alimentation grasse </w:t>
      </w:r>
    </w:p>
    <w:p w14:paraId="4AFDCF99" w14:textId="77777777" w:rsidR="00ED4694" w:rsidRPr="00B15634" w:rsidRDefault="00ED4694" w:rsidP="00ED4694">
      <w:pPr>
        <w:pStyle w:val="Sansinterligne"/>
        <w:ind w:left="720"/>
        <w:jc w:val="both"/>
        <w:rPr>
          <w:rFonts w:ascii="Arial" w:hAnsi="Arial" w:cs="Arial"/>
          <w:color w:val="000000" w:themeColor="text1"/>
          <w:sz w:val="20"/>
          <w:szCs w:val="20"/>
          <w:lang w:eastAsia="fr-FR"/>
        </w:rPr>
      </w:pPr>
    </w:p>
    <w:p w14:paraId="0612073D" w14:textId="77777777" w:rsidR="00ED4694" w:rsidRPr="00B15634" w:rsidRDefault="00ED4694" w:rsidP="00ED4694">
      <w:pPr>
        <w:pStyle w:val="Sansinterligne"/>
        <w:ind w:left="720"/>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Les acides gras essentiels sont :</w:t>
      </w:r>
    </w:p>
    <w:p w14:paraId="7CAC5CCA" w14:textId="77777777" w:rsidR="00ED4694" w:rsidRPr="00B15634" w:rsidRDefault="00ED4694" w:rsidP="00ED4694">
      <w:pPr>
        <w:pStyle w:val="Sansinterligne"/>
        <w:ind w:left="720"/>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L'acide linoléique, un acide gras oméga-6 (n-6) </w:t>
      </w:r>
    </w:p>
    <w:p w14:paraId="7B70A2F9"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L'acide linolénique, un acide gras oméga-3 (n-3) </w:t>
      </w:r>
    </w:p>
    <w:p w14:paraId="2B291262"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D'autres acides oméga-6 (p. ex., l'acide arachidonique) et d'autres acides gras oméga-3 (p. ex., l'acide eicosapentaénoïque, l'acide docosahéxaénoïque) sont requis par l'organisme mais peuvent être synthétisés à partir d'acides gras essentiels. </w:t>
      </w:r>
    </w:p>
    <w:p w14:paraId="61B3110B"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Acides gras essentiels nécessaires à la formation de plusieurs eicosanoïdes (lipides biologiquement actifs), dont les prostaglandines, les thromboxanes, les prostacyclines, et les leucotriènes. </w:t>
      </w:r>
    </w:p>
    <w:p w14:paraId="2DA1ABDD"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Les acides gras oméga-3 semblent diminuer le risque de coronaropathie. </w:t>
      </w:r>
    </w:p>
    <w:p w14:paraId="2E4B011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E75DE52"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ADEB924" w14:textId="77777777" w:rsidR="00ED4694" w:rsidRPr="00B15634" w:rsidRDefault="00ED4694" w:rsidP="00ED4694">
      <w:pPr>
        <w:pStyle w:val="Sansinterligne"/>
        <w:numPr>
          <w:ilvl w:val="0"/>
          <w:numId w:val="94"/>
        </w:numPr>
        <w:jc w:val="both"/>
        <w:rPr>
          <w:rFonts w:ascii="Arial" w:hAnsi="Arial" w:cs="Arial"/>
          <w:color w:val="ED7D31" w:themeColor="accent2"/>
          <w:sz w:val="20"/>
          <w:szCs w:val="20"/>
          <w:u w:val="single"/>
          <w:lang w:eastAsia="fr-FR"/>
        </w:rPr>
      </w:pPr>
      <w:r w:rsidRPr="00B15634">
        <w:rPr>
          <w:rFonts w:ascii="Arial" w:hAnsi="Arial" w:cs="Arial"/>
          <w:color w:val="ED7D31" w:themeColor="accent2"/>
          <w:sz w:val="20"/>
          <w:szCs w:val="20"/>
          <w:u w:val="single"/>
          <w:lang w:eastAsia="fr-FR"/>
        </w:rPr>
        <w:t xml:space="preserve">Absorption des produits de la digestion </w:t>
      </w:r>
    </w:p>
    <w:p w14:paraId="2D71939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938B956"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Absorption des graisses : Produits de digestion des graisses : Cholesterol, acides gras (AG) libres, monoglycérides Principalement dans le jéjunum.</w:t>
      </w:r>
    </w:p>
    <w:p w14:paraId="102B072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anchor distT="0" distB="0" distL="114300" distR="114300" simplePos="0" relativeHeight="251683840" behindDoc="1" locked="0" layoutInCell="1" allowOverlap="1" wp14:anchorId="3636FB0F" wp14:editId="48099D51">
            <wp:simplePos x="0" y="0"/>
            <wp:positionH relativeFrom="column">
              <wp:posOffset>4839970</wp:posOffset>
            </wp:positionH>
            <wp:positionV relativeFrom="paragraph">
              <wp:posOffset>31750</wp:posOffset>
            </wp:positionV>
            <wp:extent cx="2030730" cy="1268730"/>
            <wp:effectExtent l="0" t="0" r="1270" b="1270"/>
            <wp:wrapTight wrapText="bothSides">
              <wp:wrapPolygon edited="0">
                <wp:start x="0" y="0"/>
                <wp:lineTo x="0" y="21405"/>
                <wp:lineTo x="21478" y="21405"/>
                <wp:lineTo x="21478" y="0"/>
                <wp:lineTo x="0" y="0"/>
              </wp:wrapPolygon>
            </wp:wrapTight>
            <wp:docPr id="1445179321" name="Image 105" descr="page42image64687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age42image6468732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30730" cy="1268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color w:val="000000" w:themeColor="text1"/>
          <w:sz w:val="20"/>
          <w:szCs w:val="20"/>
          <w:lang w:eastAsia="fr-FR"/>
        </w:rPr>
        <w:t xml:space="preserve">AG courte chaine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diffusion libre.</w:t>
      </w:r>
    </w:p>
    <w:p w14:paraId="5DBD9CF5"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Micelles = sels biliaires , phospholipides, chol, AG, Monoglycérides, vit. Liposolubles</w:t>
      </w:r>
    </w:p>
    <w:p w14:paraId="4E3B5BA3"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Permet le contact avec entérocytes</w:t>
      </w:r>
    </w:p>
    <w:p w14:paraId="563766FD"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Diffusion passive des composés</w:t>
      </w:r>
    </w:p>
    <w:p w14:paraId="2676CB88"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Réestrifications + synthèses dans les entérocytes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chylomicrons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lymphe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circulation veineuse par le canal thoracique</w:t>
      </w:r>
    </w:p>
    <w:p w14:paraId="366AEF28"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Les sels biliaires restent dans la lumière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iléon terminal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recyclage (</w:t>
      </w:r>
      <w:r w:rsidRPr="00B15634">
        <w:rPr>
          <w:rFonts w:ascii="Arial" w:hAnsi="Arial" w:cs="Arial"/>
          <w:color w:val="000000" w:themeColor="text1"/>
          <w:sz w:val="20"/>
          <w:szCs w:val="20"/>
          <w:lang w:eastAsia="fr-FR"/>
        </w:rPr>
        <w:sym w:font="Symbol" w:char="F0BB"/>
      </w:r>
      <w:r w:rsidRPr="00B15634">
        <w:rPr>
          <w:rFonts w:ascii="Arial" w:hAnsi="Arial" w:cs="Arial"/>
          <w:color w:val="000000" w:themeColor="text1"/>
          <w:sz w:val="20"/>
          <w:szCs w:val="20"/>
          <w:lang w:eastAsia="fr-FR"/>
        </w:rPr>
        <w:t xml:space="preserve">90%) = cycle entéro- Hépatique </w:t>
      </w:r>
    </w:p>
    <w:p w14:paraId="3F65A7B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Containers/UBF8T346G9.ms/WebArchiveCopyPasteTempFiles/com.microsoft.Word/page42image646873216"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color w:val="000000" w:themeColor="text1"/>
          <w:sz w:val="20"/>
          <w:szCs w:val="20"/>
          <w:lang w:eastAsia="fr-FR"/>
        </w:rPr>
        <w:fldChar w:fldCharType="end"/>
      </w:r>
      <w:r w:rsidRPr="00B15634">
        <w:rPr>
          <w:rFonts w:ascii="Arial" w:hAnsi="Arial" w:cs="Arial"/>
          <w:color w:val="000000" w:themeColor="text1"/>
          <w:sz w:val="20"/>
          <w:szCs w:val="20"/>
          <w:lang w:eastAsia="fr-FR"/>
        </w:rPr>
        <w:t xml:space="preserve">Défaut d’absorption des graisses = stéatorrhée. </w:t>
      </w:r>
    </w:p>
    <w:p w14:paraId="39DF5385"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793F8D2" w14:textId="77777777" w:rsidR="00ED4694" w:rsidRPr="00B15634" w:rsidRDefault="00ED4694" w:rsidP="00ED4694">
      <w:pPr>
        <w:pStyle w:val="Sansinterligne"/>
        <w:numPr>
          <w:ilvl w:val="0"/>
          <w:numId w:val="94"/>
        </w:numPr>
        <w:jc w:val="both"/>
        <w:rPr>
          <w:rFonts w:ascii="Arial" w:hAnsi="Arial" w:cs="Arial"/>
          <w:color w:val="ED7D31" w:themeColor="accent2"/>
          <w:sz w:val="20"/>
          <w:szCs w:val="20"/>
          <w:u w:val="single"/>
          <w:lang w:eastAsia="fr-FR"/>
        </w:rPr>
      </w:pPr>
      <w:r w:rsidRPr="00B15634">
        <w:rPr>
          <w:rFonts w:ascii="Arial" w:hAnsi="Arial" w:cs="Arial"/>
          <w:color w:val="ED7D31" w:themeColor="accent2"/>
          <w:sz w:val="20"/>
          <w:szCs w:val="20"/>
          <w:u w:val="single"/>
          <w:lang w:eastAsia="fr-FR"/>
        </w:rPr>
        <w:t xml:space="preserve">Absorption des lipides </w:t>
      </w:r>
    </w:p>
    <w:p w14:paraId="12BD7286"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anchor distT="0" distB="0" distL="114300" distR="114300" simplePos="0" relativeHeight="251684864" behindDoc="1" locked="0" layoutInCell="1" allowOverlap="1" wp14:anchorId="18572C7E" wp14:editId="63529897">
            <wp:simplePos x="0" y="0"/>
            <wp:positionH relativeFrom="column">
              <wp:posOffset>0</wp:posOffset>
            </wp:positionH>
            <wp:positionV relativeFrom="paragraph">
              <wp:posOffset>57150</wp:posOffset>
            </wp:positionV>
            <wp:extent cx="1873885" cy="2057400"/>
            <wp:effectExtent l="0" t="0" r="5715" b="0"/>
            <wp:wrapTight wrapText="bothSides">
              <wp:wrapPolygon edited="0">
                <wp:start x="0" y="0"/>
                <wp:lineTo x="0" y="21467"/>
                <wp:lineTo x="21519" y="21467"/>
                <wp:lineTo x="21519" y="0"/>
                <wp:lineTo x="0" y="0"/>
              </wp:wrapPolygon>
            </wp:wrapTight>
            <wp:docPr id="419386057" name="Image 102" descr="page43image80751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age43image80751097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7388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DF372E"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6549189"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Action émulsifiante des sels biliaires sur les graisses alimentaires. </w:t>
      </w:r>
    </w:p>
    <w:p w14:paraId="25602CF5"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  Structure de l'un des sels biliaires (acide glycocholique) avec la région hydrophobe colorée en </w:t>
      </w:r>
    </w:p>
    <w:p w14:paraId="75A973F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orange et les groupes hydrophiles mis en évidence en bleu clair. </w:t>
      </w:r>
    </w:p>
    <w:p w14:paraId="00D2B715"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(b)  Action des sels biliaires sur les globules lipidiques. Les sels biliaires pénètrent dans la couche </w:t>
      </w:r>
    </w:p>
    <w:p w14:paraId="2EC646EB"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superficielle du lipide et perturbent sa structure, forçant les agrégats de lipides à gonfler et à se transformer en gouttelettes. Les groupes de tête polaires des graisses, ainsi que les molécules de sels biliaires, stabilisent les gouttelettes lipidiques dispersées et forment une émulsion stable. </w:t>
      </w:r>
    </w:p>
    <w:p w14:paraId="079B783F"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260C3D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5451098"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Containers/UBF8T346G9.ms/WebArchiveCopyPasteTempFiles/com.microsoft.Word/page43image807510976"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color w:val="000000" w:themeColor="text1"/>
          <w:sz w:val="20"/>
          <w:szCs w:val="20"/>
          <w:lang w:eastAsia="fr-FR"/>
        </w:rPr>
        <w:fldChar w:fldCharType="end"/>
      </w:r>
    </w:p>
    <w:p w14:paraId="459A430D"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Containers/UBF8T346G9.ms/WebArchiveCopyPasteTempFiles/com.microsoft.Word/page44image807591312"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noProof/>
          <w:color w:val="000000" w:themeColor="text1"/>
          <w:sz w:val="20"/>
          <w:szCs w:val="20"/>
          <w:lang w:eastAsia="fr-FR"/>
        </w:rPr>
        <w:drawing>
          <wp:anchor distT="0" distB="0" distL="114300" distR="114300" simplePos="0" relativeHeight="251685888" behindDoc="1" locked="0" layoutInCell="1" allowOverlap="1" wp14:anchorId="72B4C93F" wp14:editId="1D28F9F3">
            <wp:simplePos x="0" y="0"/>
            <wp:positionH relativeFrom="column">
              <wp:posOffset>0</wp:posOffset>
            </wp:positionH>
            <wp:positionV relativeFrom="paragraph">
              <wp:posOffset>0</wp:posOffset>
            </wp:positionV>
            <wp:extent cx="2694940" cy="1682750"/>
            <wp:effectExtent l="0" t="0" r="0" b="6350"/>
            <wp:wrapTight wrapText="bothSides">
              <wp:wrapPolygon edited="0">
                <wp:start x="0" y="0"/>
                <wp:lineTo x="0" y="21518"/>
                <wp:lineTo x="21478" y="21518"/>
                <wp:lineTo x="21478" y="0"/>
                <wp:lineTo x="0" y="0"/>
              </wp:wrapPolygon>
            </wp:wrapTight>
            <wp:docPr id="1289982460" name="Image 99" descr="page44image80759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age44image8075913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94940" cy="1682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color w:val="000000" w:themeColor="text1"/>
          <w:sz w:val="20"/>
          <w:szCs w:val="20"/>
          <w:lang w:eastAsia="fr-FR"/>
        </w:rPr>
        <w:fldChar w:fldCharType="end"/>
      </w:r>
    </w:p>
    <w:p w14:paraId="4A0B2D8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chylomicrons = lipoprotéines qui se forment en période de digestion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responsables du transport des lipides exogènes de l'intestin grêle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lymphe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sang </w:t>
      </w:r>
    </w:p>
    <w:p w14:paraId="29DE6BC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4D9CC65"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283186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A4B2B56"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0CA63DF"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F6655DA"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3F85F2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A66C4D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39A4100" w14:textId="77777777" w:rsidR="00ED4694" w:rsidRPr="00B15634" w:rsidRDefault="00ED4694" w:rsidP="00ED4694">
      <w:pPr>
        <w:pStyle w:val="Sansinterligne"/>
        <w:numPr>
          <w:ilvl w:val="0"/>
          <w:numId w:val="94"/>
        </w:numPr>
        <w:jc w:val="both"/>
        <w:rPr>
          <w:rFonts w:ascii="Arial" w:hAnsi="Arial" w:cs="Arial"/>
          <w:color w:val="ED7D31" w:themeColor="accent2"/>
          <w:sz w:val="20"/>
          <w:szCs w:val="20"/>
          <w:u w:val="single"/>
          <w:lang w:eastAsia="fr-FR"/>
        </w:rPr>
      </w:pPr>
      <w:r w:rsidRPr="00B15634">
        <w:rPr>
          <w:rFonts w:ascii="Arial" w:hAnsi="Arial" w:cs="Arial"/>
          <w:color w:val="ED7D31" w:themeColor="accent2"/>
          <w:sz w:val="20"/>
          <w:szCs w:val="20"/>
          <w:u w:val="single"/>
          <w:lang w:eastAsia="fr-FR"/>
        </w:rPr>
        <w:lastRenderedPageBreak/>
        <w:t xml:space="preserve">Absorption des produits de la digestion dans l'intestin grêle </w:t>
      </w:r>
    </w:p>
    <w:p w14:paraId="3FBC6F1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Synthèse </w:t>
      </w:r>
    </w:p>
    <w:p w14:paraId="3AFFD519"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Containers/UBF8T346G9.ms/WebArchiveCopyPasteTempFiles/com.microsoft.Word/page45image670922448"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noProof/>
          <w:color w:val="000000" w:themeColor="text1"/>
          <w:sz w:val="20"/>
          <w:szCs w:val="20"/>
          <w:lang w:eastAsia="fr-FR"/>
        </w:rPr>
        <w:drawing>
          <wp:inline distT="0" distB="0" distL="0" distR="0" wp14:anchorId="433AC5CC" wp14:editId="40C2F5FB">
            <wp:extent cx="4851400" cy="3730099"/>
            <wp:effectExtent l="0" t="0" r="0" b="3810"/>
            <wp:docPr id="411221488" name="Image 94" descr="page45image67092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age45image67092244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55788" cy="3733473"/>
                    </a:xfrm>
                    <a:prstGeom prst="rect">
                      <a:avLst/>
                    </a:prstGeom>
                    <a:noFill/>
                    <a:ln>
                      <a:noFill/>
                    </a:ln>
                  </pic:spPr>
                </pic:pic>
              </a:graphicData>
            </a:graphic>
          </wp:inline>
        </w:drawing>
      </w:r>
      <w:r w:rsidRPr="00B15634">
        <w:rPr>
          <w:rFonts w:ascii="Arial" w:hAnsi="Arial" w:cs="Arial"/>
          <w:color w:val="000000" w:themeColor="text1"/>
          <w:sz w:val="20"/>
          <w:szCs w:val="20"/>
          <w:lang w:eastAsia="fr-FR"/>
        </w:rPr>
        <w:fldChar w:fldCharType="end"/>
      </w:r>
    </w:p>
    <w:p w14:paraId="039EFBF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53440EB"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inline distT="0" distB="0" distL="0" distR="0" wp14:anchorId="126373FB" wp14:editId="0C6516D7">
            <wp:extent cx="3788410" cy="2693803"/>
            <wp:effectExtent l="0" t="0" r="0" b="0"/>
            <wp:docPr id="20478951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895166" name=""/>
                    <pic:cNvPicPr/>
                  </pic:nvPicPr>
                  <pic:blipFill>
                    <a:blip r:embed="rId49"/>
                    <a:stretch>
                      <a:fillRect/>
                    </a:stretch>
                  </pic:blipFill>
                  <pic:spPr>
                    <a:xfrm>
                      <a:off x="0" y="0"/>
                      <a:ext cx="3794826" cy="2698365"/>
                    </a:xfrm>
                    <a:prstGeom prst="rect">
                      <a:avLst/>
                    </a:prstGeom>
                  </pic:spPr>
                </pic:pic>
              </a:graphicData>
            </a:graphic>
          </wp:inline>
        </w:drawing>
      </w:r>
    </w:p>
    <w:p w14:paraId="40AB2E38"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218F2B0" w14:textId="77777777" w:rsidR="00ED4694" w:rsidRPr="00B15634" w:rsidRDefault="00ED4694" w:rsidP="00ED4694">
      <w:pPr>
        <w:pStyle w:val="Sansinterligne"/>
        <w:jc w:val="both"/>
        <w:rPr>
          <w:rFonts w:ascii="Arial" w:hAnsi="Arial" w:cs="Arial"/>
          <w:b/>
          <w:bCs/>
          <w:color w:val="000000" w:themeColor="text1"/>
          <w:sz w:val="20"/>
          <w:szCs w:val="20"/>
          <w:lang w:eastAsia="fr-FR"/>
        </w:rPr>
      </w:pPr>
    </w:p>
    <w:p w14:paraId="12230356" w14:textId="77777777" w:rsidR="00ED4694" w:rsidRPr="00B15634" w:rsidRDefault="00ED4694" w:rsidP="00ED4694">
      <w:pPr>
        <w:pStyle w:val="Sansinterligne"/>
        <w:numPr>
          <w:ilvl w:val="0"/>
          <w:numId w:val="94"/>
        </w:numPr>
        <w:jc w:val="both"/>
        <w:rPr>
          <w:rFonts w:ascii="Arial" w:hAnsi="Arial" w:cs="Arial"/>
          <w:color w:val="ED7D31" w:themeColor="accent2"/>
          <w:sz w:val="20"/>
          <w:szCs w:val="20"/>
          <w:u w:val="single"/>
          <w:lang w:eastAsia="fr-FR"/>
        </w:rPr>
      </w:pPr>
      <w:r w:rsidRPr="00B15634">
        <w:rPr>
          <w:rFonts w:ascii="Arial" w:hAnsi="Arial" w:cs="Arial"/>
          <w:noProof/>
          <w:color w:val="000000" w:themeColor="text1"/>
          <w:sz w:val="20"/>
          <w:szCs w:val="20"/>
          <w:lang w:eastAsia="fr-FR"/>
        </w:rPr>
        <w:drawing>
          <wp:anchor distT="0" distB="0" distL="114300" distR="114300" simplePos="0" relativeHeight="251686912" behindDoc="1" locked="0" layoutInCell="1" allowOverlap="1" wp14:anchorId="1D29E17E" wp14:editId="6ABC58C4">
            <wp:simplePos x="0" y="0"/>
            <wp:positionH relativeFrom="column">
              <wp:posOffset>4500527</wp:posOffset>
            </wp:positionH>
            <wp:positionV relativeFrom="paragraph">
              <wp:posOffset>25259</wp:posOffset>
            </wp:positionV>
            <wp:extent cx="1765935" cy="2434590"/>
            <wp:effectExtent l="0" t="0" r="0" b="3810"/>
            <wp:wrapTight wrapText="bothSides">
              <wp:wrapPolygon edited="0">
                <wp:start x="0" y="0"/>
                <wp:lineTo x="0" y="21521"/>
                <wp:lineTo x="21437" y="21521"/>
                <wp:lineTo x="21437" y="0"/>
                <wp:lineTo x="0" y="0"/>
              </wp:wrapPolygon>
            </wp:wrapTight>
            <wp:docPr id="1690354024" name="Image 57" descr="page47image807985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age47image80798508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65935" cy="2434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color w:val="ED7D31" w:themeColor="accent2"/>
          <w:sz w:val="20"/>
          <w:szCs w:val="20"/>
          <w:u w:val="single"/>
          <w:lang w:eastAsia="fr-FR"/>
        </w:rPr>
        <w:t xml:space="preserve">Absorption des liquides et des électrolytes </w:t>
      </w:r>
    </w:p>
    <w:p w14:paraId="6443B2F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4358B78"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Réabsorption des électrolytes tout au long de l’intestin </w:t>
      </w:r>
    </w:p>
    <w:p w14:paraId="653436FC"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Fer et Ca++ au niveau du duodénum </w:t>
      </w:r>
    </w:p>
    <w:p w14:paraId="1F2E4AD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Absorption du Ca++ régulée par vit.D(calcitriol) et PTH </w:t>
      </w:r>
    </w:p>
    <w:p w14:paraId="4DF93BF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Rôle dans l’équilibre hydrique du corps </w:t>
      </w:r>
    </w:p>
    <w:p w14:paraId="6D7F7A1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Défaut de réabsorption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Diarrhée </w:t>
      </w:r>
    </w:p>
    <w:p w14:paraId="4E7B464E"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Si +++ (Choléra , dysentrie , ... )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déshydratation grave voire fatale </w:t>
      </w:r>
    </w:p>
    <w:p w14:paraId="6A44EDA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Containers/UBF8T346G9.ms/WebArchiveCopyPasteTempFiles/com.microsoft.Word/page47image807985088"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color w:val="000000" w:themeColor="text1"/>
          <w:sz w:val="20"/>
          <w:szCs w:val="20"/>
          <w:lang w:eastAsia="fr-FR"/>
        </w:rPr>
        <w:fldChar w:fldCharType="end"/>
      </w: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Containers/UBF8T346G9.ms/WebArchiveCopyPasteTempFiles/com.microsoft.Word/page47image807985680"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noProof/>
          <w:color w:val="000000" w:themeColor="text1"/>
          <w:sz w:val="20"/>
          <w:szCs w:val="20"/>
          <w:lang w:eastAsia="fr-FR"/>
        </w:rPr>
        <w:drawing>
          <wp:inline distT="0" distB="0" distL="0" distR="0" wp14:anchorId="56A647AB" wp14:editId="44185D9D">
            <wp:extent cx="1185545" cy="869315"/>
            <wp:effectExtent l="0" t="0" r="0" b="0"/>
            <wp:docPr id="1563527025" name="Image 55" descr="page47image80798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age47image80798568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85545" cy="869315"/>
                    </a:xfrm>
                    <a:prstGeom prst="rect">
                      <a:avLst/>
                    </a:prstGeom>
                    <a:noFill/>
                    <a:ln>
                      <a:noFill/>
                    </a:ln>
                  </pic:spPr>
                </pic:pic>
              </a:graphicData>
            </a:graphic>
          </wp:inline>
        </w:drawing>
      </w:r>
      <w:r w:rsidRPr="00B15634">
        <w:rPr>
          <w:rFonts w:ascii="Arial" w:hAnsi="Arial" w:cs="Arial"/>
          <w:color w:val="000000" w:themeColor="text1"/>
          <w:sz w:val="20"/>
          <w:szCs w:val="20"/>
          <w:lang w:eastAsia="fr-FR"/>
        </w:rPr>
        <w:fldChar w:fldCharType="end"/>
      </w:r>
    </w:p>
    <w:p w14:paraId="715F3A1F"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D45B88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6C4602B"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6AA1EB9" w14:textId="77777777" w:rsidR="00ED4694" w:rsidRPr="00B15634" w:rsidRDefault="00ED4694" w:rsidP="00ED4694">
      <w:pPr>
        <w:pStyle w:val="Sansinterligne"/>
        <w:numPr>
          <w:ilvl w:val="0"/>
          <w:numId w:val="94"/>
        </w:numPr>
        <w:jc w:val="both"/>
        <w:rPr>
          <w:rFonts w:ascii="Arial" w:hAnsi="Arial" w:cs="Arial"/>
          <w:color w:val="ED7D31" w:themeColor="accent2"/>
          <w:sz w:val="20"/>
          <w:szCs w:val="20"/>
          <w:u w:val="single"/>
          <w:lang w:eastAsia="fr-FR"/>
        </w:rPr>
      </w:pPr>
      <w:r w:rsidRPr="00B15634">
        <w:rPr>
          <w:rFonts w:ascii="Arial" w:hAnsi="Arial" w:cs="Arial"/>
          <w:color w:val="ED7D31" w:themeColor="accent2"/>
          <w:sz w:val="20"/>
          <w:szCs w:val="20"/>
          <w:u w:val="single"/>
          <w:lang w:eastAsia="fr-FR"/>
        </w:rPr>
        <w:lastRenderedPageBreak/>
        <w:t xml:space="preserve">Absorption macrominéraux </w:t>
      </w:r>
    </w:p>
    <w:p w14:paraId="57697586" w14:textId="77777777" w:rsidR="00ED4694" w:rsidRPr="00B15634" w:rsidRDefault="00ED4694" w:rsidP="00ED4694">
      <w:pPr>
        <w:pStyle w:val="Sansinterligne"/>
        <w:ind w:left="720"/>
        <w:jc w:val="both"/>
        <w:rPr>
          <w:rFonts w:ascii="Arial" w:hAnsi="Arial" w:cs="Arial"/>
          <w:color w:val="ED7D31" w:themeColor="accent2"/>
          <w:sz w:val="20"/>
          <w:szCs w:val="20"/>
          <w:u w:val="single"/>
          <w:lang w:eastAsia="fr-FR"/>
        </w:rPr>
      </w:pPr>
    </w:p>
    <w:p w14:paraId="03CE791D"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Containers/UBF8T346G9.ms/WebArchiveCopyPasteTempFiles/com.microsoft.Word/page48image808101520"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noProof/>
          <w:color w:val="000000" w:themeColor="text1"/>
          <w:sz w:val="20"/>
          <w:szCs w:val="20"/>
          <w:lang w:eastAsia="fr-FR"/>
        </w:rPr>
        <w:drawing>
          <wp:inline distT="0" distB="0" distL="0" distR="0" wp14:anchorId="75CC187D" wp14:editId="31D4660D">
            <wp:extent cx="6645910" cy="2377440"/>
            <wp:effectExtent l="0" t="0" r="0" b="0"/>
            <wp:docPr id="1358732055" name="Image 52" descr="page48image80810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age48image8081015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645910" cy="2377440"/>
                    </a:xfrm>
                    <a:prstGeom prst="rect">
                      <a:avLst/>
                    </a:prstGeom>
                    <a:noFill/>
                    <a:ln>
                      <a:noFill/>
                    </a:ln>
                  </pic:spPr>
                </pic:pic>
              </a:graphicData>
            </a:graphic>
          </wp:inline>
        </w:drawing>
      </w:r>
      <w:r w:rsidRPr="00B15634">
        <w:rPr>
          <w:rFonts w:ascii="Arial" w:hAnsi="Arial" w:cs="Arial"/>
          <w:color w:val="000000" w:themeColor="text1"/>
          <w:sz w:val="20"/>
          <w:szCs w:val="20"/>
          <w:lang w:eastAsia="fr-FR"/>
        </w:rPr>
        <w:fldChar w:fldCharType="end"/>
      </w:r>
    </w:p>
    <w:p w14:paraId="23090270"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BAF3F4E" w14:textId="77777777" w:rsidR="00ED4694" w:rsidRPr="00B15634" w:rsidRDefault="00ED4694" w:rsidP="00ED4694">
      <w:pPr>
        <w:pStyle w:val="Sansinterligne"/>
        <w:numPr>
          <w:ilvl w:val="0"/>
          <w:numId w:val="94"/>
        </w:numPr>
        <w:jc w:val="both"/>
        <w:rPr>
          <w:rFonts w:ascii="Arial" w:hAnsi="Arial" w:cs="Arial"/>
          <w:color w:val="ED7D31" w:themeColor="accent2"/>
          <w:sz w:val="20"/>
          <w:szCs w:val="20"/>
          <w:u w:val="single"/>
          <w:lang w:eastAsia="fr-FR"/>
        </w:rPr>
      </w:pPr>
      <w:r w:rsidRPr="00B15634">
        <w:rPr>
          <w:rFonts w:ascii="Arial" w:hAnsi="Arial" w:cs="Arial"/>
          <w:color w:val="ED7D31" w:themeColor="accent2"/>
          <w:sz w:val="20"/>
          <w:szCs w:val="20"/>
          <w:u w:val="single"/>
          <w:lang w:eastAsia="fr-FR"/>
        </w:rPr>
        <w:t xml:space="preserve">Absorption des vitamines </w:t>
      </w:r>
    </w:p>
    <w:p w14:paraId="7D1C6B26"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6478C8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Même si elles ne sont nécessaires qu'en très petites quantités, elles sont essentielles au métabolisme et à la santé. Elles sont présentes dans une vaste gamme d'aliments en 2 catégories : les vitamines liposolubles et les vitamines hydrosolubles. Seules les vitamines A, E et B12 sont stockées en quantité importante dans l'organisme; les autres vitamines doivent être consommées régulièrement pour maintenir la santé des tissus. </w:t>
      </w:r>
    </w:p>
    <w:p w14:paraId="41E6533C"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C13EFE0"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5B9BD5" w:themeColor="accent5"/>
          <w:sz w:val="20"/>
          <w:szCs w:val="20"/>
          <w:u w:val="single"/>
          <w:lang w:eastAsia="fr-FR"/>
        </w:rPr>
        <w:t>Vitamines liposolubles</w:t>
      </w:r>
      <w:r w:rsidRPr="00B15634">
        <w:rPr>
          <w:rFonts w:ascii="Arial" w:hAnsi="Arial" w:cs="Arial"/>
          <w:color w:val="5B9BD5" w:themeColor="accent5"/>
          <w:sz w:val="20"/>
          <w:szCs w:val="20"/>
          <w:lang w:eastAsia="fr-FR"/>
        </w:rPr>
        <w:t xml:space="preserve"> </w:t>
      </w:r>
      <w:r w:rsidRPr="00B15634">
        <w:rPr>
          <w:rFonts w:ascii="Arial" w:hAnsi="Arial" w:cs="Arial"/>
          <w:color w:val="000000" w:themeColor="text1"/>
          <w:sz w:val="20"/>
          <w:szCs w:val="20"/>
          <w:lang w:eastAsia="fr-FR"/>
        </w:rPr>
        <w:t>(</w:t>
      </w:r>
      <w:r w:rsidRPr="00B15634">
        <w:rPr>
          <w:rFonts w:ascii="Arial" w:hAnsi="Arial" w:cs="Arial"/>
          <w:color w:val="FF0000"/>
          <w:sz w:val="20"/>
          <w:szCs w:val="20"/>
          <w:lang w:eastAsia="fr-FR"/>
        </w:rPr>
        <w:sym w:font="Wingdings" w:char="F0E0"/>
      </w:r>
      <w:r w:rsidRPr="00B15634">
        <w:rPr>
          <w:rFonts w:ascii="Arial" w:hAnsi="Arial" w:cs="Arial"/>
          <w:color w:val="000000" w:themeColor="text1"/>
          <w:sz w:val="20"/>
          <w:szCs w:val="20"/>
          <w:lang w:eastAsia="fr-FR"/>
        </w:rPr>
        <w:t xml:space="preserve"> indique les effets d’une carence en vitamine)</w:t>
      </w:r>
    </w:p>
    <w:p w14:paraId="63E63E5D"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Vit. A (rétinol) </w:t>
      </w:r>
      <w:r w:rsidRPr="00B15634">
        <w:rPr>
          <w:rFonts w:ascii="Arial" w:hAnsi="Arial" w:cs="Arial"/>
          <w:color w:val="FF0000"/>
          <w:sz w:val="20"/>
          <w:szCs w:val="20"/>
          <w:lang w:eastAsia="fr-FR"/>
        </w:rPr>
        <w:sym w:font="Wingdings" w:char="F0E0"/>
      </w:r>
      <w:r w:rsidRPr="00B15634">
        <w:rPr>
          <w:rFonts w:ascii="Arial" w:hAnsi="Arial" w:cs="Arial"/>
          <w:color w:val="000000" w:themeColor="text1"/>
          <w:sz w:val="20"/>
          <w:szCs w:val="20"/>
          <w:lang w:eastAsia="fr-FR"/>
        </w:rPr>
        <w:t xml:space="preserve"> xérophtalmie (œil sec) : cause majeur de cécité dans les pays en voire de développement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riz doré. Egalement atrophie épithéliale, susceptibilité à l'infection ; anomalies du développement fœtal. 80 à 90 % stockée dans le foie. Il existe une toxicité de la vit A.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variations quand apports !! </w:t>
      </w:r>
    </w:p>
    <w:p w14:paraId="12F35566"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Vit. D (cholécalciférol et ergocalciférol) </w:t>
      </w:r>
      <w:r w:rsidRPr="00B15634">
        <w:rPr>
          <w:rFonts w:ascii="Arial" w:hAnsi="Arial" w:cs="Arial"/>
          <w:color w:val="FF0000"/>
          <w:sz w:val="20"/>
          <w:szCs w:val="20"/>
          <w:lang w:eastAsia="fr-FR"/>
        </w:rPr>
        <w:sym w:font="Wingdings" w:char="F0E0"/>
      </w:r>
      <w:r w:rsidRPr="00B15634">
        <w:rPr>
          <w:rFonts w:ascii="Arial" w:hAnsi="Arial" w:cs="Arial"/>
          <w:color w:val="000000" w:themeColor="text1"/>
          <w:sz w:val="20"/>
          <w:szCs w:val="20"/>
          <w:lang w:eastAsia="fr-FR"/>
        </w:rPr>
        <w:t xml:space="preserve"> Rachitisme (enfants) ostéomalacie (adultes) </w:t>
      </w:r>
    </w:p>
    <w:p w14:paraId="1C1FD4D7"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Vit. E (alpha-tocophérol) </w:t>
      </w:r>
      <w:r w:rsidRPr="00B15634">
        <w:rPr>
          <w:rFonts w:ascii="Arial" w:hAnsi="Arial" w:cs="Arial"/>
          <w:color w:val="FF0000"/>
          <w:sz w:val="20"/>
          <w:szCs w:val="20"/>
          <w:lang w:eastAsia="fr-FR"/>
        </w:rPr>
        <w:sym w:font="Wingdings" w:char="F0E0"/>
      </w:r>
      <w:r w:rsidRPr="00B15634">
        <w:rPr>
          <w:rFonts w:ascii="Arial" w:hAnsi="Arial" w:cs="Arial"/>
          <w:color w:val="000000" w:themeColor="text1"/>
          <w:sz w:val="20"/>
          <w:szCs w:val="20"/>
          <w:lang w:eastAsia="fr-FR"/>
        </w:rPr>
        <w:t xml:space="preserve"> Anémies hémolytiques... Puissant antioxydant. </w:t>
      </w:r>
    </w:p>
    <w:p w14:paraId="0C350B15"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Vit. K (phylloquinone et ménaquinone) </w:t>
      </w:r>
      <w:r w:rsidRPr="00B15634">
        <w:rPr>
          <w:rFonts w:ascii="Arial" w:hAnsi="Arial" w:cs="Arial"/>
          <w:color w:val="FF0000"/>
          <w:sz w:val="20"/>
          <w:szCs w:val="20"/>
          <w:lang w:eastAsia="fr-FR"/>
        </w:rPr>
        <w:sym w:font="Wingdings" w:char="F0E0"/>
      </w:r>
      <w:r w:rsidRPr="00B15634">
        <w:rPr>
          <w:rFonts w:ascii="Arial" w:hAnsi="Arial" w:cs="Arial"/>
          <w:color w:val="FF0000"/>
          <w:sz w:val="20"/>
          <w:szCs w:val="20"/>
          <w:lang w:eastAsia="fr-FR"/>
        </w:rPr>
        <w:t xml:space="preserve"> </w:t>
      </w:r>
      <w:r w:rsidRPr="00B15634">
        <w:rPr>
          <w:rFonts w:ascii="Arial" w:hAnsi="Arial" w:cs="Arial"/>
          <w:color w:val="000000" w:themeColor="text1"/>
          <w:sz w:val="20"/>
          <w:szCs w:val="20"/>
          <w:lang w:eastAsia="fr-FR"/>
        </w:rPr>
        <w:t xml:space="preserve">Ecchymoses, saignements... (nécessaire à la coagulation) </w:t>
      </w:r>
    </w:p>
    <w:p w14:paraId="69F6E956"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Absorption : via micelles </w:t>
      </w:r>
      <w:r w:rsidRPr="00B15634">
        <w:rPr>
          <w:rFonts w:ascii="Arial" w:hAnsi="Arial" w:cs="Arial"/>
          <w:color w:val="000000" w:themeColor="text1"/>
          <w:sz w:val="20"/>
          <w:szCs w:val="20"/>
          <w:lang w:eastAsia="fr-FR"/>
        </w:rPr>
        <w:sym w:font="Symbol" w:char="F0BB"/>
      </w:r>
      <w:r w:rsidRPr="00B15634">
        <w:rPr>
          <w:rFonts w:ascii="Arial" w:hAnsi="Arial" w:cs="Arial"/>
          <w:color w:val="000000" w:themeColor="text1"/>
          <w:sz w:val="20"/>
          <w:szCs w:val="20"/>
          <w:lang w:eastAsia="fr-FR"/>
        </w:rPr>
        <w:t xml:space="preserve"> mécanisme d’abs des lipides </w:t>
      </w:r>
    </w:p>
    <w:p w14:paraId="406277BC"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C984BEE"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5B9BD5" w:themeColor="accent5"/>
          <w:sz w:val="20"/>
          <w:szCs w:val="20"/>
          <w:u w:val="single"/>
          <w:lang w:eastAsia="fr-FR"/>
        </w:rPr>
        <w:t>Vitamines hydrosolubles</w:t>
      </w:r>
      <w:r w:rsidRPr="00B15634">
        <w:rPr>
          <w:rFonts w:ascii="Arial" w:hAnsi="Arial" w:cs="Arial"/>
          <w:color w:val="5B9BD5" w:themeColor="accent5"/>
          <w:sz w:val="20"/>
          <w:szCs w:val="20"/>
          <w:lang w:eastAsia="fr-FR"/>
        </w:rPr>
        <w:t xml:space="preserve"> </w:t>
      </w:r>
      <w:r w:rsidRPr="00B15634">
        <w:rPr>
          <w:rFonts w:ascii="Arial" w:hAnsi="Arial" w:cs="Arial"/>
          <w:color w:val="000000" w:themeColor="text1"/>
          <w:sz w:val="20"/>
          <w:szCs w:val="20"/>
          <w:lang w:eastAsia="fr-FR"/>
        </w:rPr>
        <w:t>(</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si carence)</w:t>
      </w:r>
    </w:p>
    <w:p w14:paraId="19A59AC4"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vitamine C (acide ascorbique)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scorbut, anémie, infection, pb de cicatrisation</w:t>
      </w:r>
    </w:p>
    <w:p w14:paraId="012F189D"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les 8 membres du complexe de la vitamine B: </w:t>
      </w:r>
    </w:p>
    <w:p w14:paraId="06CFF67C"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biotine </w:t>
      </w:r>
    </w:p>
    <w:p w14:paraId="732FB668"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folate (Vitamine B9)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anomalie du tube neural pendant la grossesse </w:t>
      </w:r>
    </w:p>
    <w:p w14:paraId="0875A471"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niacine (Vitamine B3)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Pellagre... </w:t>
      </w:r>
    </w:p>
    <w:p w14:paraId="24322718"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acide pantothénique </w:t>
      </w:r>
    </w:p>
    <w:p w14:paraId="3312855B"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riboflavine (vitamine B2)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stomatite angulaire, lesions cutanées ... </w:t>
      </w:r>
    </w:p>
    <w:p w14:paraId="6892D264"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thiamine (vitamine B1)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Béribéri. Impliquée dans le métabolisme de l’alcool </w:t>
      </w:r>
    </w:p>
    <w:p w14:paraId="639E3A77"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vitamine B6 (pyridoxine), </w:t>
      </w:r>
    </w:p>
    <w:p w14:paraId="4835D5E6"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vitamine B12 (cobalamine). </w:t>
      </w:r>
    </w:p>
    <w:p w14:paraId="545BBD42"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Absorption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via molécules de transport spécifiques entre via diffusion passive, active ou facilité selon les vitamines. </w:t>
      </w:r>
    </w:p>
    <w:p w14:paraId="5E786B9C"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CC52952"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Les vitamines B12 se trouvent dans les viandes, poissons, produits laitiers, fruits de mer ... </w:t>
      </w:r>
    </w:p>
    <w:p w14:paraId="42CF0CF9"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Carence en vit B12 : peut être due </w:t>
      </w:r>
    </w:p>
    <w:p w14:paraId="1C3192A9"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Apports insuffisants : régime végétalien A</w:t>
      </w:r>
    </w:p>
    <w:p w14:paraId="34D42DF2"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bsorption inadéquate : pb au niveau de l’estomac (manque de facteur intrinsèque), chirurgies bariatriques, maladies intestinales, syndromes de malabsorption </w:t>
      </w:r>
    </w:p>
    <w:p w14:paraId="4AF35A81"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Diminution de l'utilisation : déficit enzymatiques, troubles hépatiques </w:t>
      </w:r>
    </w:p>
    <w:p w14:paraId="74E3EC8A"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Prise de certains médicaments : antiacides, metformine, ... </w:t>
      </w:r>
    </w:p>
    <w:p w14:paraId="66F656A0"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Anémie mégaloblastiques macrocytaires : Anémie pernicieuse (maladie de Biermer) </w:t>
      </w:r>
    </w:p>
    <w:p w14:paraId="136638EE"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3A2BF2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58C19F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ACC76DE"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lastRenderedPageBreak/>
        <w:drawing>
          <wp:inline distT="0" distB="0" distL="0" distR="0" wp14:anchorId="3C5BD71E" wp14:editId="2A585DEF">
            <wp:extent cx="3702756" cy="2736205"/>
            <wp:effectExtent l="0" t="0" r="0" b="0"/>
            <wp:docPr id="19967243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724358" name=""/>
                    <pic:cNvPicPr/>
                  </pic:nvPicPr>
                  <pic:blipFill>
                    <a:blip r:embed="rId53"/>
                    <a:stretch>
                      <a:fillRect/>
                    </a:stretch>
                  </pic:blipFill>
                  <pic:spPr>
                    <a:xfrm>
                      <a:off x="0" y="0"/>
                      <a:ext cx="3724041" cy="2751934"/>
                    </a:xfrm>
                    <a:prstGeom prst="rect">
                      <a:avLst/>
                    </a:prstGeom>
                  </pic:spPr>
                </pic:pic>
              </a:graphicData>
            </a:graphic>
          </wp:inline>
        </w:drawing>
      </w:r>
    </w:p>
    <w:p w14:paraId="60F8D23A"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4A5E206" w14:textId="77777777" w:rsidR="00ED4694" w:rsidRPr="00B15634" w:rsidRDefault="00ED4694" w:rsidP="00ED4694">
      <w:pPr>
        <w:pStyle w:val="Sansinterligne"/>
        <w:numPr>
          <w:ilvl w:val="0"/>
          <w:numId w:val="94"/>
        </w:numPr>
        <w:jc w:val="both"/>
        <w:rPr>
          <w:rFonts w:ascii="Arial" w:hAnsi="Arial" w:cs="Arial"/>
          <w:color w:val="ED7D31" w:themeColor="accent2"/>
          <w:sz w:val="20"/>
          <w:szCs w:val="20"/>
          <w:u w:val="single"/>
          <w:lang w:eastAsia="fr-FR"/>
        </w:rPr>
      </w:pPr>
      <w:r w:rsidRPr="00B15634">
        <w:rPr>
          <w:rFonts w:ascii="Arial" w:hAnsi="Arial" w:cs="Arial"/>
          <w:color w:val="ED7D31" w:themeColor="accent2"/>
          <w:sz w:val="20"/>
          <w:szCs w:val="20"/>
          <w:u w:val="single"/>
          <w:lang w:eastAsia="fr-FR"/>
        </w:rPr>
        <w:t xml:space="preserve">Absorption du fer </w:t>
      </w:r>
    </w:p>
    <w:p w14:paraId="2ADCC9B0"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3321FAE"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Le fer (Fe) = composant de l'hémoglobine, de la myoglobine et de nombre d'enzymes de l'organisme. Il est absorbé dans le duodénum et dans la partie supérieure du jéjunum. Absorption du fer ↑ quand fer héminique (de la viande). Le fer non héminique alimentaire est habituellement à l'état Fe3+ et doit être réduit à l'état Fe2+</w:t>
      </w:r>
      <w:r w:rsidRPr="00B15634">
        <w:rPr>
          <w:rFonts w:ascii="Arial" w:hAnsi="Arial" w:cs="Arial"/>
          <w:color w:val="000000" w:themeColor="text1"/>
          <w:position w:val="10"/>
          <w:sz w:val="20"/>
          <w:szCs w:val="20"/>
          <w:lang w:eastAsia="fr-FR"/>
        </w:rPr>
        <w:t xml:space="preserve"> </w:t>
      </w:r>
      <w:r w:rsidRPr="00B15634">
        <w:rPr>
          <w:rFonts w:ascii="Arial" w:hAnsi="Arial" w:cs="Arial"/>
          <w:color w:val="000000" w:themeColor="text1"/>
          <w:sz w:val="20"/>
          <w:szCs w:val="20"/>
          <w:lang w:eastAsia="fr-FR"/>
        </w:rPr>
        <w:t xml:space="preserve">et libéré des ligands alimentaires par les sécrétions gastriques. </w:t>
      </w:r>
    </w:p>
    <w:p w14:paraId="64F63FA2"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L'absorption du fer non héminique est diminuée par d'autres aliments (les produits lactés, les phytates et les polyphénols de fibres végétales; les tannates du thé, le son...) et certains antibiotiques (tétracycline). </w:t>
      </w:r>
    </w:p>
    <w:p w14:paraId="55F41992" w14:textId="15EECACD" w:rsidR="00ED4694" w:rsidRPr="00B15634" w:rsidRDefault="00ED4694" w:rsidP="00ED4694">
      <w:pPr>
        <w:pStyle w:val="Sansinterligne"/>
        <w:jc w:val="both"/>
        <w:rPr>
          <w:rFonts w:ascii="Arial" w:hAnsi="Arial" w:cs="Arial"/>
          <w:color w:val="000000" w:themeColor="text1"/>
          <w:sz w:val="20"/>
          <w:szCs w:val="20"/>
          <w:lang w:eastAsia="fr-FR"/>
        </w:rPr>
      </w:pPr>
      <w:r w:rsidRPr="00962D2F">
        <w:rPr>
          <w:rFonts w:ascii="Arial" w:hAnsi="Arial" w:cs="Arial"/>
          <w:b/>
          <w:bCs/>
          <w:color w:val="000000" w:themeColor="text1"/>
          <w:sz w:val="20"/>
          <w:szCs w:val="20"/>
          <w:lang w:eastAsia="fr-FR"/>
        </w:rPr>
        <w:t>L'acide ascorbique</w:t>
      </w:r>
      <w:r w:rsidR="001A4520">
        <w:rPr>
          <w:rFonts w:ascii="Arial" w:hAnsi="Arial" w:cs="Arial"/>
          <w:b/>
          <w:bCs/>
          <w:color w:val="000000" w:themeColor="text1"/>
          <w:sz w:val="20"/>
          <w:szCs w:val="20"/>
          <w:lang w:eastAsia="fr-FR"/>
        </w:rPr>
        <w:t xml:space="preserve"> (vitamine C)</w:t>
      </w:r>
      <w:r w:rsidRPr="00962D2F">
        <w:rPr>
          <w:rFonts w:ascii="Arial" w:hAnsi="Arial" w:cs="Arial"/>
          <w:b/>
          <w:bCs/>
          <w:color w:val="000000" w:themeColor="text1"/>
          <w:sz w:val="20"/>
          <w:szCs w:val="20"/>
          <w:lang w:eastAsia="fr-FR"/>
        </w:rPr>
        <w:t xml:space="preserve"> ↑ l'absorption du fer non héminique</w:t>
      </w:r>
      <w:r w:rsidRPr="00B15634">
        <w:rPr>
          <w:rFonts w:ascii="Arial" w:hAnsi="Arial" w:cs="Arial"/>
          <w:color w:val="000000" w:themeColor="text1"/>
          <w:sz w:val="20"/>
          <w:szCs w:val="20"/>
          <w:lang w:eastAsia="fr-FR"/>
        </w:rPr>
        <w:t xml:space="preserve">. </w:t>
      </w:r>
    </w:p>
    <w:p w14:paraId="1085C936"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La ferroportine est une protéine notamment à la surface baso-latérale des entérocytes du duodénum où elle facilite l’importation du fer alimentaire. </w:t>
      </w:r>
    </w:p>
    <w:p w14:paraId="7784E7EB"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Hepcidine : hormone majeure de l’homéostasie du fer. Produite par le foie quand surcharge en fer. Favorise la dégradation de la ferroportine </w:t>
      </w:r>
    </w:p>
    <w:p w14:paraId="40C2114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Fe : transporté dans le plasma par la transferrine (synthétisée par le foie, 1⁄2 vie 8 jours) </w:t>
      </w:r>
    </w:p>
    <w:p w14:paraId="701D30F2"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AEBAC8D"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Carence en fer : </w:t>
      </w:r>
    </w:p>
    <w:p w14:paraId="2E4761C9"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Apport insuffisant (nourrisson, adolescent, femme enceinte, ...) </w:t>
      </w:r>
    </w:p>
    <w:p w14:paraId="037F1738"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Malabsorption (maladie coeliaque, ... ) </w:t>
      </w:r>
    </w:p>
    <w:p w14:paraId="3DAA5F7D"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MICI (maladies inflammatoires de l’intestin) Mais aussi </w:t>
      </w:r>
    </w:p>
    <w:p w14:paraId="4C1E1554"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Saignements chroniques (règles, lésions gastro-intestinales, ... ) </w:t>
      </w:r>
    </w:p>
    <w:p w14:paraId="392505F7"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Maladie rénale chroniques</w:t>
      </w:r>
    </w:p>
    <w:p w14:paraId="5C62B56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Anémie microcytaire </w:t>
      </w:r>
    </w:p>
    <w:p w14:paraId="51D57CF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6270B90"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Intoxication par le fer :  </w:t>
      </w:r>
    </w:p>
    <w:p w14:paraId="22F336E8"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Traitement martial à doses excessives ou trop prolongé </w:t>
      </w:r>
    </w:p>
    <w:p w14:paraId="678E2078"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Transfusions sanguines répétées </w:t>
      </w:r>
    </w:p>
    <w:p w14:paraId="528092A7"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Hépatopathie alcoolique </w:t>
      </w:r>
    </w:p>
    <w:p w14:paraId="29870290"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Surdosage en fer </w:t>
      </w:r>
    </w:p>
    <w:p w14:paraId="3B7A0563"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Hemochromatose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affection héréditaire </w:t>
      </w:r>
    </w:p>
    <w:p w14:paraId="532D6DD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0DBF13B" w14:textId="77777777" w:rsidR="00ED4694" w:rsidRPr="00B15634" w:rsidRDefault="00ED4694" w:rsidP="00ED4694">
      <w:pPr>
        <w:pStyle w:val="Sansinterligne"/>
        <w:numPr>
          <w:ilvl w:val="0"/>
          <w:numId w:val="94"/>
        </w:numPr>
        <w:jc w:val="both"/>
        <w:rPr>
          <w:rFonts w:ascii="Arial" w:hAnsi="Arial" w:cs="Arial"/>
          <w:color w:val="ED7D31" w:themeColor="accent2"/>
          <w:sz w:val="20"/>
          <w:szCs w:val="20"/>
          <w:u w:val="single"/>
          <w:lang w:eastAsia="fr-FR"/>
        </w:rPr>
      </w:pPr>
      <w:r w:rsidRPr="00B15634">
        <w:rPr>
          <w:rFonts w:ascii="Arial" w:hAnsi="Arial" w:cs="Arial"/>
          <w:color w:val="ED7D31" w:themeColor="accent2"/>
          <w:sz w:val="20"/>
          <w:szCs w:val="20"/>
          <w:u w:val="single"/>
          <w:lang w:eastAsia="fr-FR"/>
        </w:rPr>
        <w:t xml:space="preserve">Absorption du Ca++ et vitamine D </w:t>
      </w:r>
    </w:p>
    <w:p w14:paraId="60C21E4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2106C5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Ca++ alimentaire : principal source : produits laitiers</w:t>
      </w:r>
    </w:p>
    <w:p w14:paraId="1B188086"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Absorbé dans l’intestin grêle</w:t>
      </w:r>
    </w:p>
    <w:p w14:paraId="16075C6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Les patients ayant une carence en vitamine D peuvent présenter un calcium plasmatique bas en raison de la réduction de l'absorption intestinale du calcium. </w:t>
      </w:r>
    </w:p>
    <w:p w14:paraId="3370154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DED6AC2"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Vitamine D : Synthétisé à partir du cholécalciférol alimentaire (poissons gras , œufs, ...) ou par l’action de la lumière (exposition UV). Carence fréquente </w:t>
      </w:r>
    </w:p>
    <w:p w14:paraId="48257B21"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La régulation en continu des concentrations de minéraux dans le plasma dont Ca2+</w:t>
      </w:r>
      <w:r w:rsidRPr="00B15634">
        <w:rPr>
          <w:rFonts w:ascii="Arial" w:hAnsi="Arial" w:cs="Arial"/>
          <w:color w:val="000000" w:themeColor="text1"/>
          <w:position w:val="10"/>
          <w:sz w:val="20"/>
          <w:szCs w:val="20"/>
          <w:lang w:eastAsia="fr-FR"/>
        </w:rPr>
        <w:t xml:space="preserve"> </w:t>
      </w:r>
      <w:r w:rsidRPr="00B15634">
        <w:rPr>
          <w:rFonts w:ascii="Arial" w:hAnsi="Arial" w:cs="Arial"/>
          <w:color w:val="000000" w:themeColor="text1"/>
          <w:sz w:val="20"/>
          <w:szCs w:val="20"/>
          <w:lang w:eastAsia="fr-FR"/>
        </w:rPr>
        <w:t xml:space="preserve">est obtenue par les effets combinés de trois hormones différentes agissant sur l'os, le rein et l'intestin. Celles-ci sont : les métabolites du cholécalciférol (vitamine D), l'hormone parathyroïdienne et la calcitonine </w:t>
      </w:r>
    </w:p>
    <w:p w14:paraId="60F17522"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A277285"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lastRenderedPageBreak/>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Containers/UBF8T346G9.ms/WebArchiveCopyPasteTempFiles/com.microsoft.Word/page57image660376624"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noProof/>
          <w:color w:val="000000" w:themeColor="text1"/>
          <w:sz w:val="20"/>
          <w:szCs w:val="20"/>
          <w:lang w:eastAsia="fr-FR"/>
        </w:rPr>
        <w:drawing>
          <wp:inline distT="0" distB="0" distL="0" distR="0" wp14:anchorId="1B1870F8" wp14:editId="1C525238">
            <wp:extent cx="1600559" cy="3488267"/>
            <wp:effectExtent l="0" t="0" r="0" b="4445"/>
            <wp:docPr id="1395433891" name="Image 20" descr="page57image660376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age57image6603766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14088" cy="3517752"/>
                    </a:xfrm>
                    <a:prstGeom prst="rect">
                      <a:avLst/>
                    </a:prstGeom>
                    <a:noFill/>
                    <a:ln>
                      <a:noFill/>
                    </a:ln>
                  </pic:spPr>
                </pic:pic>
              </a:graphicData>
            </a:graphic>
          </wp:inline>
        </w:drawing>
      </w:r>
      <w:r w:rsidRPr="00B15634">
        <w:rPr>
          <w:rFonts w:ascii="Arial" w:hAnsi="Arial" w:cs="Arial"/>
          <w:color w:val="000000" w:themeColor="text1"/>
          <w:sz w:val="20"/>
          <w:szCs w:val="20"/>
          <w:lang w:eastAsia="fr-FR"/>
        </w:rPr>
        <w:fldChar w:fldCharType="end"/>
      </w: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Containers/UBF8T346G9.ms/WebArchiveCopyPasteTempFiles/com.microsoft.Word/page57image660376928"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noProof/>
          <w:color w:val="000000" w:themeColor="text1"/>
          <w:sz w:val="20"/>
          <w:szCs w:val="20"/>
          <w:lang w:eastAsia="fr-FR"/>
        </w:rPr>
        <w:drawing>
          <wp:inline distT="0" distB="0" distL="0" distR="0" wp14:anchorId="455AFB49" wp14:editId="4291B63F">
            <wp:extent cx="2660395" cy="3206045"/>
            <wp:effectExtent l="0" t="0" r="0" b="0"/>
            <wp:docPr id="527721231" name="Image 19" descr="page57image66037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57image66037692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74582" cy="3223142"/>
                    </a:xfrm>
                    <a:prstGeom prst="rect">
                      <a:avLst/>
                    </a:prstGeom>
                    <a:noFill/>
                    <a:ln>
                      <a:noFill/>
                    </a:ln>
                  </pic:spPr>
                </pic:pic>
              </a:graphicData>
            </a:graphic>
          </wp:inline>
        </w:drawing>
      </w:r>
      <w:r w:rsidRPr="00B15634">
        <w:rPr>
          <w:rFonts w:ascii="Arial" w:hAnsi="Arial" w:cs="Arial"/>
          <w:color w:val="000000" w:themeColor="text1"/>
          <w:sz w:val="20"/>
          <w:szCs w:val="20"/>
          <w:lang w:eastAsia="fr-FR"/>
        </w:rPr>
        <w:fldChar w:fldCharType="end"/>
      </w:r>
    </w:p>
    <w:p w14:paraId="466111A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4EE7255"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AA4F1BC"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La vitamine D est toxique si elle est ingérée en quantités +++. </w:t>
      </w:r>
    </w:p>
    <w:p w14:paraId="44DA7E61"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Les </w:t>
      </w:r>
      <w:r w:rsidRPr="00C234FE">
        <w:rPr>
          <w:rFonts w:ascii="Arial" w:hAnsi="Arial" w:cs="Arial"/>
          <w:b/>
          <w:bCs/>
          <w:color w:val="000000" w:themeColor="text1"/>
          <w:sz w:val="20"/>
          <w:szCs w:val="20"/>
          <w:lang w:eastAsia="fr-FR"/>
        </w:rPr>
        <w:t>symptômes de toxicité sont liés à l'hypercalcémie plasmatique</w:t>
      </w:r>
      <w:r w:rsidRPr="00B15634">
        <w:rPr>
          <w:rFonts w:ascii="Arial" w:hAnsi="Arial" w:cs="Arial"/>
          <w:color w:val="000000" w:themeColor="text1"/>
          <w:sz w:val="20"/>
          <w:szCs w:val="20"/>
          <w:lang w:eastAsia="fr-FR"/>
        </w:rPr>
        <w:t xml:space="preserve"> résultant de l'absorption accrue du calcium intestinal </w:t>
      </w:r>
    </w:p>
    <w:p w14:paraId="0D2F3B3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L'hypercalcémie peut entraîner la contraction des vaisseaux sanguins et une pression artérielle dangereusement élevée, ainsi que la calcinose (= calcification des tissus mous, notamment les reins, le cœur, les poumons et les parois des vaisseaux sanguins). </w:t>
      </w:r>
    </w:p>
    <w:p w14:paraId="67FF56A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9ABAB1E" w14:textId="77777777" w:rsidR="00ED4694" w:rsidRPr="00B15634" w:rsidRDefault="00ED4694" w:rsidP="00ED4694">
      <w:pPr>
        <w:pStyle w:val="Sansinterligne"/>
        <w:numPr>
          <w:ilvl w:val="0"/>
          <w:numId w:val="88"/>
        </w:numPr>
        <w:jc w:val="both"/>
        <w:rPr>
          <w:rFonts w:ascii="Arial" w:hAnsi="Arial" w:cs="Arial"/>
          <w:b/>
          <w:bCs/>
          <w:color w:val="00B0F0"/>
          <w:sz w:val="20"/>
          <w:szCs w:val="20"/>
          <w:u w:val="single"/>
          <w:lang w:eastAsia="fr-FR"/>
        </w:rPr>
      </w:pPr>
      <w:r w:rsidRPr="00B15634">
        <w:rPr>
          <w:rFonts w:ascii="Arial" w:hAnsi="Arial" w:cs="Arial"/>
          <w:b/>
          <w:bCs/>
          <w:color w:val="00B0F0"/>
          <w:sz w:val="20"/>
          <w:szCs w:val="20"/>
          <w:u w:val="single"/>
          <w:lang w:eastAsia="fr-FR"/>
        </w:rPr>
        <w:t xml:space="preserve">Malabsorptions </w:t>
      </w:r>
    </w:p>
    <w:p w14:paraId="59D07A0F"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DE77B5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Causes possibles de malabsorptions (non exhaustif) : </w:t>
      </w:r>
    </w:p>
    <w:p w14:paraId="2472EBE2"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Malaxage gastrique insuffisant ou vidange gastrique trop rapide : gastrectomie, gastro-entérostomie ... </w:t>
      </w:r>
    </w:p>
    <w:p w14:paraId="67CFF093"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Sécrétions digestives insuffisantes : Cirrhose, Pancréatite chronique, Mucoviscidose, Déficit en lactase... </w:t>
      </w:r>
    </w:p>
    <w:p w14:paraId="2F4D2F70"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Anomalie de la motricité intestinale </w:t>
      </w:r>
    </w:p>
    <w:p w14:paraId="3F21B514"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Anomalie de l’épithélium : Ischémie, MICI </w:t>
      </w:r>
    </w:p>
    <w:p w14:paraId="0B2C8E7F"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Intestin court : Résection, Dérivation jéjuno-iléale dans l’obésité </w:t>
      </w:r>
    </w:p>
    <w:p w14:paraId="47634387"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Altération du transport : carence en facteur intrinsèque, Maladie d’Addison </w:t>
      </w:r>
    </w:p>
    <w:p w14:paraId="46225E05"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F7DC6B3" w14:textId="77777777" w:rsidR="00ED4694" w:rsidRPr="00B15634" w:rsidRDefault="00ED4694" w:rsidP="00ED4694">
      <w:pPr>
        <w:pStyle w:val="Sansinterligne"/>
        <w:numPr>
          <w:ilvl w:val="0"/>
          <w:numId w:val="95"/>
        </w:numPr>
        <w:jc w:val="both"/>
        <w:rPr>
          <w:rFonts w:ascii="Arial" w:hAnsi="Arial" w:cs="Arial"/>
          <w:color w:val="ED7D31" w:themeColor="accent2"/>
          <w:sz w:val="20"/>
          <w:szCs w:val="20"/>
          <w:u w:val="single"/>
          <w:lang w:eastAsia="fr-FR"/>
        </w:rPr>
      </w:pPr>
      <w:r w:rsidRPr="00B15634">
        <w:rPr>
          <w:rFonts w:ascii="Arial" w:hAnsi="Arial" w:cs="Arial"/>
          <w:color w:val="ED7D31" w:themeColor="accent2"/>
          <w:sz w:val="20"/>
          <w:szCs w:val="20"/>
          <w:u w:val="single"/>
          <w:lang w:eastAsia="fr-FR"/>
        </w:rPr>
        <w:t xml:space="preserve">Nutrition entérale et parentérale </w:t>
      </w:r>
    </w:p>
    <w:p w14:paraId="073C958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A41F181"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Quand les personnes ne peuvent pas manger normalement : </w:t>
      </w:r>
    </w:p>
    <w:p w14:paraId="0EDAACF2"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une incapacité d'avaler (dysphagie)</w:t>
      </w:r>
    </w:p>
    <w:p w14:paraId="76297389"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une incapacité d'absorber des aliments dans l'intestin</w:t>
      </w:r>
    </w:p>
    <w:p w14:paraId="2F4254BE"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un niveau de conscience réduit</w:t>
      </w:r>
    </w:p>
    <w:p w14:paraId="1EB9CE2C"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une douleur ou les effets d'un traitement</w:t>
      </w:r>
    </w:p>
    <w:p w14:paraId="59273CF5"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modification d’appétit liés des facteurs émotionnels et psychologiques. </w:t>
      </w:r>
    </w:p>
    <w:p w14:paraId="515A6E1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53DBE66"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5B9BD5" w:themeColor="accent5"/>
          <w:sz w:val="20"/>
          <w:szCs w:val="20"/>
          <w:u w:val="single"/>
          <w:lang w:eastAsia="fr-FR"/>
        </w:rPr>
        <w:t>Alimentation entérale</w:t>
      </w:r>
      <w:r w:rsidRPr="00B15634">
        <w:rPr>
          <w:rFonts w:ascii="Arial" w:hAnsi="Arial" w:cs="Arial"/>
          <w:color w:val="5B9BD5" w:themeColor="accent5"/>
          <w:sz w:val="20"/>
          <w:szCs w:val="20"/>
          <w:lang w:eastAsia="fr-FR"/>
        </w:rPr>
        <w:t xml:space="preserve"> </w:t>
      </w:r>
      <w:r w:rsidRPr="00B15634">
        <w:rPr>
          <w:rFonts w:ascii="Arial" w:hAnsi="Arial" w:cs="Arial"/>
          <w:color w:val="000000" w:themeColor="text1"/>
          <w:sz w:val="20"/>
          <w:szCs w:val="20"/>
          <w:lang w:eastAsia="fr-FR"/>
        </w:rPr>
        <w:t xml:space="preserve">: si l'intestin est en bonne santé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Aliments liquides à haute teneur énergétique, </w:t>
      </w:r>
      <w:r w:rsidRPr="000231CF">
        <w:rPr>
          <w:rFonts w:ascii="Arial" w:hAnsi="Arial" w:cs="Arial"/>
          <w:b/>
          <w:bCs/>
          <w:color w:val="000000" w:themeColor="text1"/>
          <w:sz w:val="20"/>
          <w:szCs w:val="20"/>
          <w:lang w:eastAsia="fr-FR"/>
        </w:rPr>
        <w:t>pris par voie orale</w:t>
      </w:r>
      <w:r w:rsidRPr="00B15634">
        <w:rPr>
          <w:rFonts w:ascii="Arial" w:hAnsi="Arial" w:cs="Arial"/>
          <w:color w:val="000000" w:themeColor="text1"/>
          <w:sz w:val="20"/>
          <w:szCs w:val="20"/>
          <w:lang w:eastAsia="fr-FR"/>
        </w:rPr>
        <w:t xml:space="preserve">, </w:t>
      </w:r>
    </w:p>
    <w:p w14:paraId="7CBE0D51"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préparations lactées administrées au moyen d'une sonde nasogastrique. </w:t>
      </w:r>
    </w:p>
    <w:p w14:paraId="2211DA75"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Différentes formules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besoins ≠ de patients. </w:t>
      </w:r>
    </w:p>
    <w:p w14:paraId="21F68210"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Différentes voies d'alimentation entérale sont utilisées, notamment l'alimentation nasogastrique (NG), ou l'alimentation par gastrostomie percutanée endoscopique (GPE)... </w:t>
      </w:r>
    </w:p>
    <w:p w14:paraId="08E8653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67F10A5"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5B9BD5" w:themeColor="accent5"/>
          <w:sz w:val="20"/>
          <w:szCs w:val="20"/>
          <w:u w:val="single"/>
          <w:lang w:eastAsia="fr-FR"/>
        </w:rPr>
        <w:t>Alimentation parentérale</w:t>
      </w:r>
      <w:r w:rsidRPr="00B15634">
        <w:rPr>
          <w:rFonts w:ascii="Arial" w:hAnsi="Arial" w:cs="Arial"/>
          <w:color w:val="5B9BD5" w:themeColor="accent5"/>
          <w:sz w:val="20"/>
          <w:szCs w:val="20"/>
          <w:lang w:eastAsia="fr-FR"/>
        </w:rPr>
        <w:t xml:space="preserve"> </w:t>
      </w:r>
      <w:r w:rsidRPr="00B15634">
        <w:rPr>
          <w:rFonts w:ascii="Arial" w:hAnsi="Arial" w:cs="Arial"/>
          <w:color w:val="000000" w:themeColor="text1"/>
          <w:sz w:val="20"/>
          <w:szCs w:val="20"/>
          <w:lang w:eastAsia="fr-FR"/>
        </w:rPr>
        <w:t xml:space="preserve">: si le tractus nasogastrique est obstrué ou si l'intestin est incapable de traiter correctement les aliments. Les nutriments sont directement </w:t>
      </w:r>
      <w:r w:rsidRPr="007F4EF1">
        <w:rPr>
          <w:rFonts w:ascii="Arial" w:hAnsi="Arial" w:cs="Arial"/>
          <w:b/>
          <w:bCs/>
          <w:color w:val="000000" w:themeColor="text1"/>
          <w:sz w:val="20"/>
          <w:szCs w:val="20"/>
          <w:lang w:eastAsia="fr-FR"/>
        </w:rPr>
        <w:t>perfusés dans une grande veine centrale</w:t>
      </w:r>
      <w:r w:rsidRPr="00B15634">
        <w:rPr>
          <w:rFonts w:ascii="Arial" w:hAnsi="Arial" w:cs="Arial"/>
          <w:color w:val="000000" w:themeColor="text1"/>
          <w:sz w:val="20"/>
          <w:szCs w:val="20"/>
          <w:lang w:eastAsia="fr-FR"/>
        </w:rPr>
        <w:t xml:space="preserve">, généralement la sous-clavière ou la jugulaire. </w:t>
      </w:r>
    </w:p>
    <w:p w14:paraId="63AE6FD8"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Les éléments nutritifs doivent être sous une forme dans laquelle ils peuvent être utilisés sans digestion (acides aminés purs, glucose et émulsion de triglycérides...). </w:t>
      </w:r>
    </w:p>
    <w:p w14:paraId="36058C82"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Si l'alimentation parentérale prolongée, il faut inclure des vitamines, des minéraux et des oligoéléments. </w:t>
      </w:r>
    </w:p>
    <w:p w14:paraId="0DEC254E"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75FDF2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400AF62"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9554919" w14:textId="77777777" w:rsidR="00ED4694" w:rsidRPr="00B15634" w:rsidRDefault="00ED4694" w:rsidP="00ED4694">
      <w:pPr>
        <w:pStyle w:val="Sansinterligne"/>
        <w:numPr>
          <w:ilvl w:val="0"/>
          <w:numId w:val="95"/>
        </w:numPr>
        <w:jc w:val="both"/>
        <w:rPr>
          <w:rFonts w:ascii="Arial" w:hAnsi="Arial" w:cs="Arial"/>
          <w:color w:val="ED7D31" w:themeColor="accent2"/>
          <w:sz w:val="20"/>
          <w:szCs w:val="20"/>
          <w:u w:val="single"/>
          <w:lang w:eastAsia="fr-FR"/>
        </w:rPr>
      </w:pPr>
      <w:r w:rsidRPr="00B15634">
        <w:rPr>
          <w:rFonts w:ascii="Arial" w:hAnsi="Arial" w:cs="Arial"/>
          <w:color w:val="ED7D31" w:themeColor="accent2"/>
          <w:sz w:val="20"/>
          <w:szCs w:val="20"/>
          <w:u w:val="single"/>
          <w:lang w:eastAsia="fr-FR"/>
        </w:rPr>
        <w:t xml:space="preserve">Exemple de pathologie digestive </w:t>
      </w:r>
    </w:p>
    <w:p w14:paraId="37E21FB8"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La mucoviscidose</w:t>
      </w:r>
      <w:r w:rsidRPr="00B15634">
        <w:rPr>
          <w:rFonts w:ascii="Arial" w:hAnsi="Arial" w:cs="Arial"/>
          <w:color w:val="000000" w:themeColor="text1"/>
          <w:sz w:val="20"/>
          <w:szCs w:val="20"/>
          <w:lang w:eastAsia="fr-FR"/>
        </w:rPr>
        <w:t xml:space="preserve"> : Maladie rare la plus fréquente. Héréditaire. Autosomique récessive. Touche le gène cftr : protéine CFTR = canal Cl-</w:t>
      </w:r>
      <w:r w:rsidRPr="00B15634">
        <w:rPr>
          <w:rFonts w:ascii="Arial" w:hAnsi="Arial" w:cs="Arial"/>
          <w:color w:val="000000" w:themeColor="text1"/>
          <w:position w:val="12"/>
          <w:sz w:val="20"/>
          <w:szCs w:val="20"/>
          <w:lang w:eastAsia="fr-FR"/>
        </w:rPr>
        <w:t xml:space="preserve"> </w:t>
      </w:r>
      <w:r w:rsidRPr="00B15634">
        <w:rPr>
          <w:rFonts w:ascii="Arial" w:hAnsi="Arial" w:cs="Arial"/>
          <w:color w:val="000000" w:themeColor="text1"/>
          <w:sz w:val="20"/>
          <w:szCs w:val="20"/>
          <w:lang w:eastAsia="fr-FR"/>
        </w:rPr>
        <w:t>et HCO3-. Sécrétions épaisses et visqueuses. Nombreux organes touchés (poumons, gonades, os, pancréas ... ).</w:t>
      </w:r>
    </w:p>
    <w:p w14:paraId="78E7B54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C23348B"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Composante digestive </w:t>
      </w:r>
    </w:p>
    <w:p w14:paraId="1DA3B627"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insuffisance pancréatique exocrine + atteinte des voies biliaires </w:t>
      </w:r>
    </w:p>
    <w:p w14:paraId="2C8FC12C"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Malabsorption des graisses (stéatorrhée) , des vitamines liposolubles et des protéines </w:t>
      </w:r>
    </w:p>
    <w:p w14:paraId="21F28802"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Diminution ou une absence de l'activité enzymatique</w:t>
      </w:r>
      <w:r w:rsidRPr="00B15634">
        <w:rPr>
          <w:rFonts w:ascii="Arial" w:hAnsi="Arial" w:cs="Arial"/>
          <w:color w:val="000000" w:themeColor="text1"/>
          <w:sz w:val="20"/>
          <w:szCs w:val="20"/>
          <w:lang w:eastAsia="fr-FR"/>
        </w:rPr>
        <w:sym w:font="Symbol" w:char="F0E0"/>
      </w:r>
      <w:r w:rsidRPr="00B15634">
        <w:rPr>
          <w:rFonts w:ascii="Arial" w:hAnsi="Arial" w:cs="Arial"/>
          <w:color w:val="000000" w:themeColor="text1"/>
          <w:sz w:val="20"/>
          <w:szCs w:val="20"/>
          <w:lang w:eastAsia="fr-FR"/>
        </w:rPr>
        <w:t xml:space="preserve">les taux de trypsine et de chymotrypsine dans les selles sont nuls ou abaissés. </w:t>
      </w:r>
    </w:p>
    <w:p w14:paraId="70587217"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Diminution de l’élastase fécale, utilisé pour l’évaluation de la fonction pancréatique exocrine </w:t>
      </w:r>
    </w:p>
    <w:p w14:paraId="0C1DD37F"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Anomalie de l’hydratation des selles </w:t>
      </w:r>
    </w:p>
    <w:p w14:paraId="6F475B6B"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Sécrétions intestinales anormalement visqueuses peuvent être la cause d'iléus méconial (obstruction de l’iléon) chez le nouveau-né </w:t>
      </w:r>
    </w:p>
    <w:p w14:paraId="1F8AFF20"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Syndromes d’occlusion intestinale distale </w:t>
      </w:r>
    </w:p>
    <w:p w14:paraId="326A2DCA"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Episodes de constipation </w:t>
      </w:r>
    </w:p>
    <w:p w14:paraId="2E6B7CF2"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Selles fréquentes, huileuses, « malodorantes », abondantes... </w:t>
      </w:r>
    </w:p>
    <w:p w14:paraId="6CA50C3B"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Si pas de prise en charge : </w:t>
      </w:r>
    </w:p>
    <w:p w14:paraId="12D315BE"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Diminution de la masse musculaire </w:t>
      </w:r>
    </w:p>
    <w:p w14:paraId="46F5D97D"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Retard staturo-pondéral alors qu’appétit normal ou augmenté </w:t>
      </w:r>
    </w:p>
    <w:p w14:paraId="60A5647A"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Nombreuses anomalies digestives. </w:t>
      </w:r>
    </w:p>
    <w:p w14:paraId="440C94E1"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Prise en charge des anomalie digestives : </w:t>
      </w:r>
    </w:p>
    <w:p w14:paraId="31B85F8B"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Supplémentation en sels, en enzymes pancréatiques (Créon), en vitamines </w:t>
      </w:r>
    </w:p>
    <w:p w14:paraId="09362F3E"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Régime à haute teneur en calories </w:t>
      </w:r>
    </w:p>
    <w:p w14:paraId="7EBF0588"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Lavements </w:t>
      </w:r>
    </w:p>
    <w:p w14:paraId="01443276"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Si insuffisant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nutrition entérale </w:t>
      </w:r>
    </w:p>
    <w:p w14:paraId="30509CAE"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F97817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24DEDA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2A241AB"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5BE2F3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C25933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88E719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BA86CF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7685782"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8F1D6B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0C7F990"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2BDC82E"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5B54F6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7B3D45B"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8E6968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12913E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FEC74FB"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D509DA6"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8BCA25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7AC2CC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33DE9D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93FBA8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CE3074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C9B513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D886336"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452BE1F"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5548B3F"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76EBD8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E692B5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3AFD5BC"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BA76B2E"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0C7B468"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860B47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0F7823C"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24C053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970415B"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2881302"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94E0120"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08E1AD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6A796E0"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653C5C5" w14:textId="77777777" w:rsidR="00ED4694" w:rsidRPr="00B15634" w:rsidRDefault="00ED4694" w:rsidP="00ED4694">
      <w:pPr>
        <w:pStyle w:val="Sansinterligne"/>
        <w:jc w:val="both"/>
        <w:rPr>
          <w:rFonts w:ascii="Arial" w:hAnsi="Arial" w:cs="Arial"/>
          <w:b/>
          <w:bCs/>
          <w:color w:val="000000" w:themeColor="text1"/>
          <w:sz w:val="20"/>
          <w:szCs w:val="20"/>
          <w:u w:val="single"/>
          <w:lang w:eastAsia="fr-FR"/>
        </w:rPr>
      </w:pPr>
      <w:r w:rsidRPr="00B15634">
        <w:rPr>
          <w:rFonts w:ascii="Arial" w:hAnsi="Arial" w:cs="Arial"/>
          <w:b/>
          <w:bCs/>
          <w:color w:val="000000" w:themeColor="text1"/>
          <w:sz w:val="20"/>
          <w:szCs w:val="20"/>
          <w:highlight w:val="yellow"/>
          <w:u w:val="single"/>
          <w:lang w:eastAsia="fr-FR"/>
        </w:rPr>
        <w:t>CM7</w:t>
      </w:r>
      <w:r w:rsidRPr="00B15634">
        <w:rPr>
          <w:rFonts w:ascii="Arial" w:hAnsi="Arial" w:cs="Arial"/>
          <w:b/>
          <w:bCs/>
          <w:color w:val="000000" w:themeColor="text1"/>
          <w:sz w:val="20"/>
          <w:szCs w:val="20"/>
          <w:u w:val="single"/>
          <w:lang w:eastAsia="fr-FR"/>
        </w:rPr>
        <w:t xml:space="preserve"> – Régulation  « hormonale » de l’acte alimentaire </w:t>
      </w:r>
    </w:p>
    <w:p w14:paraId="36D711D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3D39DC5" w14:textId="77777777" w:rsidR="00ED4694" w:rsidRPr="00B15634" w:rsidRDefault="00ED4694" w:rsidP="00ED4694">
      <w:pPr>
        <w:pStyle w:val="Sansinterligne"/>
        <w:numPr>
          <w:ilvl w:val="0"/>
          <w:numId w:val="98"/>
        </w:numPr>
        <w:jc w:val="both"/>
        <w:rPr>
          <w:rFonts w:ascii="Arial" w:hAnsi="Arial" w:cs="Arial"/>
          <w:b/>
          <w:bCs/>
          <w:color w:val="00B0F0"/>
          <w:sz w:val="20"/>
          <w:szCs w:val="20"/>
          <w:u w:val="single"/>
          <w:lang w:eastAsia="fr-FR"/>
        </w:rPr>
      </w:pPr>
      <w:r w:rsidRPr="00B15634">
        <w:rPr>
          <w:rFonts w:ascii="Arial" w:hAnsi="Arial" w:cs="Arial"/>
          <w:b/>
          <w:bCs/>
          <w:color w:val="00B0F0"/>
          <w:sz w:val="20"/>
          <w:szCs w:val="20"/>
          <w:u w:val="single"/>
          <w:lang w:eastAsia="fr-FR"/>
        </w:rPr>
        <w:t xml:space="preserve">L’acte ou épisode alimentaire </w:t>
      </w:r>
    </w:p>
    <w:p w14:paraId="185891C5"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p>
    <w:p w14:paraId="18DCE825"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L’acte alimentaire normal :</w:t>
      </w:r>
    </w:p>
    <w:p w14:paraId="6DC2820B"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3 facteurs intriqués : </w:t>
      </w:r>
    </w:p>
    <w:p w14:paraId="5A03DF73"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cognitions </w:t>
      </w:r>
      <w:r w:rsidRPr="00B15634">
        <w:rPr>
          <w:rFonts w:ascii="Arial" w:hAnsi="Arial" w:cs="Arial"/>
          <w:color w:val="000000" w:themeColor="text1"/>
          <w:sz w:val="20"/>
          <w:szCs w:val="20"/>
          <w:lang w:eastAsia="fr-FR"/>
        </w:rPr>
        <w:t xml:space="preserve">= connaissance (mémoire) </w:t>
      </w:r>
    </w:p>
    <w:p w14:paraId="61A01791"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émotions </w:t>
      </w:r>
      <w:r w:rsidRPr="00B15634">
        <w:rPr>
          <w:rFonts w:ascii="Arial" w:hAnsi="Arial" w:cs="Arial"/>
          <w:color w:val="000000" w:themeColor="text1"/>
          <w:sz w:val="20"/>
          <w:szCs w:val="20"/>
          <w:lang w:eastAsia="fr-FR"/>
        </w:rPr>
        <w:t xml:space="preserve">= sensations (plaisir ou déplaisir) </w:t>
      </w:r>
    </w:p>
    <w:p w14:paraId="55B4F8E1"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stimuli </w:t>
      </w:r>
      <w:r w:rsidRPr="00B15634">
        <w:rPr>
          <w:rFonts w:ascii="Arial" w:hAnsi="Arial" w:cs="Arial"/>
          <w:color w:val="000000" w:themeColor="text1"/>
          <w:sz w:val="20"/>
          <w:szCs w:val="20"/>
          <w:lang w:eastAsia="fr-FR"/>
        </w:rPr>
        <w:t xml:space="preserve">= sensoriels </w:t>
      </w:r>
    </w:p>
    <w:p w14:paraId="1ABCBC76" w14:textId="77777777" w:rsidR="00ED4694" w:rsidRPr="00B15634" w:rsidRDefault="00ED4694" w:rsidP="00ED4694">
      <w:pPr>
        <w:pStyle w:val="Sansinterligne"/>
        <w:numPr>
          <w:ilvl w:val="0"/>
          <w:numId w:val="8"/>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Comportement = acte pour s’adapter à la situation perçue </w:t>
      </w:r>
    </w:p>
    <w:p w14:paraId="5596C3D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3E4328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3 fonctions : </w:t>
      </w:r>
    </w:p>
    <w:p w14:paraId="34731E97"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biologique </w:t>
      </w:r>
      <w:r w:rsidRPr="00B15634">
        <w:rPr>
          <w:rFonts w:ascii="Arial" w:hAnsi="Arial" w:cs="Arial"/>
          <w:color w:val="000000" w:themeColor="text1"/>
          <w:sz w:val="20"/>
          <w:szCs w:val="20"/>
          <w:lang w:eastAsia="fr-FR"/>
        </w:rPr>
        <w:t xml:space="preserve">= apport d’ énergie </w:t>
      </w:r>
    </w:p>
    <w:p w14:paraId="3F694D83"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hédonique </w:t>
      </w:r>
      <w:r w:rsidRPr="00B15634">
        <w:rPr>
          <w:rFonts w:ascii="Arial" w:hAnsi="Arial" w:cs="Arial"/>
          <w:color w:val="000000" w:themeColor="text1"/>
          <w:sz w:val="20"/>
          <w:szCs w:val="20"/>
          <w:lang w:eastAsia="fr-FR"/>
        </w:rPr>
        <w:t xml:space="preserve">(affectif et émotionnel) = apport de plaisir </w:t>
      </w:r>
    </w:p>
    <w:p w14:paraId="45CF7F71"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psychologique </w:t>
      </w:r>
      <w:r w:rsidRPr="00B15634">
        <w:rPr>
          <w:rFonts w:ascii="Arial" w:hAnsi="Arial" w:cs="Arial"/>
          <w:color w:val="000000" w:themeColor="text1"/>
          <w:sz w:val="20"/>
          <w:szCs w:val="20"/>
          <w:lang w:eastAsia="fr-FR"/>
        </w:rPr>
        <w:t xml:space="preserve">= symbolique (culturel et relationnel) </w:t>
      </w:r>
    </w:p>
    <w:p w14:paraId="4458FE9F" w14:textId="77777777" w:rsidR="00ED4694" w:rsidRPr="00B15634" w:rsidRDefault="00ED4694" w:rsidP="00ED4694">
      <w:pPr>
        <w:pStyle w:val="Sansinterligne"/>
        <w:numPr>
          <w:ilvl w:val="0"/>
          <w:numId w:val="8"/>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réponse ± adaptative à la dépense énergétique </w:t>
      </w:r>
    </w:p>
    <w:p w14:paraId="252CFB2C" w14:textId="77777777" w:rsidR="00ED4694" w:rsidRPr="00B15634" w:rsidRDefault="00ED4694" w:rsidP="00ED4694">
      <w:pPr>
        <w:pStyle w:val="Sansinterligne"/>
        <w:numPr>
          <w:ilvl w:val="0"/>
          <w:numId w:val="8"/>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pour assurer bien-être (état de bonne santé OMS) </w:t>
      </w:r>
    </w:p>
    <w:p w14:paraId="49AC7F8E"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9A649BE"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3 phases : </w:t>
      </w:r>
    </w:p>
    <w:p w14:paraId="7B67F216"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pré-ingestive </w:t>
      </w:r>
      <w:r w:rsidRPr="00B15634">
        <w:rPr>
          <w:rFonts w:ascii="Arial" w:hAnsi="Arial" w:cs="Arial"/>
          <w:color w:val="000000" w:themeColor="text1"/>
          <w:sz w:val="20"/>
          <w:szCs w:val="20"/>
          <w:lang w:eastAsia="fr-FR"/>
        </w:rPr>
        <w:t xml:space="preserve">ou pré-prandiale (faim) </w:t>
      </w:r>
    </w:p>
    <w:p w14:paraId="5DBF1DC4"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ingestive </w:t>
      </w:r>
      <w:r w:rsidRPr="00B15634">
        <w:rPr>
          <w:rFonts w:ascii="Arial" w:hAnsi="Arial" w:cs="Arial"/>
          <w:color w:val="000000" w:themeColor="text1"/>
          <w:sz w:val="20"/>
          <w:szCs w:val="20"/>
          <w:lang w:eastAsia="fr-FR"/>
        </w:rPr>
        <w:t>ou prandiale (appétit)</w:t>
      </w:r>
    </w:p>
    <w:p w14:paraId="07E5D813"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post-ingestive </w:t>
      </w:r>
      <w:r w:rsidRPr="00B15634">
        <w:rPr>
          <w:rFonts w:ascii="Arial" w:hAnsi="Arial" w:cs="Arial"/>
          <w:color w:val="000000" w:themeColor="text1"/>
          <w:sz w:val="20"/>
          <w:szCs w:val="20"/>
          <w:lang w:eastAsia="fr-FR"/>
        </w:rPr>
        <w:t xml:space="preserve">ou post-prandiale (satiété, absorption, métabolique) </w:t>
      </w:r>
    </w:p>
    <w:p w14:paraId="179F0BA6"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B8EA25D"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La séquence comportementale de 4 sensations ou signaux alimentaires en continuum </w:t>
      </w:r>
    </w:p>
    <w:p w14:paraId="39F7B96E"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faim </w:t>
      </w:r>
      <w:r w:rsidRPr="00B15634">
        <w:rPr>
          <w:rFonts w:ascii="Arial" w:hAnsi="Arial" w:cs="Arial"/>
          <w:color w:val="000000" w:themeColor="text1"/>
          <w:sz w:val="20"/>
          <w:szCs w:val="20"/>
          <w:lang w:eastAsia="fr-FR"/>
        </w:rPr>
        <w:t>= besoin de manger sans orientation vers un aliment précis</w:t>
      </w:r>
    </w:p>
    <w:p w14:paraId="6F917D29"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correspond à la fonction </w:t>
      </w:r>
      <w:r w:rsidRPr="004B74E8">
        <w:rPr>
          <w:rFonts w:ascii="Arial" w:hAnsi="Arial" w:cs="Arial"/>
          <w:b/>
          <w:bCs/>
          <w:color w:val="000000" w:themeColor="text1"/>
          <w:sz w:val="20"/>
          <w:szCs w:val="20"/>
          <w:lang w:eastAsia="fr-FR"/>
        </w:rPr>
        <w:t>biologique</w:t>
      </w:r>
      <w:r w:rsidRPr="00B15634">
        <w:rPr>
          <w:rFonts w:ascii="Arial" w:hAnsi="Arial" w:cs="Arial"/>
          <w:color w:val="000000" w:themeColor="text1"/>
          <w:sz w:val="20"/>
          <w:szCs w:val="20"/>
          <w:lang w:eastAsia="fr-FR"/>
        </w:rPr>
        <w:t xml:space="preserve"> </w:t>
      </w:r>
    </w:p>
    <w:p w14:paraId="3B7B83AF"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sensation de vide gastrique, anxiété, irritabilité, faiblesse, malaise </w:t>
      </w:r>
    </w:p>
    <w:p w14:paraId="0C7798BC"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informe sur le besoin d’apport en énergie (pas la quantité ni qualité) </w:t>
      </w:r>
    </w:p>
    <w:p w14:paraId="632B14B3" w14:textId="77777777" w:rsidR="00ED4694" w:rsidRPr="00B15634" w:rsidRDefault="00ED4694" w:rsidP="00ED4694">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appétit </w:t>
      </w:r>
      <w:r w:rsidRPr="00B15634">
        <w:rPr>
          <w:rFonts w:ascii="Arial" w:hAnsi="Arial" w:cs="Arial"/>
          <w:color w:val="000000" w:themeColor="text1"/>
          <w:sz w:val="20"/>
          <w:szCs w:val="20"/>
          <w:lang w:eastAsia="fr-FR"/>
        </w:rPr>
        <w:t xml:space="preserve">= envie de manger un aliment indépendamment du besoin en énergie correspond aux 3 fonctions </w:t>
      </w:r>
    </w:p>
    <w:p w14:paraId="06C5FDE8" w14:textId="77777777" w:rsidR="00ED4694" w:rsidRPr="00B15634" w:rsidRDefault="00ED4694" w:rsidP="00ED4694">
      <w:pPr>
        <w:pStyle w:val="Sansinterligne"/>
        <w:numPr>
          <w:ilvl w:val="1"/>
          <w:numId w:val="9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oriente vers la qualité des aliments requis (biologique) et appréciés (hédonique) </w:t>
      </w:r>
    </w:p>
    <w:p w14:paraId="74AA6FD1" w14:textId="1D9DC513" w:rsidR="00ED4694" w:rsidRPr="00B15634" w:rsidRDefault="00ED4694" w:rsidP="005F49B6">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rassasiement </w:t>
      </w:r>
      <w:r w:rsidRPr="00B15634">
        <w:rPr>
          <w:rFonts w:ascii="Arial" w:hAnsi="Arial" w:cs="Arial"/>
          <w:color w:val="000000" w:themeColor="text1"/>
          <w:sz w:val="20"/>
          <w:szCs w:val="20"/>
          <w:lang w:eastAsia="fr-FR"/>
        </w:rPr>
        <w:t xml:space="preserve">= sensation éprouvée à l’établissement progressif de la satiété correspond aux 3 fonctions et à la mise en place de la régulation </w:t>
      </w:r>
    </w:p>
    <w:p w14:paraId="49908A27" w14:textId="77777777" w:rsidR="00ED4694" w:rsidRPr="00B15634" w:rsidRDefault="00ED4694" w:rsidP="00ED4694">
      <w:pPr>
        <w:pStyle w:val="Sansinterligne"/>
        <w:ind w:left="720"/>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se manifeste à la baisse du plaisir gustatif</w:t>
      </w:r>
    </w:p>
    <w:p w14:paraId="4910E34B" w14:textId="77777777" w:rsidR="00ED4694" w:rsidRPr="00B15634" w:rsidRDefault="00ED4694" w:rsidP="00ED4694">
      <w:pPr>
        <w:pStyle w:val="Sansinterligne"/>
        <w:ind w:left="720"/>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détermine la quantité ingérée quelque soit la teneur énergétique </w:t>
      </w:r>
    </w:p>
    <w:p w14:paraId="27EC8805" w14:textId="2828E27D" w:rsidR="00ED4694" w:rsidRPr="00B15634" w:rsidRDefault="00ED4694" w:rsidP="005F49B6">
      <w:pPr>
        <w:pStyle w:val="Sansinterligne"/>
        <w:numPr>
          <w:ilvl w:val="0"/>
          <w:numId w:val="90"/>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satiété </w:t>
      </w:r>
      <w:r w:rsidRPr="00B15634">
        <w:rPr>
          <w:rFonts w:ascii="Arial" w:hAnsi="Arial" w:cs="Arial"/>
          <w:color w:val="000000" w:themeColor="text1"/>
          <w:sz w:val="20"/>
          <w:szCs w:val="20"/>
          <w:lang w:eastAsia="fr-FR"/>
        </w:rPr>
        <w:t xml:space="preserve">= disparition du besoin physiologique de manger, régulation (post absorption) </w:t>
      </w:r>
    </w:p>
    <w:p w14:paraId="382ADE2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F98D900"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Les 3 caractéristiques de l’acte :</w:t>
      </w:r>
    </w:p>
    <w:p w14:paraId="05C9D19C" w14:textId="77777777" w:rsidR="00ED4694" w:rsidRPr="00B15634" w:rsidRDefault="00ED4694" w:rsidP="00ED4694">
      <w:pPr>
        <w:pStyle w:val="Sansinterligne"/>
        <w:numPr>
          <w:ilvl w:val="0"/>
          <w:numId w:val="99"/>
        </w:numPr>
        <w:jc w:val="both"/>
        <w:rPr>
          <w:rFonts w:ascii="Arial" w:hAnsi="Arial" w:cs="Arial"/>
          <w:color w:val="ED7D31" w:themeColor="accent2"/>
          <w:sz w:val="20"/>
          <w:szCs w:val="20"/>
          <w:lang w:eastAsia="fr-FR"/>
        </w:rPr>
      </w:pPr>
      <w:r w:rsidRPr="00B15634">
        <w:rPr>
          <w:rFonts w:ascii="Arial" w:hAnsi="Arial" w:cs="Arial"/>
          <w:color w:val="ED7D31" w:themeColor="accent2"/>
          <w:sz w:val="20"/>
          <w:szCs w:val="20"/>
          <w:lang w:eastAsia="fr-FR"/>
        </w:rPr>
        <w:t xml:space="preserve">rythmé = épisodes discontinus </w:t>
      </w:r>
    </w:p>
    <w:p w14:paraId="2A7B03C6" w14:textId="77777777" w:rsidR="00ED4694" w:rsidRPr="00B15634" w:rsidRDefault="00ED4694" w:rsidP="00ED4694">
      <w:pPr>
        <w:pStyle w:val="Sansinterligne"/>
        <w:ind w:left="720"/>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prise alimentaire (épisode actif diurne) et jeûne (épisode de repos nocturne) </w:t>
      </w:r>
    </w:p>
    <w:p w14:paraId="4C4C7BF3" w14:textId="77777777" w:rsidR="00ED4694" w:rsidRPr="00B15634" w:rsidRDefault="00ED4694" w:rsidP="00ED4694">
      <w:pPr>
        <w:pStyle w:val="Sansinterligne"/>
        <w:ind w:left="720"/>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utilisation continue des substrats par la cellule</w:t>
      </w:r>
    </w:p>
    <w:p w14:paraId="2D3BFBE2" w14:textId="77777777" w:rsidR="00ED4694" w:rsidRPr="00B15634" w:rsidRDefault="00ED4694" w:rsidP="00ED4694">
      <w:pPr>
        <w:pStyle w:val="Sansinterligne"/>
        <w:numPr>
          <w:ilvl w:val="0"/>
          <w:numId w:val="102"/>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orientation différente des flux énergétiques pendant ces 2 épisodes vers utilisation ou stockage </w:t>
      </w:r>
    </w:p>
    <w:p w14:paraId="713AE870"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régulé </w:t>
      </w:r>
      <w:r w:rsidRPr="00B15634">
        <w:rPr>
          <w:rFonts w:ascii="Arial" w:hAnsi="Arial" w:cs="Arial"/>
          <w:color w:val="000000" w:themeColor="text1"/>
          <w:sz w:val="20"/>
          <w:szCs w:val="20"/>
          <w:lang w:eastAsia="fr-FR"/>
        </w:rPr>
        <w:t xml:space="preserve">(homéostasie énergétique) </w:t>
      </w:r>
      <w:r w:rsidRPr="00B15634">
        <w:rPr>
          <w:rFonts w:ascii="Arial" w:hAnsi="Arial" w:cs="Arial"/>
          <w:color w:val="ED7D31" w:themeColor="accent2"/>
          <w:sz w:val="20"/>
          <w:szCs w:val="20"/>
          <w:lang w:eastAsia="fr-FR"/>
        </w:rPr>
        <w:t xml:space="preserve">qualitativement </w:t>
      </w:r>
      <w:r w:rsidRPr="00B15634">
        <w:rPr>
          <w:rFonts w:ascii="Arial" w:hAnsi="Arial" w:cs="Arial"/>
          <w:color w:val="000000" w:themeColor="text1"/>
          <w:sz w:val="20"/>
          <w:szCs w:val="20"/>
          <w:lang w:eastAsia="fr-FR"/>
        </w:rPr>
        <w:t xml:space="preserve">(nature, teneur énergétique des aliments) et  </w:t>
      </w:r>
      <w:r w:rsidRPr="00B15634">
        <w:rPr>
          <w:rFonts w:ascii="Arial" w:hAnsi="Arial" w:cs="Arial"/>
          <w:color w:val="ED7D31" w:themeColor="accent2"/>
          <w:sz w:val="20"/>
          <w:szCs w:val="20"/>
          <w:lang w:eastAsia="fr-FR"/>
        </w:rPr>
        <w:t xml:space="preserve">quantitativement </w:t>
      </w:r>
      <w:r w:rsidRPr="00B15634">
        <w:rPr>
          <w:rFonts w:ascii="Arial" w:hAnsi="Arial" w:cs="Arial"/>
          <w:color w:val="000000" w:themeColor="text1"/>
          <w:sz w:val="20"/>
          <w:szCs w:val="20"/>
          <w:lang w:eastAsia="fr-FR"/>
        </w:rPr>
        <w:t xml:space="preserve">(volume ingéré, intervalle inter-épisodes, disponibilité des  aliments) </w:t>
      </w:r>
    </w:p>
    <w:p w14:paraId="7BF3FAA2"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contrôlé par le SNC </w:t>
      </w:r>
      <w:r w:rsidRPr="00B15634">
        <w:rPr>
          <w:rFonts w:ascii="Arial" w:hAnsi="Arial" w:cs="Arial"/>
          <w:color w:val="000000" w:themeColor="text1"/>
          <w:sz w:val="20"/>
          <w:szCs w:val="20"/>
          <w:lang w:eastAsia="fr-FR"/>
        </w:rPr>
        <w:t>(hypothalamus) comme tout comportement via neurones, hormones... =</w:t>
      </w:r>
    </w:p>
    <w:p w14:paraId="59E3130F" w14:textId="77777777" w:rsidR="00ED4694" w:rsidRPr="00B15634" w:rsidRDefault="00ED4694" w:rsidP="00ED4694">
      <w:pPr>
        <w:pStyle w:val="Sansinterligne"/>
        <w:numPr>
          <w:ilvl w:val="0"/>
          <w:numId w:val="8"/>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Réseau de facteurs complexes et intriqués </w:t>
      </w:r>
    </w:p>
    <w:p w14:paraId="775F0A2D" w14:textId="77777777" w:rsidR="00ED4694" w:rsidRPr="00B15634" w:rsidRDefault="00ED4694" w:rsidP="00ED4694">
      <w:pPr>
        <w:pStyle w:val="Sansinterligne"/>
        <w:jc w:val="both"/>
        <w:rPr>
          <w:rFonts w:ascii="Arial" w:hAnsi="Arial" w:cs="Arial"/>
          <w:b/>
          <w:bCs/>
          <w:color w:val="000000" w:themeColor="text1"/>
          <w:sz w:val="20"/>
          <w:szCs w:val="20"/>
          <w:lang w:eastAsia="fr-FR"/>
        </w:rPr>
      </w:pPr>
    </w:p>
    <w:p w14:paraId="1416577D" w14:textId="77777777" w:rsidR="00ED4694" w:rsidRPr="00B15634" w:rsidRDefault="00ED4694" w:rsidP="00ED4694">
      <w:pPr>
        <w:pStyle w:val="Sansinterligne"/>
        <w:numPr>
          <w:ilvl w:val="0"/>
          <w:numId w:val="98"/>
        </w:numPr>
        <w:jc w:val="both"/>
        <w:rPr>
          <w:rFonts w:ascii="Arial" w:hAnsi="Arial" w:cs="Arial"/>
          <w:b/>
          <w:bCs/>
          <w:color w:val="00B0F0"/>
          <w:sz w:val="20"/>
          <w:szCs w:val="20"/>
          <w:u w:val="single"/>
          <w:lang w:eastAsia="fr-FR"/>
        </w:rPr>
      </w:pPr>
      <w:r w:rsidRPr="00B15634">
        <w:rPr>
          <w:rFonts w:ascii="Arial" w:hAnsi="Arial" w:cs="Arial"/>
          <w:b/>
          <w:bCs/>
          <w:color w:val="00B0F0"/>
          <w:sz w:val="20"/>
          <w:szCs w:val="20"/>
          <w:u w:val="single"/>
          <w:lang w:eastAsia="fr-FR"/>
        </w:rPr>
        <w:t xml:space="preserve">Les acteurs de la régulation </w:t>
      </w:r>
    </w:p>
    <w:p w14:paraId="382702B2" w14:textId="77777777" w:rsidR="00ED4694" w:rsidRPr="00B15634" w:rsidRDefault="00ED4694" w:rsidP="00ED4694">
      <w:pPr>
        <w:pStyle w:val="Sansinterligne"/>
        <w:numPr>
          <w:ilvl w:val="0"/>
          <w:numId w:val="103"/>
        </w:numPr>
        <w:jc w:val="both"/>
        <w:rPr>
          <w:rFonts w:ascii="Arial" w:hAnsi="Arial" w:cs="Arial"/>
          <w:color w:val="70AD47" w:themeColor="accent6"/>
          <w:sz w:val="20"/>
          <w:szCs w:val="20"/>
          <w:u w:val="single"/>
          <w:lang w:eastAsia="fr-FR"/>
        </w:rPr>
      </w:pPr>
      <w:r w:rsidRPr="00B15634">
        <w:rPr>
          <w:rFonts w:ascii="Arial" w:hAnsi="Arial" w:cs="Arial"/>
          <w:color w:val="70AD47" w:themeColor="accent6"/>
          <w:sz w:val="20"/>
          <w:szCs w:val="20"/>
          <w:u w:val="single"/>
          <w:lang w:eastAsia="fr-FR"/>
        </w:rPr>
        <w:t xml:space="preserve">Contrôle ou régulation centrale (SNC) : structures, neurones, et médiateurs </w:t>
      </w:r>
    </w:p>
    <w:p w14:paraId="4B9F278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3BD319A"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Thalamus, système limbique et hypothalamus </w:t>
      </w:r>
    </w:p>
    <w:p w14:paraId="7C24B191"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Thalamus, système limbique </w:t>
      </w:r>
      <w:r w:rsidRPr="00B15634">
        <w:rPr>
          <w:rFonts w:ascii="Arial" w:hAnsi="Arial" w:cs="Arial"/>
          <w:color w:val="000000" w:themeColor="text1"/>
          <w:sz w:val="20"/>
          <w:szCs w:val="20"/>
          <w:lang w:eastAsia="fr-FR"/>
        </w:rPr>
        <w:t xml:space="preserve">: connectés à l’hypothalamus et impliqués dans le contrôle de l’appétit et l’intégration homéostasique, connectés à ... </w:t>
      </w:r>
    </w:p>
    <w:p w14:paraId="26BCF29A"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Hypothalamus</w:t>
      </w:r>
      <w:r w:rsidRPr="00B15634">
        <w:rPr>
          <w:rFonts w:ascii="Arial" w:hAnsi="Arial" w:cs="Arial"/>
          <w:color w:val="000000" w:themeColor="text1"/>
          <w:sz w:val="20"/>
          <w:szCs w:val="20"/>
          <w:lang w:eastAsia="fr-FR"/>
        </w:rPr>
        <w:t>: sous le plancher du 3</w:t>
      </w:r>
      <w:r w:rsidRPr="00B15634">
        <w:rPr>
          <w:rFonts w:ascii="Arial" w:hAnsi="Arial" w:cs="Arial"/>
          <w:color w:val="000000" w:themeColor="text1"/>
          <w:sz w:val="20"/>
          <w:szCs w:val="20"/>
          <w:vertAlign w:val="superscript"/>
          <w:lang w:eastAsia="fr-FR"/>
        </w:rPr>
        <w:t>ème</w:t>
      </w:r>
      <w:r w:rsidRPr="00B15634">
        <w:rPr>
          <w:rFonts w:ascii="Arial" w:hAnsi="Arial" w:cs="Arial"/>
          <w:color w:val="000000" w:themeColor="text1"/>
          <w:sz w:val="20"/>
          <w:szCs w:val="20"/>
          <w:lang w:eastAsia="fr-FR"/>
        </w:rPr>
        <w:t xml:space="preserve"> ventricule </w:t>
      </w:r>
    </w:p>
    <w:p w14:paraId="39B3B937" w14:textId="77777777" w:rsidR="00ED4694" w:rsidRPr="00B15634" w:rsidRDefault="00ED4694" w:rsidP="00ED4694">
      <w:pPr>
        <w:pStyle w:val="Sansinterligne"/>
        <w:numPr>
          <w:ilvl w:val="1"/>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informations centrales (SNC) et périphériques (sang: hormones, glucose...)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double régulation</w:t>
      </w:r>
    </w:p>
    <w:p w14:paraId="3ED54075" w14:textId="77777777" w:rsidR="00ED4694" w:rsidRPr="00B15634" w:rsidRDefault="00ED4694" w:rsidP="00ED4694">
      <w:pPr>
        <w:pStyle w:val="Sansinterligne"/>
        <w:numPr>
          <w:ilvl w:val="1"/>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comprend différents noyaux « interconnectés » avec neurones, médiateurs, et régulations spécifiques </w:t>
      </w:r>
    </w:p>
    <w:p w14:paraId="16169B4D" w14:textId="77777777" w:rsidR="00ED4694" w:rsidRPr="00B15634" w:rsidRDefault="00ED4694" w:rsidP="00ED4694">
      <w:pPr>
        <w:pStyle w:val="Sansinterligne"/>
        <w:numPr>
          <w:ilvl w:val="1"/>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Noyau arqué (NA) : neurones à NPY/AgRP , à POMC/CART informé puis projette vers autres noyaux </w:t>
      </w:r>
    </w:p>
    <w:p w14:paraId="7C50A7CB" w14:textId="77777777" w:rsidR="00ED4694" w:rsidRPr="00B15634" w:rsidRDefault="00ED4694" w:rsidP="00ED4694">
      <w:pPr>
        <w:pStyle w:val="Sansinterligne"/>
        <w:numPr>
          <w:ilvl w:val="1"/>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Autres noyaux : noyau paraventriculaire (centre intégrateur), noyau ventro-médian (centre de satiété), noyau dorso-médian (initiation de l’acte) </w:t>
      </w:r>
    </w:p>
    <w:p w14:paraId="3D421A3F"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BF5B456"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Neurones et neuromédiateurs </w:t>
      </w:r>
    </w:p>
    <w:p w14:paraId="0C140BBB"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à</w:t>
      </w:r>
      <w:r w:rsidRPr="00B15634">
        <w:rPr>
          <w:rFonts w:ascii="Arial" w:hAnsi="Arial" w:cs="Arial"/>
          <w:color w:val="ED7D31" w:themeColor="accent2"/>
          <w:sz w:val="20"/>
          <w:szCs w:val="20"/>
          <w:lang w:eastAsia="fr-FR"/>
        </w:rPr>
        <w:t xml:space="preserve"> Neuropeptide Y (NPY) &amp; Agouti-related peptide (AgRP) </w:t>
      </w:r>
      <w:r w:rsidRPr="00B15634">
        <w:rPr>
          <w:rFonts w:ascii="Arial" w:hAnsi="Arial" w:cs="Arial"/>
          <w:color w:val="000000" w:themeColor="text1"/>
          <w:sz w:val="20"/>
          <w:szCs w:val="20"/>
          <w:lang w:eastAsia="fr-FR"/>
        </w:rPr>
        <w:t>: neurones glucosensibles, principalement dans NA, actions: orexigène</w:t>
      </w:r>
    </w:p>
    <w:p w14:paraId="7812B928" w14:textId="77777777" w:rsidR="00ED4694" w:rsidRPr="00B15634" w:rsidRDefault="00ED4694" w:rsidP="00ED4694">
      <w:pPr>
        <w:pStyle w:val="Sansinterligne"/>
        <w:numPr>
          <w:ilvl w:val="1"/>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sécrétion d'insuline, ↑ stockage des graisses, ↓lipolyse, ↑ poids, ↓ thermogenèse régulations:</w:t>
      </w:r>
    </w:p>
    <w:p w14:paraId="01562487" w14:textId="77777777" w:rsidR="00ED4694" w:rsidRPr="00B15634" w:rsidRDefault="00ED4694" w:rsidP="00ED4694">
      <w:pPr>
        <w:pStyle w:val="Sansinterligne"/>
        <w:numPr>
          <w:ilvl w:val="1"/>
          <w:numId w:val="99"/>
        </w:numPr>
        <w:jc w:val="both"/>
        <w:rPr>
          <w:rFonts w:ascii="Arial" w:hAnsi="Arial" w:cs="Arial"/>
          <w:color w:val="ED7D31" w:themeColor="accent2"/>
          <w:sz w:val="20"/>
          <w:szCs w:val="20"/>
          <w:lang w:eastAsia="fr-FR"/>
        </w:rPr>
      </w:pPr>
      <w:r w:rsidRPr="00B15634">
        <w:rPr>
          <w:rFonts w:ascii="Arial" w:hAnsi="Arial" w:cs="Arial"/>
          <w:color w:val="ED7D31" w:themeColor="accent2"/>
          <w:sz w:val="20"/>
          <w:szCs w:val="20"/>
          <w:lang w:eastAsia="fr-FR"/>
        </w:rPr>
        <w:t xml:space="preserve">↑ par Ghréline et cortisol; ↓ par leptine &amp; insuline </w:t>
      </w:r>
    </w:p>
    <w:p w14:paraId="60C3FF38"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w:t>
      </w:r>
    </w:p>
    <w:p w14:paraId="5A22FFAE"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lastRenderedPageBreak/>
        <w:t xml:space="preserve">à </w:t>
      </w:r>
      <w:r w:rsidRPr="00B15634">
        <w:rPr>
          <w:rFonts w:ascii="Arial" w:hAnsi="Arial" w:cs="Arial"/>
          <w:color w:val="ED7D31" w:themeColor="accent2"/>
          <w:sz w:val="20"/>
          <w:szCs w:val="20"/>
          <w:lang w:eastAsia="fr-FR"/>
        </w:rPr>
        <w:t xml:space="preserve">Proopiomélanocortine (POMC) &amp; Cocaine and Amphetamine regulated transcript (CART) </w:t>
      </w:r>
      <w:r w:rsidRPr="00B15634">
        <w:rPr>
          <w:rFonts w:ascii="Arial" w:hAnsi="Arial" w:cs="Arial"/>
          <w:color w:val="000000" w:themeColor="text1"/>
          <w:sz w:val="20"/>
          <w:szCs w:val="20"/>
          <w:lang w:eastAsia="fr-FR"/>
        </w:rPr>
        <w:t xml:space="preserve">PMOC =&gt; </w:t>
      </w:r>
      <w:r w:rsidRPr="00B15634">
        <w:rPr>
          <w:rFonts w:ascii="Arial" w:hAnsi="Arial" w:cs="Arial"/>
          <w:color w:val="ED7D31" w:themeColor="accent2"/>
          <w:sz w:val="20"/>
          <w:szCs w:val="20"/>
          <w:lang w:eastAsia="fr-FR"/>
        </w:rPr>
        <w:t xml:space="preserve">ACTH </w:t>
      </w:r>
      <w:r w:rsidRPr="00B15634">
        <w:rPr>
          <w:rFonts w:ascii="Arial" w:hAnsi="Arial" w:cs="Arial"/>
          <w:color w:val="000000" w:themeColor="text1"/>
          <w:sz w:val="20"/>
          <w:szCs w:val="20"/>
          <w:lang w:eastAsia="fr-FR"/>
        </w:rPr>
        <w:t xml:space="preserve">et </w:t>
      </w:r>
      <w:r w:rsidRPr="00B15634">
        <w:rPr>
          <w:rFonts w:ascii="Arial" w:hAnsi="Arial" w:cs="Arial"/>
          <w:color w:val="ED7D31" w:themeColor="accent2"/>
          <w:sz w:val="20"/>
          <w:szCs w:val="20"/>
          <w:lang w:eastAsia="fr-FR"/>
        </w:rPr>
        <w:sym w:font="Symbol" w:char="F061"/>
      </w:r>
      <w:r w:rsidRPr="00B15634">
        <w:rPr>
          <w:rFonts w:ascii="Arial" w:hAnsi="Arial" w:cs="Arial"/>
          <w:color w:val="ED7D31" w:themeColor="accent2"/>
          <w:sz w:val="20"/>
          <w:szCs w:val="20"/>
          <w:lang w:eastAsia="fr-FR"/>
        </w:rPr>
        <w:t>MSH </w:t>
      </w:r>
      <w:r w:rsidRPr="00B15634">
        <w:rPr>
          <w:rFonts w:ascii="Arial" w:hAnsi="Arial" w:cs="Arial"/>
          <w:color w:val="000000" w:themeColor="text1"/>
          <w:sz w:val="20"/>
          <w:szCs w:val="20"/>
          <w:lang w:eastAsia="fr-FR"/>
        </w:rPr>
        <w:t>: neurones glucosensibles, principalement dans NA actions: anorexigène</w:t>
      </w:r>
      <w:r w:rsidRPr="00B15634">
        <w:rPr>
          <w:rFonts w:ascii="Arial" w:hAnsi="Arial" w:cs="Arial"/>
          <w:color w:val="000000" w:themeColor="text1"/>
          <w:sz w:val="20"/>
          <w:szCs w:val="20"/>
          <w:lang w:eastAsia="fr-FR"/>
        </w:rPr>
        <w:br/>
        <w:t xml:space="preserve">régulations: </w:t>
      </w:r>
    </w:p>
    <w:p w14:paraId="0BB79094" w14:textId="77777777" w:rsidR="00ED4694" w:rsidRPr="00B15634" w:rsidRDefault="00ED4694" w:rsidP="00ED4694">
      <w:pPr>
        <w:pStyle w:val="Sansinterligne"/>
        <w:numPr>
          <w:ilvl w:val="1"/>
          <w:numId w:val="99"/>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 par leptine </w:t>
      </w:r>
      <w:r w:rsidRPr="00B15634">
        <w:rPr>
          <w:rFonts w:ascii="Arial" w:hAnsi="Arial" w:cs="Arial"/>
          <w:color w:val="000000" w:themeColor="text1"/>
          <w:sz w:val="20"/>
          <w:szCs w:val="20"/>
          <w:lang w:eastAsia="fr-FR"/>
        </w:rPr>
        <w:t xml:space="preserve">&amp; insuline &amp; GLP1 </w:t>
      </w:r>
    </w:p>
    <w:p w14:paraId="1C32337E"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 dopamine, Galanine, CRH.... </w:t>
      </w:r>
    </w:p>
    <w:p w14:paraId="4CEE255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71A6545" w14:textId="77777777" w:rsidR="00ED4694" w:rsidRPr="00B15634" w:rsidRDefault="00ED4694" w:rsidP="00ED4694">
      <w:pPr>
        <w:pStyle w:val="Sansinterligne"/>
        <w:numPr>
          <w:ilvl w:val="0"/>
          <w:numId w:val="8"/>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Neurones interconnectés</w:t>
      </w:r>
    </w:p>
    <w:p w14:paraId="7AAC07E4" w14:textId="77777777" w:rsidR="00ED4694" w:rsidRPr="00B15634" w:rsidRDefault="00ED4694" w:rsidP="00ED4694">
      <w:pPr>
        <w:pStyle w:val="Sansinterligne"/>
        <w:numPr>
          <w:ilvl w:val="0"/>
          <w:numId w:val="8"/>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NA intègre informations centrales et périphérique </w:t>
      </w:r>
    </w:p>
    <w:p w14:paraId="34B7B163" w14:textId="77777777" w:rsidR="00ED4694" w:rsidRPr="00B15634" w:rsidRDefault="00ED4694" w:rsidP="00ED4694">
      <w:pPr>
        <w:pStyle w:val="Sansinterligne"/>
        <w:numPr>
          <w:ilvl w:val="0"/>
          <w:numId w:val="8"/>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Puis projette vers tous les autres noyaux</w:t>
      </w:r>
    </w:p>
    <w:p w14:paraId="061CEAAD" w14:textId="77777777" w:rsidR="00ED4694" w:rsidRPr="00B15634" w:rsidRDefault="00ED4694" w:rsidP="00ED4694">
      <w:pPr>
        <w:pStyle w:val="Sansinterligne"/>
        <w:numPr>
          <w:ilvl w:val="0"/>
          <w:numId w:val="8"/>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Pour réguler la prise alimentaire </w:t>
      </w:r>
    </w:p>
    <w:p w14:paraId="1E639BCF"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E5D0713" w14:textId="77777777" w:rsidR="00ED4694" w:rsidRPr="00B15634" w:rsidRDefault="00ED4694" w:rsidP="00ED4694">
      <w:pPr>
        <w:pStyle w:val="Sansinterligne"/>
        <w:numPr>
          <w:ilvl w:val="0"/>
          <w:numId w:val="103"/>
        </w:numPr>
        <w:jc w:val="both"/>
        <w:rPr>
          <w:rFonts w:ascii="Arial" w:hAnsi="Arial" w:cs="Arial"/>
          <w:color w:val="70AD47" w:themeColor="accent6"/>
          <w:sz w:val="20"/>
          <w:szCs w:val="20"/>
          <w:u w:val="single"/>
          <w:lang w:eastAsia="fr-FR"/>
        </w:rPr>
      </w:pPr>
      <w:r w:rsidRPr="00B15634">
        <w:rPr>
          <w:rFonts w:ascii="Arial" w:hAnsi="Arial" w:cs="Arial"/>
          <w:color w:val="70AD47" w:themeColor="accent6"/>
          <w:sz w:val="20"/>
          <w:szCs w:val="20"/>
          <w:u w:val="single"/>
          <w:lang w:eastAsia="fr-FR"/>
        </w:rPr>
        <w:t xml:space="preserve">Régulation « hormonale » périphérique (tube digestif, pancréas et tissu adipeux) </w:t>
      </w:r>
    </w:p>
    <w:p w14:paraId="01E54A8F"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p>
    <w:p w14:paraId="5469FDBB"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Principaux peptides digestifs &amp; localisation </w:t>
      </w:r>
    </w:p>
    <w:p w14:paraId="0137C81B"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Containers/UBF8T346G9.ms/WebArchiveCopyPasteTempFiles/com.microsoft.Word/page12image1414657760"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noProof/>
          <w:color w:val="000000" w:themeColor="text1"/>
          <w:sz w:val="20"/>
          <w:szCs w:val="20"/>
          <w:lang w:eastAsia="fr-FR"/>
        </w:rPr>
        <w:drawing>
          <wp:anchor distT="0" distB="0" distL="114300" distR="114300" simplePos="0" relativeHeight="251687936" behindDoc="1" locked="0" layoutInCell="1" allowOverlap="1" wp14:anchorId="6175D934" wp14:editId="011A78C2">
            <wp:simplePos x="0" y="0"/>
            <wp:positionH relativeFrom="column">
              <wp:posOffset>0</wp:posOffset>
            </wp:positionH>
            <wp:positionV relativeFrom="paragraph">
              <wp:posOffset>5080</wp:posOffset>
            </wp:positionV>
            <wp:extent cx="2231390" cy="1704340"/>
            <wp:effectExtent l="0" t="0" r="3810" b="0"/>
            <wp:wrapTight wrapText="bothSides">
              <wp:wrapPolygon edited="0">
                <wp:start x="0" y="0"/>
                <wp:lineTo x="0" y="21407"/>
                <wp:lineTo x="21514" y="21407"/>
                <wp:lineTo x="21514" y="0"/>
                <wp:lineTo x="0" y="0"/>
              </wp:wrapPolygon>
            </wp:wrapTight>
            <wp:docPr id="1144904119" name="Image 80" descr="page12image1414657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ge12image141465776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31390" cy="1704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color w:val="000000" w:themeColor="text1"/>
          <w:sz w:val="20"/>
          <w:szCs w:val="20"/>
          <w:lang w:eastAsia="fr-FR"/>
        </w:rPr>
        <w:fldChar w:fldCharType="end"/>
      </w:r>
    </w:p>
    <w:p w14:paraId="54045DC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68E1D9E"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5130D8A"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6FB4A7D"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La ghréline est strictement présente dans l’estomac (dans le cas de la digestion, car sinon elle peut être présente dans d’autres tissus : pancréas). La CCK, GLP-1 et PYY sont présents dans l’intestin grêle. </w:t>
      </w:r>
    </w:p>
    <w:p w14:paraId="016571B5"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BC7ED7E"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FEED238"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8036C58"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66064CB"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B078282"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A2688FF"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3627B53" w14:textId="77777777" w:rsidR="00ED4694" w:rsidRPr="00B15634" w:rsidRDefault="00ED4694" w:rsidP="00ED4694">
      <w:pPr>
        <w:pStyle w:val="Sansinterligne"/>
        <w:jc w:val="both"/>
        <w:rPr>
          <w:rFonts w:ascii="Arial" w:hAnsi="Arial" w:cs="Arial"/>
          <w:b/>
          <w:bCs/>
          <w:color w:val="000000" w:themeColor="text1"/>
          <w:sz w:val="20"/>
          <w:szCs w:val="20"/>
          <w:u w:val="single"/>
          <w:lang w:eastAsia="fr-FR"/>
        </w:rPr>
      </w:pPr>
      <w:r w:rsidRPr="00B15634">
        <w:rPr>
          <w:rFonts w:ascii="Arial" w:hAnsi="Arial" w:cs="Arial"/>
          <w:b/>
          <w:bCs/>
          <w:color w:val="000000" w:themeColor="text1"/>
          <w:sz w:val="20"/>
          <w:szCs w:val="20"/>
          <w:u w:val="single"/>
          <w:lang w:eastAsia="fr-FR"/>
        </w:rPr>
        <w:t>Estomac</w:t>
      </w:r>
    </w:p>
    <w:p w14:paraId="4421ED14" w14:textId="77777777" w:rsidR="00ED4694" w:rsidRPr="00B15634" w:rsidRDefault="00ED4694" w:rsidP="00ED4694">
      <w:pPr>
        <w:pStyle w:val="Sansinterligne"/>
        <w:jc w:val="both"/>
        <w:rPr>
          <w:rFonts w:ascii="Arial" w:hAnsi="Arial" w:cs="Arial"/>
          <w:color w:val="70AD47" w:themeColor="accent6"/>
          <w:sz w:val="20"/>
          <w:szCs w:val="20"/>
          <w:lang w:eastAsia="fr-FR"/>
        </w:rPr>
      </w:pPr>
      <w:r w:rsidRPr="00B15634">
        <w:rPr>
          <w:rFonts w:ascii="Arial" w:hAnsi="Arial" w:cs="Arial"/>
          <w:b/>
          <w:bCs/>
          <w:color w:val="70AD47" w:themeColor="accent6"/>
          <w:sz w:val="20"/>
          <w:szCs w:val="20"/>
          <w:u w:val="single"/>
          <w:lang w:eastAsia="fr-FR"/>
        </w:rPr>
        <w:t>La</w:t>
      </w:r>
      <w:r w:rsidRPr="00B15634">
        <w:rPr>
          <w:rFonts w:ascii="Arial" w:hAnsi="Arial" w:cs="Arial"/>
          <w:color w:val="70AD47" w:themeColor="accent6"/>
          <w:sz w:val="20"/>
          <w:szCs w:val="20"/>
          <w:u w:val="single"/>
          <w:lang w:eastAsia="fr-FR"/>
        </w:rPr>
        <w:t xml:space="preserve"> </w:t>
      </w:r>
      <w:r w:rsidRPr="00B15634">
        <w:rPr>
          <w:rFonts w:ascii="Arial" w:hAnsi="Arial" w:cs="Arial"/>
          <w:b/>
          <w:bCs/>
          <w:color w:val="70AD47" w:themeColor="accent6"/>
          <w:sz w:val="20"/>
          <w:szCs w:val="20"/>
          <w:u w:val="single"/>
          <w:lang w:eastAsia="fr-FR"/>
        </w:rPr>
        <w:t>ghréline</w:t>
      </w:r>
      <w:r w:rsidRPr="00B15634">
        <w:rPr>
          <w:rFonts w:ascii="Arial" w:hAnsi="Arial" w:cs="Arial"/>
          <w:color w:val="70AD47" w:themeColor="accent6"/>
          <w:sz w:val="20"/>
          <w:szCs w:val="20"/>
          <w:u w:val="single"/>
          <w:lang w:eastAsia="fr-FR"/>
        </w:rPr>
        <w:t> :</w:t>
      </w:r>
    </w:p>
    <w:p w14:paraId="6490EE82"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Peptide </w:t>
      </w:r>
      <w:r w:rsidRPr="00B15634">
        <w:rPr>
          <w:rFonts w:ascii="Arial" w:hAnsi="Arial" w:cs="Arial"/>
          <w:color w:val="000000" w:themeColor="text1"/>
          <w:sz w:val="20"/>
          <w:szCs w:val="20"/>
          <w:lang w:eastAsia="fr-FR"/>
        </w:rPr>
        <w:t xml:space="preserve">28 AA </w:t>
      </w:r>
    </w:p>
    <w:p w14:paraId="271ACDB1"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Cellules enteroendocrines du fundus gastrique </w:t>
      </w:r>
    </w:p>
    <w:p w14:paraId="4A51B852" w14:textId="77777777" w:rsidR="00ED4694" w:rsidRPr="00B15634" w:rsidRDefault="00ED4694" w:rsidP="00ED4694">
      <w:pPr>
        <w:pStyle w:val="Sansinterligne"/>
        <w:numPr>
          <w:ilvl w:val="0"/>
          <w:numId w:val="99"/>
        </w:numPr>
        <w:jc w:val="both"/>
        <w:rPr>
          <w:rFonts w:ascii="Arial" w:hAnsi="Arial" w:cs="Arial"/>
          <w:color w:val="ED7D31" w:themeColor="accent2"/>
          <w:sz w:val="20"/>
          <w:szCs w:val="20"/>
          <w:lang w:eastAsia="fr-FR"/>
        </w:rPr>
      </w:pPr>
      <w:r w:rsidRPr="00B15634">
        <w:rPr>
          <w:rFonts w:ascii="Arial" w:hAnsi="Arial" w:cs="Arial"/>
          <w:color w:val="000000" w:themeColor="text1"/>
          <w:sz w:val="20"/>
          <w:szCs w:val="20"/>
          <w:lang w:eastAsia="fr-FR"/>
        </w:rPr>
        <w:t xml:space="preserve">activé après acylation (par la GOAT) sur des </w:t>
      </w:r>
      <w:r w:rsidRPr="00B15634">
        <w:rPr>
          <w:rFonts w:ascii="Arial" w:hAnsi="Arial" w:cs="Arial"/>
          <w:color w:val="ED7D31" w:themeColor="accent2"/>
          <w:sz w:val="20"/>
          <w:szCs w:val="20"/>
          <w:lang w:eastAsia="fr-FR"/>
        </w:rPr>
        <w:t xml:space="preserve">récepteurs périphériques et centraux </w:t>
      </w:r>
    </w:p>
    <w:p w14:paraId="3C190465" w14:textId="77777777" w:rsidR="00ED4694" w:rsidRPr="00B15634" w:rsidRDefault="00ED4694" w:rsidP="00ED4694">
      <w:pPr>
        <w:pStyle w:val="Sansinterligne"/>
        <w:jc w:val="both"/>
        <w:rPr>
          <w:rFonts w:ascii="Arial" w:hAnsi="Arial" w:cs="Arial"/>
          <w:color w:val="ED7D31" w:themeColor="accent2"/>
          <w:sz w:val="20"/>
          <w:szCs w:val="20"/>
          <w:lang w:eastAsia="fr-FR"/>
        </w:rPr>
      </w:pPr>
      <w:r w:rsidRPr="00B15634">
        <w:rPr>
          <w:rFonts w:ascii="Arial" w:hAnsi="Arial" w:cs="Arial"/>
          <w:color w:val="000000" w:themeColor="text1"/>
          <w:sz w:val="20"/>
          <w:szCs w:val="20"/>
          <w:u w:val="single"/>
          <w:lang w:eastAsia="fr-FR"/>
        </w:rPr>
        <w:t>Actions</w:t>
      </w:r>
      <w:r w:rsidRPr="00B15634">
        <w:rPr>
          <w:rFonts w:ascii="Arial" w:hAnsi="Arial" w:cs="Arial"/>
          <w:color w:val="000000" w:themeColor="text1"/>
          <w:sz w:val="20"/>
          <w:szCs w:val="20"/>
          <w:lang w:eastAsia="fr-FR"/>
        </w:rPr>
        <w:t xml:space="preserve"> : </w:t>
      </w:r>
      <w:r w:rsidRPr="00B15634">
        <w:rPr>
          <w:rFonts w:ascii="Arial" w:hAnsi="Arial" w:cs="Arial"/>
          <w:color w:val="ED7D31" w:themeColor="accent2"/>
          <w:sz w:val="20"/>
          <w:szCs w:val="20"/>
          <w:lang w:eastAsia="fr-FR"/>
        </w:rPr>
        <w:t xml:space="preserve">orexigène </w:t>
      </w:r>
      <w:r w:rsidRPr="00B15634">
        <w:rPr>
          <w:rFonts w:ascii="Arial" w:hAnsi="Arial" w:cs="Arial"/>
          <w:color w:val="000000" w:themeColor="text1"/>
          <w:sz w:val="20"/>
          <w:szCs w:val="20"/>
          <w:lang w:eastAsia="fr-FR"/>
        </w:rPr>
        <w:t xml:space="preserve">via SNC (NA)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 sécrétion de NPY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↑prise alimentaire</w:t>
      </w:r>
    </w:p>
    <w:p w14:paraId="26CA7208"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taux pré-prandiaux </w:t>
      </w:r>
      <w:r w:rsidRPr="00B15634">
        <w:rPr>
          <w:rFonts w:ascii="Arial" w:hAnsi="Arial" w:cs="Arial"/>
          <w:color w:val="ED7D31" w:themeColor="accent2"/>
          <w:sz w:val="20"/>
          <w:szCs w:val="20"/>
          <w:lang w:eastAsia="fr-FR"/>
        </w:rPr>
        <w:t xml:space="preserve">corrélés </w:t>
      </w:r>
      <w:r w:rsidRPr="00B15634">
        <w:rPr>
          <w:rFonts w:ascii="Arial" w:hAnsi="Arial" w:cs="Arial"/>
          <w:color w:val="000000" w:themeColor="text1"/>
          <w:sz w:val="20"/>
          <w:szCs w:val="20"/>
          <w:lang w:eastAsia="fr-FR"/>
        </w:rPr>
        <w:t xml:space="preserve">positivement à la </w:t>
      </w:r>
      <w:r w:rsidRPr="00B15634">
        <w:rPr>
          <w:rFonts w:ascii="Arial" w:hAnsi="Arial" w:cs="Arial"/>
          <w:color w:val="ED7D31" w:themeColor="accent2"/>
          <w:sz w:val="20"/>
          <w:szCs w:val="20"/>
          <w:lang w:eastAsia="fr-FR"/>
        </w:rPr>
        <w:t xml:space="preserve">faim </w:t>
      </w:r>
      <w:r w:rsidRPr="00B15634">
        <w:rPr>
          <w:rFonts w:ascii="Arial" w:hAnsi="Arial" w:cs="Arial"/>
          <w:color w:val="000000" w:themeColor="text1"/>
          <w:sz w:val="20"/>
          <w:szCs w:val="20"/>
          <w:lang w:eastAsia="fr-FR"/>
        </w:rPr>
        <w:t xml:space="preserve">et « </w:t>
      </w:r>
      <w:r w:rsidRPr="00B15634">
        <w:rPr>
          <w:rFonts w:ascii="Arial" w:hAnsi="Arial" w:cs="Arial"/>
          <w:color w:val="ED7D31" w:themeColor="accent2"/>
          <w:sz w:val="20"/>
          <w:szCs w:val="20"/>
          <w:lang w:eastAsia="fr-FR"/>
        </w:rPr>
        <w:t xml:space="preserve">taille </w:t>
      </w:r>
      <w:r w:rsidRPr="00B15634">
        <w:rPr>
          <w:rFonts w:ascii="Arial" w:hAnsi="Arial" w:cs="Arial"/>
          <w:color w:val="000000" w:themeColor="text1"/>
          <w:sz w:val="20"/>
          <w:szCs w:val="20"/>
          <w:lang w:eastAsia="fr-FR"/>
        </w:rPr>
        <w:t xml:space="preserve">» du repas = </w:t>
      </w:r>
      <w:r w:rsidRPr="00B15634">
        <w:rPr>
          <w:rFonts w:ascii="Arial" w:hAnsi="Arial" w:cs="Arial"/>
          <w:color w:val="ED7D31" w:themeColor="accent2"/>
          <w:sz w:val="20"/>
          <w:szCs w:val="20"/>
          <w:lang w:eastAsia="fr-FR"/>
        </w:rPr>
        <w:t xml:space="preserve">hormone de la faim </w:t>
      </w:r>
      <w:r w:rsidRPr="00B15634">
        <w:rPr>
          <w:rFonts w:ascii="Arial" w:hAnsi="Arial" w:cs="Arial"/>
          <w:color w:val="000000" w:themeColor="text1"/>
          <w:sz w:val="20"/>
          <w:szCs w:val="20"/>
          <w:lang w:eastAsia="fr-FR"/>
        </w:rPr>
        <w:t xml:space="preserve">prépare l’organisme au « stockage des nutriments » </w:t>
      </w:r>
    </w:p>
    <w:p w14:paraId="3F85607E" w14:textId="77777777" w:rsidR="00ED4694" w:rsidRPr="00B15634" w:rsidRDefault="00ED4694" w:rsidP="00ED4694">
      <w:pPr>
        <w:pStyle w:val="Sansinterligne"/>
        <w:jc w:val="both"/>
        <w:rPr>
          <w:rFonts w:ascii="Arial" w:hAnsi="Arial" w:cs="Arial"/>
          <w:color w:val="ED7D31" w:themeColor="accent2"/>
          <w:sz w:val="20"/>
          <w:szCs w:val="20"/>
          <w:lang w:eastAsia="fr-FR"/>
        </w:rPr>
      </w:pPr>
      <w:r w:rsidRPr="00B15634">
        <w:rPr>
          <w:rFonts w:ascii="Arial" w:hAnsi="Arial" w:cs="Arial"/>
          <w:color w:val="ED7D31" w:themeColor="accent2"/>
          <w:sz w:val="20"/>
          <w:szCs w:val="20"/>
          <w:lang w:eastAsia="fr-FR"/>
        </w:rPr>
        <w:t xml:space="preserve">↑ vidange gastrique </w:t>
      </w:r>
    </w:p>
    <w:p w14:paraId="7AD3957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ACTH &amp; cortisol, ↑ hGH, ↓ insuline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pour ↑ glycémie </w:t>
      </w:r>
    </w:p>
    <w:p w14:paraId="2219F250"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Régulations</w:t>
      </w:r>
      <w:r w:rsidRPr="00B15634">
        <w:rPr>
          <w:rFonts w:ascii="Arial" w:hAnsi="Arial" w:cs="Arial"/>
          <w:color w:val="000000" w:themeColor="text1"/>
          <w:sz w:val="20"/>
          <w:szCs w:val="20"/>
          <w:lang w:eastAsia="fr-FR"/>
        </w:rPr>
        <w:t xml:space="preserve"> :</w:t>
      </w:r>
    </w:p>
    <w:p w14:paraId="5871B91C"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 avant le repas </w:t>
      </w:r>
      <w:r w:rsidRPr="00B15634">
        <w:rPr>
          <w:rFonts w:ascii="Arial" w:hAnsi="Arial" w:cs="Arial"/>
          <w:color w:val="000000" w:themeColor="text1"/>
          <w:sz w:val="20"/>
          <w:szCs w:val="20"/>
          <w:lang w:eastAsia="fr-FR"/>
        </w:rPr>
        <w:t xml:space="preserve">par </w:t>
      </w:r>
      <w:r w:rsidRPr="00B15634">
        <w:rPr>
          <w:rFonts w:ascii="Arial" w:hAnsi="Arial" w:cs="Arial"/>
          <w:color w:val="ED7D31" w:themeColor="accent2"/>
          <w:sz w:val="20"/>
          <w:szCs w:val="20"/>
          <w:lang w:eastAsia="fr-FR"/>
        </w:rPr>
        <w:t xml:space="preserve">réflexes </w:t>
      </w:r>
      <w:r w:rsidRPr="00B15634">
        <w:rPr>
          <w:rFonts w:ascii="Arial" w:hAnsi="Arial" w:cs="Arial"/>
          <w:color w:val="000000" w:themeColor="text1"/>
          <w:sz w:val="20"/>
          <w:szCs w:val="20"/>
          <w:lang w:eastAsia="fr-FR"/>
        </w:rPr>
        <w:t xml:space="preserve">céphaliques vagaux </w:t>
      </w:r>
    </w:p>
    <w:p w14:paraId="1DD73D0B" w14:textId="77777777" w:rsidR="00ED4694" w:rsidRPr="00B15634" w:rsidRDefault="00ED4694" w:rsidP="00ED4694">
      <w:pPr>
        <w:pStyle w:val="Sansinterligne"/>
        <w:jc w:val="both"/>
        <w:rPr>
          <w:rFonts w:ascii="Arial" w:hAnsi="Arial" w:cs="Arial"/>
          <w:color w:val="ED7D31" w:themeColor="accent2"/>
          <w:sz w:val="20"/>
          <w:szCs w:val="20"/>
          <w:lang w:eastAsia="fr-FR"/>
        </w:rPr>
      </w:pPr>
      <w:r w:rsidRPr="00B15634">
        <w:rPr>
          <w:rFonts w:ascii="Arial" w:hAnsi="Arial" w:cs="Arial"/>
          <w:color w:val="ED7D31" w:themeColor="accent2"/>
          <w:sz w:val="20"/>
          <w:szCs w:val="20"/>
          <w:lang w:eastAsia="fr-FR"/>
        </w:rPr>
        <w:t xml:space="preserve">↓ lors du repas </w:t>
      </w:r>
      <w:r w:rsidRPr="00B15634">
        <w:rPr>
          <w:rFonts w:ascii="Arial" w:hAnsi="Arial" w:cs="Arial"/>
          <w:color w:val="000000" w:themeColor="text1"/>
          <w:sz w:val="20"/>
          <w:szCs w:val="20"/>
          <w:lang w:eastAsia="fr-FR"/>
        </w:rPr>
        <w:t>(quand pH ↓ avec arrivée du bol alimentaire) sous l’action enterohormones intestinales (</w:t>
      </w:r>
      <w:r w:rsidRPr="00B15634">
        <w:rPr>
          <w:rFonts w:ascii="Arial" w:hAnsi="Arial" w:cs="Arial"/>
          <w:color w:val="ED7D31" w:themeColor="accent2"/>
          <w:sz w:val="20"/>
          <w:szCs w:val="20"/>
          <w:lang w:eastAsia="fr-FR"/>
        </w:rPr>
        <w:t xml:space="preserve">CCK, PYY), glucose intestinal,insuline </w:t>
      </w:r>
    </w:p>
    <w:p w14:paraId="654D889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A7EE306" w14:textId="77777777" w:rsidR="00ED4694" w:rsidRPr="00B15634" w:rsidRDefault="00ED4694" w:rsidP="00ED4694">
      <w:pPr>
        <w:pStyle w:val="Sansinterligne"/>
        <w:jc w:val="both"/>
        <w:rPr>
          <w:rFonts w:ascii="Arial" w:hAnsi="Arial" w:cs="Arial"/>
          <w:b/>
          <w:bCs/>
          <w:color w:val="70AD47" w:themeColor="accent6"/>
          <w:sz w:val="20"/>
          <w:szCs w:val="20"/>
          <w:u w:val="single"/>
          <w:lang w:eastAsia="fr-FR"/>
        </w:rPr>
      </w:pPr>
      <w:r w:rsidRPr="00B15634">
        <w:rPr>
          <w:rFonts w:ascii="Arial" w:hAnsi="Arial" w:cs="Arial"/>
          <w:b/>
          <w:bCs/>
          <w:color w:val="000000" w:themeColor="text1"/>
          <w:sz w:val="20"/>
          <w:szCs w:val="20"/>
          <w:u w:val="single"/>
          <w:lang w:eastAsia="fr-FR"/>
        </w:rPr>
        <w:t xml:space="preserve">Intestin </w:t>
      </w:r>
    </w:p>
    <w:p w14:paraId="20D83DEA" w14:textId="77777777" w:rsidR="00ED4694" w:rsidRPr="00B15634" w:rsidRDefault="00ED4694" w:rsidP="00ED4694">
      <w:pPr>
        <w:pStyle w:val="Sansinterligne"/>
        <w:jc w:val="both"/>
        <w:rPr>
          <w:rFonts w:ascii="Arial" w:hAnsi="Arial" w:cs="Arial"/>
          <w:b/>
          <w:bCs/>
          <w:color w:val="70AD47" w:themeColor="accent6"/>
          <w:sz w:val="20"/>
          <w:szCs w:val="20"/>
          <w:lang w:eastAsia="fr-FR"/>
        </w:rPr>
      </w:pPr>
      <w:r w:rsidRPr="00B15634">
        <w:rPr>
          <w:rFonts w:ascii="Arial" w:hAnsi="Arial" w:cs="Arial"/>
          <w:b/>
          <w:bCs/>
          <w:color w:val="70AD47" w:themeColor="accent6"/>
          <w:sz w:val="20"/>
          <w:szCs w:val="20"/>
          <w:u w:val="single"/>
          <w:lang w:eastAsia="fr-FR"/>
        </w:rPr>
        <w:t>La cholécystokinine (CCK)</w:t>
      </w:r>
      <w:r w:rsidRPr="00B15634">
        <w:rPr>
          <w:rFonts w:ascii="Arial" w:hAnsi="Arial" w:cs="Arial"/>
          <w:b/>
          <w:bCs/>
          <w:color w:val="70AD47" w:themeColor="accent6"/>
          <w:sz w:val="20"/>
          <w:szCs w:val="20"/>
          <w:lang w:eastAsia="fr-FR"/>
        </w:rPr>
        <w:t xml:space="preserve"> : </w:t>
      </w:r>
    </w:p>
    <w:p w14:paraId="22CC0098"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peptide </w:t>
      </w:r>
      <w:r w:rsidRPr="00B15634">
        <w:rPr>
          <w:rFonts w:ascii="Arial" w:hAnsi="Arial" w:cs="Arial"/>
          <w:color w:val="000000" w:themeColor="text1"/>
          <w:sz w:val="20"/>
          <w:szCs w:val="20"/>
          <w:lang w:eastAsia="fr-FR"/>
        </w:rPr>
        <w:t>58 AA (surtout)</w:t>
      </w:r>
    </w:p>
    <w:p w14:paraId="073F7EBF"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cellules enteroendocrines </w:t>
      </w:r>
      <w:r w:rsidRPr="00B15634">
        <w:rPr>
          <w:rFonts w:ascii="Arial" w:hAnsi="Arial" w:cs="Arial"/>
          <w:color w:val="000000" w:themeColor="text1"/>
          <w:sz w:val="20"/>
          <w:szCs w:val="20"/>
          <w:lang w:eastAsia="fr-FR"/>
        </w:rPr>
        <w:t>I de l’intestin grêle (duodenum et jejunum proximal) coexpriment ± PYY, incrétines...</w:t>
      </w:r>
    </w:p>
    <w:p w14:paraId="29EE095B"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Récepteurs </w:t>
      </w:r>
      <w:r w:rsidRPr="00B15634">
        <w:rPr>
          <w:rFonts w:ascii="Arial" w:hAnsi="Arial" w:cs="Arial"/>
          <w:color w:val="000000" w:themeColor="text1"/>
          <w:sz w:val="20"/>
          <w:szCs w:val="20"/>
          <w:lang w:eastAsia="fr-FR"/>
        </w:rPr>
        <w:t xml:space="preserve">(CCKAR surtout périphériques, et CCKBR </w:t>
      </w:r>
      <w:r w:rsidRPr="00B15634">
        <w:rPr>
          <w:rFonts w:ascii="Arial" w:hAnsi="Arial" w:cs="Arial"/>
          <w:color w:val="ED7D31" w:themeColor="accent2"/>
          <w:sz w:val="20"/>
          <w:szCs w:val="20"/>
          <w:lang w:eastAsia="fr-FR"/>
        </w:rPr>
        <w:t>périphériques et centraux</w:t>
      </w:r>
      <w:r w:rsidRPr="00B15634">
        <w:rPr>
          <w:rFonts w:ascii="Arial" w:hAnsi="Arial" w:cs="Arial"/>
          <w:color w:val="000000" w:themeColor="text1"/>
          <w:sz w:val="20"/>
          <w:szCs w:val="20"/>
          <w:lang w:eastAsia="fr-FR"/>
        </w:rPr>
        <w:t xml:space="preserve">) </w:t>
      </w:r>
    </w:p>
    <w:p w14:paraId="2BE9A2BB"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Actions</w:t>
      </w:r>
      <w:r w:rsidRPr="00B15634">
        <w:rPr>
          <w:rFonts w:ascii="Arial" w:hAnsi="Arial" w:cs="Arial"/>
          <w:color w:val="000000" w:themeColor="text1"/>
          <w:sz w:val="20"/>
          <w:szCs w:val="20"/>
          <w:lang w:eastAsia="fr-FR"/>
        </w:rPr>
        <w:t xml:space="preserve"> : </w:t>
      </w:r>
      <w:r w:rsidRPr="00B15634">
        <w:rPr>
          <w:rFonts w:ascii="Arial" w:hAnsi="Arial" w:cs="Arial"/>
          <w:color w:val="ED7D31" w:themeColor="accent2"/>
          <w:sz w:val="20"/>
          <w:szCs w:val="20"/>
          <w:lang w:eastAsia="fr-FR"/>
        </w:rPr>
        <w:t xml:space="preserve">anorexigène par actions </w:t>
      </w:r>
      <w:r w:rsidRPr="00B15634">
        <w:rPr>
          <w:rFonts w:ascii="Arial" w:hAnsi="Arial" w:cs="Arial"/>
          <w:color w:val="000000" w:themeColor="text1"/>
          <w:sz w:val="20"/>
          <w:szCs w:val="20"/>
          <w:lang w:eastAsia="fr-FR"/>
        </w:rPr>
        <w:t xml:space="preserve">centrales et locales (TD) </w:t>
      </w:r>
    </w:p>
    <w:p w14:paraId="3D149C0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 ghréline et ↓ NPY =&gt; </w:t>
      </w:r>
      <w:r w:rsidRPr="00B15634">
        <w:rPr>
          <w:rFonts w:ascii="Arial" w:hAnsi="Arial" w:cs="Arial"/>
          <w:color w:val="ED7D31" w:themeColor="accent2"/>
          <w:sz w:val="20"/>
          <w:szCs w:val="20"/>
          <w:lang w:eastAsia="fr-FR"/>
        </w:rPr>
        <w:t>↓ prise alimentaire</w:t>
      </w:r>
    </w:p>
    <w:p w14:paraId="5AB285F1"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 vidange gastrique </w:t>
      </w:r>
      <w:r w:rsidRPr="00B15634">
        <w:rPr>
          <w:rFonts w:ascii="Arial" w:hAnsi="Arial" w:cs="Arial"/>
          <w:color w:val="000000" w:themeColor="text1"/>
          <w:sz w:val="20"/>
          <w:szCs w:val="20"/>
          <w:lang w:eastAsia="fr-FR"/>
        </w:rPr>
        <w:t xml:space="preserve">(nerf vague et sphincter pylorique) </w:t>
      </w:r>
    </w:p>
    <w:p w14:paraId="0DC960BF" w14:textId="77777777" w:rsidR="00ED4694" w:rsidRPr="00B15634" w:rsidRDefault="00ED4694" w:rsidP="00ED4694">
      <w:pPr>
        <w:pStyle w:val="Sansinterligne"/>
        <w:jc w:val="both"/>
        <w:rPr>
          <w:rFonts w:ascii="Arial" w:hAnsi="Arial" w:cs="Arial"/>
          <w:color w:val="ED7D31" w:themeColor="accent2"/>
          <w:sz w:val="20"/>
          <w:szCs w:val="20"/>
          <w:lang w:eastAsia="fr-FR"/>
        </w:rPr>
      </w:pP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hormone de la </w:t>
      </w:r>
      <w:r w:rsidRPr="00B15634">
        <w:rPr>
          <w:rFonts w:ascii="Arial" w:hAnsi="Arial" w:cs="Arial"/>
          <w:color w:val="ED7D31" w:themeColor="accent2"/>
          <w:sz w:val="20"/>
          <w:szCs w:val="20"/>
          <w:lang w:eastAsia="fr-FR"/>
        </w:rPr>
        <w:t>satiété</w:t>
      </w:r>
      <w:r w:rsidRPr="00B15634">
        <w:rPr>
          <w:rFonts w:ascii="Arial" w:hAnsi="Arial" w:cs="Arial"/>
          <w:color w:val="000000" w:themeColor="text1"/>
          <w:sz w:val="20"/>
          <w:szCs w:val="20"/>
          <w:lang w:eastAsia="fr-FR"/>
        </w:rPr>
        <w:t xml:space="preserve">, ↓ taille des repas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contrôle indirect de la glycémie </w:t>
      </w:r>
    </w:p>
    <w:p w14:paraId="01912BF9" w14:textId="77777777" w:rsidR="00ED4694" w:rsidRPr="00B15634" w:rsidRDefault="00ED4694" w:rsidP="00ED4694">
      <w:pPr>
        <w:pStyle w:val="Sansinterligne"/>
        <w:jc w:val="both"/>
        <w:rPr>
          <w:rFonts w:ascii="Arial" w:hAnsi="Arial" w:cs="Arial"/>
          <w:color w:val="ED7D31" w:themeColor="accent2"/>
          <w:sz w:val="20"/>
          <w:szCs w:val="20"/>
          <w:lang w:eastAsia="fr-FR"/>
        </w:rPr>
      </w:pPr>
      <w:r w:rsidRPr="00B15634">
        <w:rPr>
          <w:rFonts w:ascii="Arial" w:hAnsi="Arial" w:cs="Arial"/>
          <w:color w:val="ED7D31" w:themeColor="accent2"/>
          <w:sz w:val="20"/>
          <w:szCs w:val="20"/>
          <w:lang w:eastAsia="fr-FR"/>
        </w:rPr>
        <w:t xml:space="preserve">↑ sécrétion exocrine pancréatique et biliaire </w:t>
      </w:r>
    </w:p>
    <w:p w14:paraId="3950A5DB"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Régulations:</w:t>
      </w:r>
      <w:r w:rsidRPr="00B15634">
        <w:rPr>
          <w:rFonts w:ascii="Arial" w:hAnsi="Arial" w:cs="Arial"/>
          <w:color w:val="000000" w:themeColor="text1"/>
          <w:sz w:val="20"/>
          <w:szCs w:val="20"/>
          <w:lang w:eastAsia="fr-FR"/>
        </w:rPr>
        <w:br/>
      </w:r>
      <w:r w:rsidRPr="00B15634">
        <w:rPr>
          <w:rFonts w:ascii="Arial" w:hAnsi="Arial" w:cs="Arial"/>
          <w:color w:val="ED7D31" w:themeColor="accent2"/>
          <w:sz w:val="20"/>
          <w:szCs w:val="20"/>
          <w:lang w:eastAsia="fr-FR"/>
        </w:rPr>
        <w:t xml:space="preserve">↑ au cours des repas </w:t>
      </w:r>
      <w:r w:rsidRPr="00B15634">
        <w:rPr>
          <w:rFonts w:ascii="Arial" w:hAnsi="Arial" w:cs="Arial"/>
          <w:color w:val="000000" w:themeColor="text1"/>
          <w:sz w:val="20"/>
          <w:szCs w:val="20"/>
          <w:lang w:eastAsia="fr-FR"/>
        </w:rPr>
        <w:t xml:space="preserve">(sous l’action des produits de digestion des TG et protéines) </w:t>
      </w:r>
    </w:p>
    <w:p w14:paraId="65F7977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-Sécrétine module sécrétions pancréatiques exocrines, obestatine, entérostatine... </w:t>
      </w:r>
    </w:p>
    <w:p w14:paraId="667A1AB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560266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b/>
          <w:bCs/>
          <w:color w:val="70AD47" w:themeColor="accent6"/>
          <w:sz w:val="20"/>
          <w:szCs w:val="20"/>
          <w:u w:val="single"/>
          <w:lang w:eastAsia="fr-FR"/>
        </w:rPr>
        <w:t>Les incrétines</w:t>
      </w:r>
      <w:r w:rsidRPr="00B15634">
        <w:rPr>
          <w:rFonts w:ascii="Arial" w:hAnsi="Arial" w:cs="Arial"/>
          <w:color w:val="70AD47" w:themeColor="accent6"/>
          <w:sz w:val="20"/>
          <w:szCs w:val="20"/>
          <w:lang w:eastAsia="fr-FR"/>
        </w:rPr>
        <w:t> </w:t>
      </w:r>
      <w:r w:rsidRPr="00B15634">
        <w:rPr>
          <w:rFonts w:ascii="Arial" w:hAnsi="Arial" w:cs="Arial"/>
          <w:color w:val="000000" w:themeColor="text1"/>
          <w:sz w:val="20"/>
          <w:szCs w:val="20"/>
          <w:lang w:eastAsia="fr-FR"/>
        </w:rPr>
        <w:t xml:space="preserve">: Peptides dérivés par clivage du proglucagon </w:t>
      </w:r>
    </w:p>
    <w:p w14:paraId="04AD957C"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Glucagon Like Peptide-1 (GLP-1) : </w:t>
      </w:r>
    </w:p>
    <w:p w14:paraId="124C70B8"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peptide ~ 30 AA</w:t>
      </w:r>
    </w:p>
    <w:p w14:paraId="198CFEF0"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Cellules enteroendocrines L , </w:t>
      </w:r>
      <w:r w:rsidRPr="00B15634">
        <w:rPr>
          <w:rFonts w:ascii="Arial" w:hAnsi="Arial" w:cs="Arial"/>
          <w:color w:val="ED7D31" w:themeColor="accent2"/>
          <w:sz w:val="20"/>
          <w:szCs w:val="20"/>
          <w:lang w:eastAsia="fr-FR"/>
        </w:rPr>
        <w:t xml:space="preserve">intestin grêle et colon </w:t>
      </w:r>
      <w:r w:rsidRPr="00B15634">
        <w:rPr>
          <w:rFonts w:ascii="Arial" w:hAnsi="Arial" w:cs="Arial"/>
          <w:color w:val="000000" w:themeColor="text1"/>
          <w:sz w:val="20"/>
          <w:szCs w:val="20"/>
          <w:lang w:eastAsia="fr-FR"/>
        </w:rPr>
        <w:t>coexpriment ± CCK, PYY, GIP...</w:t>
      </w:r>
    </w:p>
    <w:p w14:paraId="511D0A96"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2 formes circulantes clivées par une peptidase (DPP-4) récepteurs GLP-1R </w:t>
      </w:r>
      <w:r w:rsidRPr="00B15634">
        <w:rPr>
          <w:rFonts w:ascii="Arial" w:hAnsi="Arial" w:cs="Arial"/>
          <w:color w:val="ED7D31" w:themeColor="accent2"/>
          <w:sz w:val="20"/>
          <w:szCs w:val="20"/>
          <w:lang w:eastAsia="fr-FR"/>
        </w:rPr>
        <w:t xml:space="preserve">périphériques (TD) et centraux </w:t>
      </w:r>
    </w:p>
    <w:p w14:paraId="622C0EAE"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Actions</w:t>
      </w: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anorexigène par actions </w:t>
      </w:r>
      <w:r w:rsidRPr="00B15634">
        <w:rPr>
          <w:rFonts w:ascii="Arial" w:hAnsi="Arial" w:cs="Arial"/>
          <w:color w:val="000000" w:themeColor="text1"/>
          <w:sz w:val="20"/>
          <w:szCs w:val="20"/>
          <w:lang w:eastAsia="fr-FR"/>
        </w:rPr>
        <w:t>centrales et locales (TD)</w:t>
      </w:r>
    </w:p>
    <w:p w14:paraId="4F3C2285"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NPY et ↑ POMC ( NA )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prise alimentaire</w:t>
      </w: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 appétit, ↑ satiété </w:t>
      </w:r>
    </w:p>
    <w:p w14:paraId="5105251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 vidange gastrique, ↓ glucagon, ↑insuline </w:t>
      </w:r>
      <w:r w:rsidRPr="00B15634">
        <w:rPr>
          <w:rFonts w:ascii="Arial" w:hAnsi="Arial" w:cs="Arial"/>
          <w:color w:val="ED7D31" w:themeColor="accent2"/>
          <w:sz w:val="20"/>
          <w:szCs w:val="20"/>
          <w:lang w:eastAsia="fr-FR"/>
        </w:rPr>
        <w:sym w:font="Wingdings" w:char="F0E0"/>
      </w:r>
      <w:r w:rsidRPr="00B15634">
        <w:rPr>
          <w:rFonts w:ascii="Arial" w:hAnsi="Arial" w:cs="Arial"/>
          <w:color w:val="ED7D31" w:themeColor="accent2"/>
          <w:sz w:val="20"/>
          <w:szCs w:val="20"/>
          <w:lang w:eastAsia="fr-FR"/>
        </w:rPr>
        <w:t xml:space="preserve"> ↓ glycémie</w:t>
      </w:r>
      <w:r w:rsidRPr="00B15634">
        <w:rPr>
          <w:rFonts w:ascii="Arial" w:hAnsi="Arial" w:cs="Arial"/>
          <w:color w:val="000000" w:themeColor="text1"/>
          <w:sz w:val="20"/>
          <w:szCs w:val="20"/>
          <w:lang w:eastAsia="fr-FR"/>
        </w:rPr>
        <w:t xml:space="preserve"> postprandiale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effet antidiabétique et perte de poids </w:t>
      </w:r>
    </w:p>
    <w:p w14:paraId="4D6C452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DA6080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lastRenderedPageBreak/>
        <w:t>Régulations</w:t>
      </w:r>
      <w:r w:rsidRPr="00B15634">
        <w:rPr>
          <w:rFonts w:ascii="Arial" w:hAnsi="Arial" w:cs="Arial"/>
          <w:color w:val="000000" w:themeColor="text1"/>
          <w:sz w:val="20"/>
          <w:szCs w:val="20"/>
          <w:lang w:eastAsia="fr-FR"/>
        </w:rPr>
        <w:t>:</w:t>
      </w:r>
      <w:r w:rsidRPr="00B15634">
        <w:rPr>
          <w:rFonts w:ascii="Arial" w:hAnsi="Arial" w:cs="Arial"/>
          <w:color w:val="000000" w:themeColor="text1"/>
          <w:sz w:val="20"/>
          <w:szCs w:val="20"/>
          <w:lang w:eastAsia="fr-FR"/>
        </w:rPr>
        <w:br/>
      </w:r>
      <w:r w:rsidRPr="00B15634">
        <w:rPr>
          <w:rFonts w:ascii="Arial" w:hAnsi="Arial" w:cs="Arial"/>
          <w:color w:val="ED7D31" w:themeColor="accent2"/>
          <w:sz w:val="20"/>
          <w:szCs w:val="20"/>
          <w:lang w:eastAsia="fr-FR"/>
        </w:rPr>
        <w:t xml:space="preserve">↑ au cours du repas </w:t>
      </w:r>
      <w:r w:rsidRPr="00B15634">
        <w:rPr>
          <w:rFonts w:ascii="Arial" w:hAnsi="Arial" w:cs="Arial"/>
          <w:color w:val="000000" w:themeColor="text1"/>
          <w:sz w:val="20"/>
          <w:szCs w:val="20"/>
          <w:lang w:eastAsia="fr-FR"/>
        </w:rPr>
        <w:t xml:space="preserve">(produits de digestion intestinaux des </w:t>
      </w:r>
      <w:r w:rsidRPr="00B15634">
        <w:rPr>
          <w:rFonts w:ascii="Arial" w:hAnsi="Arial" w:cs="Arial"/>
          <w:color w:val="ED7D31" w:themeColor="accent2"/>
          <w:sz w:val="20"/>
          <w:szCs w:val="20"/>
          <w:lang w:eastAsia="fr-FR"/>
        </w:rPr>
        <w:t xml:space="preserve">glucides </w:t>
      </w:r>
      <w:r w:rsidRPr="00B15634">
        <w:rPr>
          <w:rFonts w:ascii="Arial" w:hAnsi="Arial" w:cs="Arial"/>
          <w:color w:val="000000" w:themeColor="text1"/>
          <w:sz w:val="20"/>
          <w:szCs w:val="20"/>
          <w:lang w:eastAsia="fr-FR"/>
        </w:rPr>
        <w:t xml:space="preserve">et lipides) puis ↓ lente </w:t>
      </w:r>
    </w:p>
    <w:p w14:paraId="758E5E49"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par activation réflexe, ↑ par bile, ↑par leptine ↓ par l’insuline </w:t>
      </w:r>
    </w:p>
    <w:p w14:paraId="71C418BE"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AF6258A"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 xml:space="preserve">GLP-2, Gastric Inhibitory Peptide (GIP): </w:t>
      </w:r>
      <w:r w:rsidRPr="00B15634">
        <w:rPr>
          <w:rFonts w:ascii="Arial" w:hAnsi="Arial" w:cs="Arial"/>
          <w:color w:val="000000" w:themeColor="text1"/>
          <w:sz w:val="20"/>
          <w:szCs w:val="20"/>
          <w:lang w:eastAsia="fr-FR"/>
        </w:rPr>
        <w:t xml:space="preserve">action synergique au GLP-1 </w:t>
      </w:r>
    </w:p>
    <w:p w14:paraId="200AE3FF"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CD95E5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b/>
          <w:bCs/>
          <w:color w:val="70AD47" w:themeColor="accent6"/>
          <w:sz w:val="20"/>
          <w:szCs w:val="20"/>
          <w:u w:val="single"/>
          <w:lang w:eastAsia="fr-FR"/>
        </w:rPr>
        <w:t>Peptide YY (PYY)</w:t>
      </w:r>
      <w:r w:rsidRPr="00B15634">
        <w:rPr>
          <w:rFonts w:ascii="Arial" w:hAnsi="Arial" w:cs="Arial"/>
          <w:color w:val="000000" w:themeColor="text1"/>
          <w:sz w:val="20"/>
          <w:szCs w:val="20"/>
          <w:lang w:eastAsia="fr-FR"/>
        </w:rPr>
        <w:t xml:space="preserve"> : </w:t>
      </w:r>
    </w:p>
    <w:p w14:paraId="1A050BFF"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cellules enteroendocrines L , </w:t>
      </w:r>
      <w:r w:rsidRPr="00B15634">
        <w:rPr>
          <w:rFonts w:ascii="Arial" w:hAnsi="Arial" w:cs="Arial"/>
          <w:color w:val="ED7D31" w:themeColor="accent2"/>
          <w:sz w:val="20"/>
          <w:szCs w:val="20"/>
          <w:lang w:eastAsia="fr-FR"/>
        </w:rPr>
        <w:t xml:space="preserve">iléon, colon, rectum </w:t>
      </w:r>
      <w:r w:rsidRPr="00B15634">
        <w:rPr>
          <w:rFonts w:ascii="Arial" w:hAnsi="Arial" w:cs="Arial"/>
          <w:color w:val="000000" w:themeColor="text1"/>
          <w:sz w:val="20"/>
          <w:szCs w:val="20"/>
          <w:lang w:eastAsia="fr-FR"/>
        </w:rPr>
        <w:t>coexpriment ± GLP-1, CCK, GIP...</w:t>
      </w:r>
    </w:p>
    <w:p w14:paraId="4EA9E7B0"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mixte de PYY (1-36) et PYY (3-36) actif</w:t>
      </w:r>
    </w:p>
    <w:p w14:paraId="672A31AA" w14:textId="77777777" w:rsidR="00ED4694" w:rsidRPr="00B15634" w:rsidRDefault="00ED4694" w:rsidP="00ED4694">
      <w:pPr>
        <w:pStyle w:val="Sansinterligne"/>
        <w:numPr>
          <w:ilvl w:val="0"/>
          <w:numId w:val="99"/>
        </w:numPr>
        <w:jc w:val="both"/>
        <w:rPr>
          <w:rFonts w:ascii="Arial" w:hAnsi="Arial" w:cs="Arial"/>
          <w:color w:val="ED7D31" w:themeColor="accent2"/>
          <w:sz w:val="20"/>
          <w:szCs w:val="20"/>
          <w:lang w:eastAsia="fr-FR"/>
        </w:rPr>
      </w:pPr>
      <w:r w:rsidRPr="00B15634">
        <w:rPr>
          <w:rFonts w:ascii="Arial" w:hAnsi="Arial" w:cs="Arial"/>
          <w:color w:val="ED7D31" w:themeColor="accent2"/>
          <w:sz w:val="20"/>
          <w:szCs w:val="20"/>
          <w:lang w:eastAsia="fr-FR"/>
        </w:rPr>
        <w:t xml:space="preserve">même famille et mêmes récepteurs que NPY </w:t>
      </w:r>
    </w:p>
    <w:p w14:paraId="58C021B8"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Actions</w:t>
      </w:r>
      <w:r w:rsidRPr="00B15634">
        <w:rPr>
          <w:rFonts w:ascii="Arial" w:hAnsi="Arial" w:cs="Arial"/>
          <w:color w:val="000000" w:themeColor="text1"/>
          <w:sz w:val="20"/>
          <w:szCs w:val="20"/>
          <w:lang w:eastAsia="fr-FR"/>
        </w:rPr>
        <w:t xml:space="preserve"> : </w:t>
      </w:r>
      <w:r w:rsidRPr="00B15634">
        <w:rPr>
          <w:rFonts w:ascii="Arial" w:hAnsi="Arial" w:cs="Arial"/>
          <w:color w:val="ED7D31" w:themeColor="accent2"/>
          <w:sz w:val="20"/>
          <w:szCs w:val="20"/>
          <w:lang w:eastAsia="fr-FR"/>
        </w:rPr>
        <w:t xml:space="preserve">anorexigène par actions </w:t>
      </w:r>
      <w:r w:rsidRPr="00B15634">
        <w:rPr>
          <w:rFonts w:ascii="Arial" w:hAnsi="Arial" w:cs="Arial"/>
          <w:color w:val="000000" w:themeColor="text1"/>
          <w:sz w:val="20"/>
          <w:szCs w:val="20"/>
          <w:lang w:eastAsia="fr-FR"/>
        </w:rPr>
        <w:t xml:space="preserve">centrales et locales (TD) antagoniste du NPY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 prise alimentaire </w:t>
      </w:r>
    </w:p>
    <w:p w14:paraId="5DDA7D50"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 sécrétions </w:t>
      </w:r>
      <w:r w:rsidRPr="00B15634">
        <w:rPr>
          <w:rFonts w:ascii="Arial" w:hAnsi="Arial" w:cs="Arial"/>
          <w:color w:val="000000" w:themeColor="text1"/>
          <w:sz w:val="20"/>
          <w:szCs w:val="20"/>
          <w:lang w:eastAsia="fr-FR"/>
        </w:rPr>
        <w:t xml:space="preserve">gastriques &amp; pancréatiques, ↓lipolyse </w:t>
      </w:r>
      <w:r w:rsidRPr="00B15634">
        <w:rPr>
          <w:rFonts w:ascii="Arial" w:hAnsi="Arial" w:cs="Arial"/>
          <w:color w:val="ED7D31" w:themeColor="accent2"/>
          <w:sz w:val="20"/>
          <w:szCs w:val="20"/>
          <w:lang w:eastAsia="fr-FR"/>
        </w:rPr>
        <w:t xml:space="preserve">,↓ vidange gastrique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modulation glycémique </w:t>
      </w:r>
    </w:p>
    <w:p w14:paraId="22064E5D"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Régulations</w:t>
      </w:r>
      <w:r w:rsidRPr="00B15634">
        <w:rPr>
          <w:rFonts w:ascii="Arial" w:hAnsi="Arial" w:cs="Arial"/>
          <w:color w:val="000000" w:themeColor="text1"/>
          <w:sz w:val="20"/>
          <w:szCs w:val="20"/>
          <w:lang w:eastAsia="fr-FR"/>
        </w:rPr>
        <w:t xml:space="preserve"> :</w:t>
      </w:r>
    </w:p>
    <w:p w14:paraId="66F919A1"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après le repas</w:t>
      </w:r>
      <w:r w:rsidRPr="00B15634">
        <w:rPr>
          <w:rFonts w:ascii="Arial" w:hAnsi="Arial" w:cs="Arial"/>
          <w:color w:val="000000" w:themeColor="text1"/>
          <w:sz w:val="20"/>
          <w:szCs w:val="20"/>
          <w:lang w:eastAsia="fr-FR"/>
        </w:rPr>
        <w:t xml:space="preserve">, pic à 1h puis ↓ lente </w:t>
      </w:r>
    </w:p>
    <w:p w14:paraId="7D59192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avec le </w:t>
      </w:r>
      <w:r w:rsidRPr="00B15634">
        <w:rPr>
          <w:rFonts w:ascii="Arial" w:hAnsi="Arial" w:cs="Arial"/>
          <w:color w:val="ED7D31" w:themeColor="accent2"/>
          <w:sz w:val="20"/>
          <w:szCs w:val="20"/>
          <w:lang w:eastAsia="fr-FR"/>
        </w:rPr>
        <w:t xml:space="preserve">contenu énergétique du repas </w:t>
      </w:r>
      <w:r w:rsidRPr="00B15634">
        <w:rPr>
          <w:rFonts w:ascii="Arial" w:hAnsi="Arial" w:cs="Arial"/>
          <w:color w:val="000000" w:themeColor="text1"/>
          <w:sz w:val="20"/>
          <w:szCs w:val="20"/>
          <w:lang w:eastAsia="fr-FR"/>
        </w:rPr>
        <w:t xml:space="preserve">(produits de digestion des </w:t>
      </w:r>
      <w:r w:rsidRPr="00B15634">
        <w:rPr>
          <w:rFonts w:ascii="Arial" w:hAnsi="Arial" w:cs="Arial"/>
          <w:color w:val="ED7D31" w:themeColor="accent2"/>
          <w:sz w:val="20"/>
          <w:szCs w:val="20"/>
          <w:lang w:eastAsia="fr-FR"/>
        </w:rPr>
        <w:t xml:space="preserve">lipides </w:t>
      </w:r>
      <w:r w:rsidRPr="00B15634">
        <w:rPr>
          <w:rFonts w:ascii="Arial" w:hAnsi="Arial" w:cs="Arial"/>
          <w:color w:val="000000" w:themeColor="text1"/>
          <w:sz w:val="20"/>
          <w:szCs w:val="20"/>
          <w:lang w:eastAsia="fr-FR"/>
        </w:rPr>
        <w:t xml:space="preserve">surtout) et </w:t>
      </w:r>
      <w:r w:rsidRPr="00B15634">
        <w:rPr>
          <w:rFonts w:ascii="Arial" w:hAnsi="Arial" w:cs="Arial"/>
          <w:color w:val="ED7D31" w:themeColor="accent2"/>
          <w:sz w:val="20"/>
          <w:szCs w:val="20"/>
          <w:lang w:eastAsia="fr-FR"/>
        </w:rPr>
        <w:t xml:space="preserve">bile par activation réflexe </w:t>
      </w:r>
    </w:p>
    <w:p w14:paraId="5E266A3F"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2C6C995"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-Glicentine /oxyntomoduline </w:t>
      </w:r>
    </w:p>
    <w:p w14:paraId="1F3012A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2493D83" w14:textId="77777777" w:rsidR="00ED4694" w:rsidRPr="00B15634" w:rsidRDefault="00ED4694" w:rsidP="00ED4694">
      <w:pPr>
        <w:pStyle w:val="Sansinterligne"/>
        <w:jc w:val="both"/>
        <w:rPr>
          <w:rFonts w:ascii="Arial" w:hAnsi="Arial" w:cs="Arial"/>
          <w:b/>
          <w:bCs/>
          <w:color w:val="000000" w:themeColor="text1"/>
          <w:sz w:val="20"/>
          <w:szCs w:val="20"/>
          <w:u w:val="single"/>
          <w:lang w:eastAsia="fr-FR"/>
        </w:rPr>
      </w:pPr>
      <w:r w:rsidRPr="00B15634">
        <w:rPr>
          <w:rFonts w:ascii="Arial" w:hAnsi="Arial" w:cs="Arial"/>
          <w:b/>
          <w:bCs/>
          <w:color w:val="000000" w:themeColor="text1"/>
          <w:sz w:val="20"/>
          <w:szCs w:val="20"/>
          <w:u w:val="single"/>
          <w:lang w:eastAsia="fr-FR"/>
        </w:rPr>
        <w:t xml:space="preserve">Pancréas endocrine </w:t>
      </w:r>
    </w:p>
    <w:p w14:paraId="1EC979B9"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b/>
          <w:bCs/>
          <w:color w:val="70AD47" w:themeColor="accent6"/>
          <w:sz w:val="20"/>
          <w:szCs w:val="20"/>
          <w:u w:val="single"/>
          <w:lang w:eastAsia="fr-FR"/>
        </w:rPr>
        <w:t>Insuline</w:t>
      </w:r>
      <w:r w:rsidRPr="00B15634">
        <w:rPr>
          <w:rFonts w:ascii="Arial" w:hAnsi="Arial" w:cs="Arial"/>
          <w:color w:val="70AD47" w:themeColor="accent6"/>
          <w:sz w:val="20"/>
          <w:szCs w:val="20"/>
          <w:lang w:eastAsia="fr-FR"/>
        </w:rPr>
        <w:t> </w:t>
      </w:r>
      <w:r w:rsidRPr="00B15634">
        <w:rPr>
          <w:rFonts w:ascii="Arial" w:hAnsi="Arial" w:cs="Arial"/>
          <w:color w:val="000000" w:themeColor="text1"/>
          <w:sz w:val="20"/>
          <w:szCs w:val="20"/>
          <w:lang w:eastAsia="fr-FR"/>
        </w:rPr>
        <w:t xml:space="preserve">: peptide bicaténaire , 51 AA, cellules </w:t>
      </w:r>
      <w:r w:rsidRPr="00B15634">
        <w:rPr>
          <w:rFonts w:ascii="Arial" w:hAnsi="Arial" w:cs="Arial"/>
          <w:color w:val="000000" w:themeColor="text1"/>
          <w:sz w:val="20"/>
          <w:szCs w:val="20"/>
          <w:lang w:eastAsia="fr-FR"/>
        </w:rPr>
        <w:sym w:font="Symbol" w:char="F062"/>
      </w:r>
      <w:r w:rsidRPr="00B15634">
        <w:rPr>
          <w:rFonts w:ascii="Arial" w:hAnsi="Arial" w:cs="Arial"/>
          <w:color w:val="000000" w:themeColor="text1"/>
          <w:sz w:val="20"/>
          <w:szCs w:val="20"/>
          <w:lang w:eastAsia="fr-FR"/>
        </w:rPr>
        <w:t xml:space="preserve"> </w:t>
      </w:r>
    </w:p>
    <w:p w14:paraId="324F6B5A"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Actions</w:t>
      </w:r>
      <w:r w:rsidRPr="00B15634">
        <w:rPr>
          <w:rFonts w:ascii="Arial" w:hAnsi="Arial" w:cs="Arial"/>
          <w:color w:val="000000" w:themeColor="text1"/>
          <w:sz w:val="20"/>
          <w:szCs w:val="20"/>
          <w:lang w:eastAsia="fr-FR"/>
        </w:rPr>
        <w:t xml:space="preserve"> : </w:t>
      </w:r>
      <w:r w:rsidRPr="00B15634">
        <w:rPr>
          <w:rFonts w:ascii="Arial" w:hAnsi="Arial" w:cs="Arial"/>
          <w:color w:val="ED7D31" w:themeColor="accent2"/>
          <w:sz w:val="20"/>
          <w:szCs w:val="20"/>
          <w:lang w:eastAsia="fr-FR"/>
        </w:rPr>
        <w:t xml:space="preserve">hypoglycémiant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utilisation et stockage du glucose, </w:t>
      </w:r>
      <w:r w:rsidRPr="00B15634">
        <w:rPr>
          <w:rFonts w:ascii="Arial" w:hAnsi="Arial" w:cs="Arial"/>
          <w:color w:val="ED7D31" w:themeColor="accent2"/>
          <w:sz w:val="20"/>
          <w:szCs w:val="20"/>
          <w:lang w:eastAsia="fr-FR"/>
        </w:rPr>
        <w:t>anorexigène</w:t>
      </w:r>
    </w:p>
    <w:p w14:paraId="2BD61791" w14:textId="77777777" w:rsidR="00ED4694" w:rsidRPr="00B15634" w:rsidRDefault="00ED4694" w:rsidP="00ED4694">
      <w:pPr>
        <w:pStyle w:val="Sansinterligne"/>
        <w:ind w:left="720"/>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captation de glucose (GLUT4) , ↑ glycolyse,</w:t>
      </w:r>
    </w:p>
    <w:p w14:paraId="4F52CE2C" w14:textId="77777777" w:rsidR="00ED4694" w:rsidRPr="00B15634" w:rsidRDefault="00ED4694" w:rsidP="00ED4694">
      <w:pPr>
        <w:pStyle w:val="Sansinterligne"/>
        <w:ind w:left="720"/>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glycogénogenèse, ↓ néoglucogenèse</w:t>
      </w:r>
    </w:p>
    <w:p w14:paraId="36BC462D" w14:textId="77777777" w:rsidR="00ED4694" w:rsidRPr="00B15634" w:rsidRDefault="00ED4694" w:rsidP="00ED4694">
      <w:pPr>
        <w:pStyle w:val="Sansinterligne"/>
        <w:ind w:left="720"/>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lipogenèse (glucose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AGL), ↓ lipolyse d’où </w:t>
      </w:r>
      <w:r w:rsidRPr="00B15634">
        <w:rPr>
          <w:rFonts w:ascii="Arial" w:hAnsi="Arial" w:cs="Arial"/>
          <w:color w:val="ED7D31" w:themeColor="accent2"/>
          <w:sz w:val="20"/>
          <w:szCs w:val="20"/>
          <w:lang w:eastAsia="fr-FR"/>
        </w:rPr>
        <w:t>↑ stockage lipidique</w:t>
      </w:r>
      <w:r w:rsidRPr="00B15634">
        <w:rPr>
          <w:rFonts w:ascii="Arial" w:hAnsi="Arial" w:cs="Arial"/>
          <w:color w:val="000000" w:themeColor="text1"/>
          <w:sz w:val="20"/>
          <w:szCs w:val="20"/>
          <w:lang w:eastAsia="fr-FR"/>
        </w:rPr>
        <w:t xml:space="preserve">, ↑ leptine, ↓ glucagon </w:t>
      </w:r>
    </w:p>
    <w:p w14:paraId="6FDCFE2B" w14:textId="77777777" w:rsidR="00ED4694" w:rsidRPr="00B15634" w:rsidRDefault="00ED4694" w:rsidP="00ED4694">
      <w:pPr>
        <w:pStyle w:val="Sansinterligne"/>
        <w:ind w:left="720"/>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anabolisante protéique</w:t>
      </w:r>
    </w:p>
    <w:p w14:paraId="0C0F9EF3" w14:textId="77777777" w:rsidR="00ED4694" w:rsidRPr="00B15634" w:rsidRDefault="00ED4694" w:rsidP="00ED4694">
      <w:pPr>
        <w:pStyle w:val="Sansinterligne"/>
        <w:ind w:left="720"/>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passage intracérébral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NA: ↓ NPY</w:t>
      </w:r>
    </w:p>
    <w:p w14:paraId="4E519656" w14:textId="77777777" w:rsidR="00ED4694" w:rsidRPr="00B15634" w:rsidRDefault="00ED4694" w:rsidP="00ED4694">
      <w:pPr>
        <w:pStyle w:val="Sansinterligne"/>
        <w:numPr>
          <w:ilvl w:val="0"/>
          <w:numId w:val="104"/>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contrôle glycémique et de la prise alimentaire (avec la leptine ) </w:t>
      </w:r>
    </w:p>
    <w:p w14:paraId="2B0134B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Régulations</w:t>
      </w:r>
      <w:r w:rsidRPr="00B15634">
        <w:rPr>
          <w:rFonts w:ascii="Arial" w:hAnsi="Arial" w:cs="Arial"/>
          <w:color w:val="000000" w:themeColor="text1"/>
          <w:sz w:val="20"/>
          <w:szCs w:val="20"/>
          <w:lang w:eastAsia="fr-FR"/>
        </w:rPr>
        <w:t xml:space="preserve"> :</w:t>
      </w:r>
    </w:p>
    <w:p w14:paraId="6850114B"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postprandiale par arrivée du glucose dans circulation porte</w:t>
      </w:r>
      <w:r w:rsidRPr="00B15634">
        <w:rPr>
          <w:rFonts w:ascii="Arial" w:hAnsi="Arial" w:cs="Arial"/>
          <w:color w:val="000000" w:themeColor="text1"/>
          <w:sz w:val="20"/>
          <w:szCs w:val="20"/>
          <w:lang w:eastAsia="fr-FR"/>
        </w:rPr>
        <w:t xml:space="preserve">, ↓ par leptine, ↓ par GLP-1 </w:t>
      </w:r>
    </w:p>
    <w:p w14:paraId="62B448A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95429C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b/>
          <w:bCs/>
          <w:color w:val="70AD47" w:themeColor="accent6"/>
          <w:sz w:val="20"/>
          <w:szCs w:val="20"/>
          <w:u w:val="single"/>
          <w:lang w:eastAsia="fr-FR"/>
        </w:rPr>
        <w:t>Glucagon</w:t>
      </w:r>
      <w:r w:rsidRPr="00B15634">
        <w:rPr>
          <w:rFonts w:ascii="Arial" w:hAnsi="Arial" w:cs="Arial"/>
          <w:color w:val="70AD47" w:themeColor="accent6"/>
          <w:sz w:val="20"/>
          <w:szCs w:val="20"/>
          <w:lang w:eastAsia="fr-FR"/>
        </w:rPr>
        <w:t> </w:t>
      </w:r>
      <w:r w:rsidRPr="00B15634">
        <w:rPr>
          <w:rFonts w:ascii="Arial" w:hAnsi="Arial" w:cs="Arial"/>
          <w:color w:val="000000" w:themeColor="text1"/>
          <w:sz w:val="20"/>
          <w:szCs w:val="20"/>
          <w:lang w:eastAsia="fr-FR"/>
        </w:rPr>
        <w:t xml:space="preserve">: peptide 29AA, cellules </w:t>
      </w:r>
      <w:r w:rsidRPr="00B15634">
        <w:rPr>
          <w:rFonts w:ascii="Arial" w:hAnsi="Arial" w:cs="Arial"/>
          <w:color w:val="000000" w:themeColor="text1"/>
          <w:sz w:val="20"/>
          <w:szCs w:val="20"/>
          <w:lang w:eastAsia="fr-FR"/>
        </w:rPr>
        <w:sym w:font="Symbol" w:char="F061"/>
      </w:r>
      <w:r w:rsidRPr="00B15634">
        <w:rPr>
          <w:rFonts w:ascii="Arial" w:hAnsi="Arial" w:cs="Arial"/>
          <w:color w:val="000000" w:themeColor="text1"/>
          <w:sz w:val="20"/>
          <w:szCs w:val="20"/>
          <w:lang w:eastAsia="fr-FR"/>
        </w:rPr>
        <w:t xml:space="preserve"> </w:t>
      </w:r>
    </w:p>
    <w:p w14:paraId="6CD37B7A"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Actions</w:t>
      </w:r>
      <w:r w:rsidRPr="00B15634">
        <w:rPr>
          <w:rFonts w:ascii="Arial" w:hAnsi="Arial" w:cs="Arial"/>
          <w:color w:val="000000" w:themeColor="text1"/>
          <w:sz w:val="20"/>
          <w:szCs w:val="20"/>
          <w:lang w:eastAsia="fr-FR"/>
        </w:rPr>
        <w:t xml:space="preserve"> : </w:t>
      </w:r>
      <w:r w:rsidRPr="00B15634">
        <w:rPr>
          <w:rFonts w:ascii="Arial" w:hAnsi="Arial" w:cs="Arial"/>
          <w:color w:val="ED7D31" w:themeColor="accent2"/>
          <w:sz w:val="20"/>
          <w:szCs w:val="20"/>
          <w:lang w:eastAsia="fr-FR"/>
        </w:rPr>
        <w:t>hyperglycémiant</w:t>
      </w:r>
    </w:p>
    <w:p w14:paraId="0834DC6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insuline sur le foie</w:t>
      </w:r>
      <w:r w:rsidRPr="00B15634">
        <w:rPr>
          <w:rFonts w:ascii="Arial" w:hAnsi="Arial" w:cs="Arial"/>
          <w:color w:val="000000" w:themeColor="text1"/>
          <w:sz w:val="20"/>
          <w:szCs w:val="20"/>
          <w:lang w:eastAsia="fr-FR"/>
        </w:rPr>
        <w:t xml:space="preserve">: ↑ glycogénolyse, ↑ néoglucogenèse, ↓ glycolyse, </w:t>
      </w:r>
    </w:p>
    <w:p w14:paraId="6EF8103D"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hydrolyse des TG adipeux</w:t>
      </w:r>
    </w:p>
    <w:p w14:paraId="3D93F689"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type GLP-1: ↓ prise alimentaire</w:t>
      </w:r>
      <w:r w:rsidRPr="00B15634">
        <w:rPr>
          <w:rFonts w:ascii="Arial" w:hAnsi="Arial" w:cs="Arial"/>
          <w:color w:val="000000" w:themeColor="text1"/>
          <w:sz w:val="20"/>
          <w:szCs w:val="20"/>
          <w:lang w:eastAsia="fr-FR"/>
        </w:rPr>
        <w:t xml:space="preserve">, ↓vidange gastrique, ↑ insuline </w:t>
      </w:r>
    </w:p>
    <w:p w14:paraId="7065C1B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Régulations</w:t>
      </w:r>
      <w:r w:rsidRPr="00B15634">
        <w:rPr>
          <w:rFonts w:ascii="Arial" w:hAnsi="Arial" w:cs="Arial"/>
          <w:color w:val="000000" w:themeColor="text1"/>
          <w:sz w:val="20"/>
          <w:szCs w:val="20"/>
          <w:lang w:eastAsia="fr-FR"/>
        </w:rPr>
        <w:t xml:space="preserve"> : </w:t>
      </w:r>
      <w:r w:rsidRPr="00B15634">
        <w:rPr>
          <w:rFonts w:ascii="Arial" w:hAnsi="Arial" w:cs="Arial"/>
          <w:color w:val="ED7D31" w:themeColor="accent2"/>
          <w:sz w:val="20"/>
          <w:szCs w:val="20"/>
          <w:lang w:eastAsia="fr-FR"/>
        </w:rPr>
        <w:t>↑ par hypoglycémie</w:t>
      </w:r>
      <w:r w:rsidRPr="00B15634">
        <w:rPr>
          <w:rFonts w:ascii="Arial" w:hAnsi="Arial" w:cs="Arial"/>
          <w:color w:val="000000" w:themeColor="text1"/>
          <w:sz w:val="20"/>
          <w:szCs w:val="20"/>
          <w:lang w:eastAsia="fr-FR"/>
        </w:rPr>
        <w:t xml:space="preserve">, ↓ par insuline </w:t>
      </w:r>
    </w:p>
    <w:p w14:paraId="0AC511BA"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545BF72" w14:textId="77777777" w:rsidR="00ED4694" w:rsidRPr="00B15634" w:rsidRDefault="00ED4694" w:rsidP="00ED4694">
      <w:pPr>
        <w:pStyle w:val="Sansinterligne"/>
        <w:jc w:val="both"/>
        <w:rPr>
          <w:rFonts w:ascii="Arial" w:hAnsi="Arial" w:cs="Arial"/>
          <w:b/>
          <w:bCs/>
          <w:color w:val="000000" w:themeColor="text1"/>
          <w:sz w:val="20"/>
          <w:szCs w:val="20"/>
          <w:u w:val="single"/>
          <w:lang w:eastAsia="fr-FR"/>
        </w:rPr>
      </w:pPr>
      <w:r w:rsidRPr="00B15634">
        <w:rPr>
          <w:rFonts w:ascii="Arial" w:hAnsi="Arial" w:cs="Arial"/>
          <w:b/>
          <w:bCs/>
          <w:color w:val="000000" w:themeColor="text1"/>
          <w:sz w:val="20"/>
          <w:szCs w:val="20"/>
          <w:u w:val="single"/>
          <w:lang w:eastAsia="fr-FR"/>
        </w:rPr>
        <w:t xml:space="preserve">Tissu adipeux </w:t>
      </w:r>
    </w:p>
    <w:p w14:paraId="1FCE5F11"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b/>
          <w:bCs/>
          <w:color w:val="70AD47" w:themeColor="accent6"/>
          <w:sz w:val="20"/>
          <w:szCs w:val="20"/>
          <w:u w:val="single"/>
          <w:lang w:eastAsia="fr-FR"/>
        </w:rPr>
        <w:t>Leptine</w:t>
      </w:r>
      <w:r w:rsidRPr="00B15634">
        <w:rPr>
          <w:rFonts w:ascii="Arial" w:hAnsi="Arial" w:cs="Arial"/>
          <w:color w:val="70AD47" w:themeColor="accent6"/>
          <w:sz w:val="20"/>
          <w:szCs w:val="20"/>
          <w:lang w:eastAsia="fr-FR"/>
        </w:rPr>
        <w:t> </w:t>
      </w: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adipokine</w:t>
      </w:r>
      <w:r w:rsidRPr="00B15634">
        <w:rPr>
          <w:rFonts w:ascii="Arial" w:hAnsi="Arial" w:cs="Arial"/>
          <w:color w:val="000000" w:themeColor="text1"/>
          <w:sz w:val="20"/>
          <w:szCs w:val="20"/>
          <w:lang w:eastAsia="fr-FR"/>
        </w:rPr>
        <w:t xml:space="preserve">: adipocyte, cytokine de 167 AA , </w:t>
      </w:r>
    </w:p>
    <w:p w14:paraId="4B21E32C"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 xml:space="preserve">Actions </w:t>
      </w: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anorexigène</w:t>
      </w:r>
    </w:p>
    <w:p w14:paraId="6E14DA36"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centrale (NA): ↓ NPY et ↑POMC =&gt; ↓ prise alimentaire</w:t>
      </w:r>
      <w:r w:rsidRPr="00B15634">
        <w:rPr>
          <w:rFonts w:ascii="Arial" w:hAnsi="Arial" w:cs="Arial"/>
          <w:color w:val="000000" w:themeColor="text1"/>
          <w:sz w:val="20"/>
          <w:szCs w:val="20"/>
          <w:lang w:eastAsia="fr-FR"/>
        </w:rPr>
        <w:t xml:space="preserve">, plasticité cérébrale </w:t>
      </w:r>
    </w:p>
    <w:p w14:paraId="3104318B"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périphérique</w:t>
      </w:r>
      <w:r w:rsidRPr="00B15634">
        <w:rPr>
          <w:rFonts w:ascii="Arial" w:hAnsi="Arial" w:cs="Arial"/>
          <w:color w:val="000000" w:themeColor="text1"/>
          <w:sz w:val="20"/>
          <w:szCs w:val="20"/>
          <w:lang w:eastAsia="fr-FR"/>
        </w:rPr>
        <w:t xml:space="preserve">: ↑ thermogenèse et l'activité physique </w:t>
      </w:r>
      <w:r w:rsidRPr="00B15634">
        <w:rPr>
          <w:rFonts w:ascii="Arial" w:hAnsi="Arial" w:cs="Arial"/>
          <w:color w:val="000000" w:themeColor="text1"/>
          <w:sz w:val="20"/>
          <w:szCs w:val="20"/>
          <w:lang w:eastAsia="fr-FR"/>
        </w:rPr>
        <w:sym w:font="Symbol" w:char="F0DE"/>
      </w: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 dépense énergétique </w:t>
      </w:r>
    </w:p>
    <w:p w14:paraId="08ED78F1"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métabolismes (lipidique &amp; glucidique)</w:t>
      </w:r>
    </w:p>
    <w:p w14:paraId="1945680E" w14:textId="77777777" w:rsidR="00ED4694" w:rsidRPr="00B15634" w:rsidRDefault="00ED4694" w:rsidP="00ED4694">
      <w:pPr>
        <w:pStyle w:val="Sansinterligne"/>
        <w:numPr>
          <w:ilvl w:val="0"/>
          <w:numId w:val="104"/>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lipolyse et oxydation AG, ↓ lipogénèsèse</w:t>
      </w:r>
      <w:r w:rsidRPr="00B15634">
        <w:rPr>
          <w:rFonts w:ascii="Arial" w:hAnsi="Arial" w:cs="Arial"/>
          <w:color w:val="000000" w:themeColor="text1"/>
          <w:sz w:val="20"/>
          <w:szCs w:val="20"/>
          <w:lang w:eastAsia="fr-FR"/>
        </w:rPr>
        <w:t>, ↓ stockage des lipides</w:t>
      </w:r>
    </w:p>
    <w:p w14:paraId="16B5A4E6" w14:textId="77777777" w:rsidR="00ED4694" w:rsidRPr="00B15634" w:rsidRDefault="00ED4694" w:rsidP="00ED4694">
      <w:pPr>
        <w:pStyle w:val="Sansinterligne"/>
        <w:numPr>
          <w:ilvl w:val="0"/>
          <w:numId w:val="104"/>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 GLP-1 et ↓ insuline (mais améliore certaines de ses actions </w:t>
      </w:r>
      <w:r w:rsidRPr="00B15634">
        <w:rPr>
          <w:rFonts w:ascii="Arial" w:hAnsi="Arial" w:cs="Arial"/>
          <w:color w:val="000000" w:themeColor="text1"/>
          <w:sz w:val="20"/>
          <w:szCs w:val="20"/>
          <w:lang w:eastAsia="fr-FR"/>
        </w:rPr>
        <w:t xml:space="preserve">ex captation glu) </w:t>
      </w:r>
    </w:p>
    <w:p w14:paraId="5183CDCA"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Régulations</w:t>
      </w:r>
      <w:r w:rsidRPr="00B15634">
        <w:rPr>
          <w:rFonts w:ascii="Arial" w:hAnsi="Arial" w:cs="Arial"/>
          <w:color w:val="000000" w:themeColor="text1"/>
          <w:sz w:val="20"/>
          <w:szCs w:val="20"/>
          <w:lang w:eastAsia="fr-FR"/>
        </w:rPr>
        <w:t xml:space="preserve"> : </w:t>
      </w:r>
      <w:r w:rsidRPr="00B15634">
        <w:rPr>
          <w:rFonts w:ascii="Arial" w:hAnsi="Arial" w:cs="Arial"/>
          <w:color w:val="ED7D31" w:themeColor="accent2"/>
          <w:sz w:val="20"/>
          <w:szCs w:val="20"/>
          <w:lang w:eastAsia="fr-FR"/>
        </w:rPr>
        <w:t>↑ avec la masse grasse</w:t>
      </w:r>
      <w:r w:rsidRPr="00B15634">
        <w:rPr>
          <w:rFonts w:ascii="Arial" w:hAnsi="Arial" w:cs="Arial"/>
          <w:color w:val="000000" w:themeColor="text1"/>
          <w:sz w:val="20"/>
          <w:szCs w:val="20"/>
          <w:lang w:eastAsia="fr-FR"/>
        </w:rPr>
        <w:t xml:space="preserve">, ↑ par insuline, ↑ par cortisol </w:t>
      </w:r>
    </w:p>
    <w:p w14:paraId="487AAE1A"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b/>
          <w:bCs/>
          <w:color w:val="70AD47" w:themeColor="accent6"/>
          <w:sz w:val="20"/>
          <w:szCs w:val="20"/>
          <w:u w:val="single"/>
          <w:lang w:eastAsia="fr-FR"/>
        </w:rPr>
        <w:t>Résistine</w:t>
      </w:r>
      <w:r w:rsidRPr="00B15634">
        <w:rPr>
          <w:rFonts w:ascii="Arial" w:hAnsi="Arial" w:cs="Arial"/>
          <w:color w:val="70AD47" w:themeColor="accent6"/>
          <w:sz w:val="20"/>
          <w:szCs w:val="20"/>
          <w:lang w:eastAsia="fr-FR"/>
        </w:rPr>
        <w:t> </w:t>
      </w:r>
      <w:r w:rsidRPr="00B15634">
        <w:rPr>
          <w:rFonts w:ascii="Arial" w:hAnsi="Arial" w:cs="Arial"/>
          <w:color w:val="000000" w:themeColor="text1"/>
          <w:sz w:val="20"/>
          <w:szCs w:val="20"/>
          <w:lang w:eastAsia="fr-FR"/>
        </w:rPr>
        <w:t>: ↑ résistance à insuline</w:t>
      </w:r>
    </w:p>
    <w:p w14:paraId="2575EE9E"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b/>
          <w:bCs/>
          <w:color w:val="70AD47" w:themeColor="accent6"/>
          <w:sz w:val="20"/>
          <w:szCs w:val="20"/>
          <w:u w:val="single"/>
          <w:lang w:eastAsia="fr-FR"/>
        </w:rPr>
        <w:t>Adiponectine</w:t>
      </w:r>
      <w:r w:rsidRPr="00B15634">
        <w:rPr>
          <w:rFonts w:ascii="Arial" w:hAnsi="Arial" w:cs="Arial"/>
          <w:color w:val="70AD47" w:themeColor="accent6"/>
          <w:sz w:val="20"/>
          <w:szCs w:val="20"/>
          <w:lang w:eastAsia="fr-FR"/>
        </w:rPr>
        <w:t xml:space="preserve"> : </w:t>
      </w:r>
      <w:r w:rsidRPr="00B15634">
        <w:rPr>
          <w:rFonts w:ascii="Arial" w:hAnsi="Arial" w:cs="Arial"/>
          <w:color w:val="000000" w:themeColor="text1"/>
          <w:sz w:val="20"/>
          <w:szCs w:val="20"/>
          <w:lang w:eastAsia="fr-FR"/>
        </w:rPr>
        <w:t xml:space="preserve">↓ sensibilité à insuline </w:t>
      </w:r>
    </w:p>
    <w:p w14:paraId="384FEEB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D8537EB" w14:textId="77777777" w:rsidR="00ED4694" w:rsidRPr="00B15634" w:rsidRDefault="00ED4694" w:rsidP="00ED4694">
      <w:pPr>
        <w:pStyle w:val="Sansinterligne"/>
        <w:numPr>
          <w:ilvl w:val="0"/>
          <w:numId w:val="98"/>
        </w:numPr>
        <w:jc w:val="both"/>
        <w:rPr>
          <w:rFonts w:ascii="Arial" w:hAnsi="Arial" w:cs="Arial"/>
          <w:b/>
          <w:bCs/>
          <w:color w:val="FFC000" w:themeColor="accent4"/>
          <w:sz w:val="20"/>
          <w:szCs w:val="20"/>
          <w:u w:val="single"/>
          <w:lang w:eastAsia="fr-FR"/>
        </w:rPr>
      </w:pPr>
      <w:r w:rsidRPr="00B15634">
        <w:rPr>
          <w:rFonts w:ascii="Arial" w:hAnsi="Arial" w:cs="Arial"/>
          <w:b/>
          <w:bCs/>
          <w:color w:val="FFC000" w:themeColor="accent4"/>
          <w:sz w:val="20"/>
          <w:szCs w:val="20"/>
          <w:u w:val="single"/>
          <w:lang w:eastAsia="fr-FR"/>
        </w:rPr>
        <w:t xml:space="preserve">Régulation intriquée avec la régulation biochimique (par les nutriments) </w:t>
      </w:r>
    </w:p>
    <w:p w14:paraId="2ABF2BFB"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3070E89"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Facteurs biochimiques : le glucose </w:t>
      </w:r>
    </w:p>
    <w:p w14:paraId="40C542C9"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phosphorylation oxydative des </w:t>
      </w:r>
      <w:r w:rsidRPr="00B15634">
        <w:rPr>
          <w:rFonts w:ascii="Arial" w:hAnsi="Arial" w:cs="Arial"/>
          <w:color w:val="ED7D31" w:themeColor="accent2"/>
          <w:sz w:val="20"/>
          <w:szCs w:val="20"/>
          <w:lang w:eastAsia="fr-FR"/>
        </w:rPr>
        <w:t xml:space="preserve">nutriments </w:t>
      </w:r>
      <w:r w:rsidRPr="00B15634">
        <w:rPr>
          <w:rFonts w:ascii="Arial" w:hAnsi="Arial" w:cs="Arial"/>
          <w:color w:val="000000" w:themeColor="text1"/>
          <w:sz w:val="20"/>
          <w:szCs w:val="20"/>
          <w:lang w:eastAsia="fr-FR"/>
        </w:rPr>
        <w:t xml:space="preserve">(glucides et lipides)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énergie = </w:t>
      </w:r>
      <w:r w:rsidRPr="00B15634">
        <w:rPr>
          <w:rFonts w:ascii="Arial" w:hAnsi="Arial" w:cs="Arial"/>
          <w:color w:val="ED7D31" w:themeColor="accent2"/>
          <w:sz w:val="20"/>
          <w:szCs w:val="20"/>
          <w:lang w:eastAsia="fr-FR"/>
        </w:rPr>
        <w:t xml:space="preserve">ATP </w:t>
      </w:r>
    </w:p>
    <w:p w14:paraId="6A9FE885"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SNC : spécialisation </w:t>
      </w:r>
      <w:r w:rsidRPr="00B15634">
        <w:rPr>
          <w:rFonts w:ascii="Arial" w:hAnsi="Arial" w:cs="Arial"/>
          <w:color w:val="000000" w:themeColor="text1"/>
          <w:sz w:val="20"/>
          <w:szCs w:val="20"/>
          <w:lang w:eastAsia="fr-FR"/>
        </w:rPr>
        <w:t>de l’utilisation des substrats</w:t>
      </w:r>
    </w:p>
    <w:p w14:paraId="13A81C72" w14:textId="77777777" w:rsidR="00ED4694" w:rsidRPr="00B15634" w:rsidRDefault="00ED4694" w:rsidP="00ED4694">
      <w:pPr>
        <w:pStyle w:val="Sansinterligne"/>
        <w:numPr>
          <w:ilvl w:val="0"/>
          <w:numId w:val="105"/>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Neurones sensibles </w:t>
      </w:r>
      <w:r w:rsidRPr="00B15634">
        <w:rPr>
          <w:rFonts w:ascii="Arial" w:hAnsi="Arial" w:cs="Arial"/>
          <w:color w:val="000000" w:themeColor="text1"/>
          <w:sz w:val="20"/>
          <w:szCs w:val="20"/>
          <w:lang w:eastAsia="fr-FR"/>
        </w:rPr>
        <w:t xml:space="preserve">aux variations de la </w:t>
      </w:r>
      <w:r w:rsidRPr="00B15634">
        <w:rPr>
          <w:rFonts w:ascii="Arial" w:hAnsi="Arial" w:cs="Arial"/>
          <w:color w:val="ED7D31" w:themeColor="accent2"/>
          <w:sz w:val="20"/>
          <w:szCs w:val="20"/>
          <w:lang w:eastAsia="fr-FR"/>
        </w:rPr>
        <w:t>glycémie</w:t>
      </w:r>
      <w:r w:rsidRPr="00B15634">
        <w:rPr>
          <w:rFonts w:ascii="Arial" w:hAnsi="Arial" w:cs="Arial"/>
          <w:color w:val="000000" w:themeColor="text1"/>
          <w:sz w:val="20"/>
          <w:szCs w:val="20"/>
          <w:lang w:eastAsia="fr-FR"/>
        </w:rPr>
        <w:t xml:space="preserve">, </w:t>
      </w:r>
    </w:p>
    <w:p w14:paraId="33580AF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Disponibilité en glucose </w:t>
      </w:r>
      <w:r w:rsidRPr="00B15634">
        <w:rPr>
          <w:rFonts w:ascii="Arial" w:hAnsi="Arial" w:cs="Arial"/>
          <w:color w:val="000000" w:themeColor="text1"/>
          <w:sz w:val="20"/>
          <w:szCs w:val="20"/>
          <w:lang w:eastAsia="fr-FR"/>
        </w:rPr>
        <w:t xml:space="preserve">(Théorie glucostatique de Mayer) source d’énergie principale du SNC </w:t>
      </w:r>
    </w:p>
    <w:p w14:paraId="53AA9A59"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hypothalamus détecte les variations glycémiques =&gt; signaux =&gt; adaptation de la prise alimentaire </w:t>
      </w:r>
    </w:p>
    <w:p w14:paraId="52F02DA2"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- 2 populations de neurones: </w:t>
      </w:r>
    </w:p>
    <w:p w14:paraId="63138FDE" w14:textId="77777777" w:rsidR="00ED4694" w:rsidRPr="00B15634" w:rsidRDefault="00ED4694" w:rsidP="00ED4694">
      <w:pPr>
        <w:pStyle w:val="Sansinterligne"/>
        <w:numPr>
          <w:ilvl w:val="0"/>
          <w:numId w:val="106"/>
        </w:numPr>
        <w:jc w:val="both"/>
        <w:rPr>
          <w:rFonts w:ascii="Arial" w:hAnsi="Arial" w:cs="Arial"/>
          <w:color w:val="ED7D31" w:themeColor="accent2"/>
          <w:sz w:val="20"/>
          <w:szCs w:val="20"/>
          <w:lang w:eastAsia="fr-FR"/>
        </w:rPr>
      </w:pPr>
      <w:r w:rsidRPr="00B15634">
        <w:rPr>
          <w:rFonts w:ascii="Arial" w:hAnsi="Arial" w:cs="Arial"/>
          <w:color w:val="ED7D31" w:themeColor="accent2"/>
          <w:sz w:val="20"/>
          <w:szCs w:val="20"/>
          <w:lang w:eastAsia="fr-FR"/>
        </w:rPr>
        <w:t xml:space="preserve">Excités </w:t>
      </w:r>
      <w:r w:rsidRPr="00B15634">
        <w:rPr>
          <w:rFonts w:ascii="Arial" w:hAnsi="Arial" w:cs="Arial"/>
          <w:color w:val="000000" w:themeColor="text1"/>
          <w:sz w:val="20"/>
          <w:szCs w:val="20"/>
          <w:lang w:eastAsia="fr-FR"/>
        </w:rPr>
        <w:t xml:space="preserve">par </w:t>
      </w:r>
      <w:r w:rsidRPr="00B15634">
        <w:rPr>
          <w:rFonts w:ascii="Arial" w:hAnsi="Arial" w:cs="Arial"/>
          <w:color w:val="ED7D31" w:themeColor="accent2"/>
          <w:sz w:val="20"/>
          <w:szCs w:val="20"/>
          <w:lang w:eastAsia="fr-FR"/>
        </w:rPr>
        <w:t>↑ Glucose extracellulaire (GE) : neurones à POMC</w:t>
      </w:r>
    </w:p>
    <w:p w14:paraId="008326B2" w14:textId="77777777" w:rsidR="00ED4694" w:rsidRPr="00B15634" w:rsidRDefault="00ED4694" w:rsidP="00ED4694">
      <w:pPr>
        <w:pStyle w:val="Sansinterligne"/>
        <w:numPr>
          <w:ilvl w:val="0"/>
          <w:numId w:val="106"/>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ou </w:t>
      </w:r>
      <w:r w:rsidRPr="00B15634">
        <w:rPr>
          <w:rFonts w:ascii="Arial" w:hAnsi="Arial" w:cs="Arial"/>
          <w:color w:val="ED7D31" w:themeColor="accent2"/>
          <w:sz w:val="20"/>
          <w:szCs w:val="20"/>
          <w:lang w:eastAsia="fr-FR"/>
        </w:rPr>
        <w:t xml:space="preserve">Inhibés </w:t>
      </w:r>
      <w:r w:rsidRPr="00B15634">
        <w:rPr>
          <w:rFonts w:ascii="Arial" w:hAnsi="Arial" w:cs="Arial"/>
          <w:color w:val="000000" w:themeColor="text1"/>
          <w:sz w:val="20"/>
          <w:szCs w:val="20"/>
          <w:lang w:eastAsia="fr-FR"/>
        </w:rPr>
        <w:t xml:space="preserve">par </w:t>
      </w:r>
      <w:r w:rsidRPr="00B15634">
        <w:rPr>
          <w:rFonts w:ascii="Arial" w:hAnsi="Arial" w:cs="Arial"/>
          <w:color w:val="ED7D31" w:themeColor="accent2"/>
          <w:sz w:val="20"/>
          <w:szCs w:val="20"/>
          <w:lang w:eastAsia="fr-FR"/>
        </w:rPr>
        <w:t xml:space="preserve">↑ Glucose extracellulaire (GI): neurones AgRP/NPY </w:t>
      </w:r>
    </w:p>
    <w:p w14:paraId="4270357C" w14:textId="77777777" w:rsidR="00ED4694" w:rsidRPr="00B15634" w:rsidRDefault="00ED4694" w:rsidP="00ED4694">
      <w:pPr>
        <w:pStyle w:val="Sansinterligne"/>
        <w:numPr>
          <w:ilvl w:val="0"/>
          <w:numId w:val="105"/>
        </w:numPr>
        <w:jc w:val="both"/>
        <w:rPr>
          <w:rFonts w:ascii="Arial" w:hAnsi="Arial" w:cs="Arial"/>
          <w:color w:val="ED7D31" w:themeColor="accent2"/>
          <w:sz w:val="20"/>
          <w:szCs w:val="20"/>
          <w:lang w:eastAsia="fr-FR"/>
        </w:rPr>
      </w:pPr>
      <w:r w:rsidRPr="00B15634">
        <w:rPr>
          <w:rFonts w:ascii="Arial" w:hAnsi="Arial" w:cs="Arial"/>
          <w:color w:val="ED7D31" w:themeColor="accent2"/>
          <w:sz w:val="20"/>
          <w:szCs w:val="20"/>
          <w:lang w:eastAsia="fr-FR"/>
        </w:rPr>
        <w:t xml:space="preserve">↑ glycémie </w:t>
      </w:r>
      <w:r w:rsidRPr="00B15634">
        <w:rPr>
          <w:rFonts w:ascii="Arial" w:hAnsi="Arial" w:cs="Arial"/>
          <w:color w:val="ED7D31" w:themeColor="accent2"/>
          <w:sz w:val="20"/>
          <w:szCs w:val="20"/>
          <w:lang w:eastAsia="fr-FR"/>
        </w:rPr>
        <w:sym w:font="Wingdings" w:char="F0E0"/>
      </w:r>
      <w:r w:rsidRPr="00B15634">
        <w:rPr>
          <w:rFonts w:ascii="Arial" w:hAnsi="Arial" w:cs="Arial"/>
          <w:color w:val="ED7D31" w:themeColor="accent2"/>
          <w:sz w:val="20"/>
          <w:szCs w:val="20"/>
          <w:lang w:eastAsia="fr-FR"/>
        </w:rPr>
        <w:t xml:space="preserve"> ↓ prise alimentaire</w:t>
      </w:r>
    </w:p>
    <w:p w14:paraId="65C0A01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Disponibilité des AGL et AA produits digestifs), contenu en ATP </w:t>
      </w:r>
      <w:r w:rsidRPr="00B15634">
        <w:rPr>
          <w:rFonts w:ascii="Arial" w:hAnsi="Arial" w:cs="Arial"/>
          <w:color w:val="000000" w:themeColor="text1"/>
          <w:sz w:val="20"/>
          <w:szCs w:val="20"/>
          <w:lang w:eastAsia="fr-FR"/>
        </w:rPr>
        <w:t xml:space="preserve">intrahépatique et kinases </w:t>
      </w:r>
    </w:p>
    <w:p w14:paraId="29C9EFE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304C26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Le niveau de phosphorylation de l’AMPK hypothalamique varie en fonction du statut énergétique ou d’effecteurs </w:t>
      </w:r>
    </w:p>
    <w:p w14:paraId="28A23186"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152A82F"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lastRenderedPageBreak/>
        <w:drawing>
          <wp:anchor distT="0" distB="0" distL="114300" distR="114300" simplePos="0" relativeHeight="251688960" behindDoc="1" locked="0" layoutInCell="1" allowOverlap="1" wp14:anchorId="6F976E49" wp14:editId="5063B638">
            <wp:simplePos x="0" y="0"/>
            <wp:positionH relativeFrom="column">
              <wp:posOffset>-17929</wp:posOffset>
            </wp:positionH>
            <wp:positionV relativeFrom="paragraph">
              <wp:posOffset>-448</wp:posOffset>
            </wp:positionV>
            <wp:extent cx="4083580" cy="2106559"/>
            <wp:effectExtent l="0" t="0" r="6350" b="1905"/>
            <wp:wrapTight wrapText="bothSides">
              <wp:wrapPolygon edited="0">
                <wp:start x="0" y="0"/>
                <wp:lineTo x="0" y="21489"/>
                <wp:lineTo x="21566" y="21489"/>
                <wp:lineTo x="21566" y="0"/>
                <wp:lineTo x="0" y="0"/>
              </wp:wrapPolygon>
            </wp:wrapTight>
            <wp:docPr id="5310301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030134"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083580" cy="2106559"/>
                    </a:xfrm>
                    <a:prstGeom prst="rect">
                      <a:avLst/>
                    </a:prstGeom>
                  </pic:spPr>
                </pic:pic>
              </a:graphicData>
            </a:graphic>
            <wp14:sizeRelH relativeFrom="page">
              <wp14:pctWidth>0</wp14:pctWidth>
            </wp14:sizeRelH>
            <wp14:sizeRelV relativeFrom="page">
              <wp14:pctHeight>0</wp14:pctHeight>
            </wp14:sizeRelV>
          </wp:anchor>
        </w:drawing>
      </w:r>
    </w:p>
    <w:p w14:paraId="427F4182" w14:textId="77777777" w:rsidR="00ED4694" w:rsidRDefault="00ED4694" w:rsidP="00ED4694">
      <w:pPr>
        <w:pStyle w:val="Sansinterligne"/>
        <w:jc w:val="both"/>
        <w:rPr>
          <w:rFonts w:ascii="Arial" w:hAnsi="Arial" w:cs="Arial"/>
          <w:color w:val="000000" w:themeColor="text1"/>
          <w:sz w:val="20"/>
          <w:szCs w:val="20"/>
          <w:lang w:eastAsia="fr-FR"/>
        </w:rPr>
      </w:pPr>
    </w:p>
    <w:p w14:paraId="625CB53E" w14:textId="77777777" w:rsidR="003E2971" w:rsidRPr="00B15634" w:rsidRDefault="003E2971" w:rsidP="00ED4694">
      <w:pPr>
        <w:pStyle w:val="Sansinterligne"/>
        <w:jc w:val="both"/>
        <w:rPr>
          <w:rFonts w:ascii="Arial" w:hAnsi="Arial" w:cs="Arial"/>
          <w:color w:val="000000" w:themeColor="text1"/>
          <w:sz w:val="20"/>
          <w:szCs w:val="20"/>
          <w:lang w:eastAsia="fr-FR"/>
        </w:rPr>
      </w:pPr>
    </w:p>
    <w:p w14:paraId="2700F8E3"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En résumé : </w:t>
      </w:r>
    </w:p>
    <w:p w14:paraId="6B58DC14" w14:textId="77777777" w:rsidR="00ED4694" w:rsidRPr="00B15634" w:rsidRDefault="00ED4694" w:rsidP="00ED4694">
      <w:pPr>
        <w:pStyle w:val="Sansinterligne"/>
        <w:jc w:val="both"/>
        <w:rPr>
          <w:rFonts w:ascii="Arial" w:hAnsi="Arial" w:cs="Arial"/>
          <w:color w:val="ED7D31" w:themeColor="accent2"/>
          <w:sz w:val="20"/>
          <w:szCs w:val="20"/>
          <w:lang w:eastAsia="fr-FR"/>
        </w:rPr>
      </w:pPr>
      <w:r w:rsidRPr="00FA5FA9">
        <w:rPr>
          <w:rFonts w:ascii="Arial" w:hAnsi="Arial" w:cs="Arial"/>
          <w:color w:val="ED7D31" w:themeColor="accent2"/>
          <w:sz w:val="20"/>
          <w:szCs w:val="20"/>
          <w:lang w:eastAsia="fr-FR"/>
        </w:rPr>
        <w:t xml:space="preserve">- Actions </w:t>
      </w:r>
      <w:r w:rsidRPr="00B15634">
        <w:rPr>
          <w:rFonts w:ascii="Arial" w:hAnsi="Arial" w:cs="Arial"/>
          <w:color w:val="ED7D31" w:themeColor="accent2"/>
          <w:sz w:val="20"/>
          <w:szCs w:val="20"/>
          <w:lang w:eastAsia="fr-FR"/>
        </w:rPr>
        <w:t>périphériques et centrales (NA)</w:t>
      </w:r>
    </w:p>
    <w:p w14:paraId="4AFFCD46" w14:textId="77777777" w:rsidR="00ED4694" w:rsidRPr="00B15634" w:rsidRDefault="00ED4694" w:rsidP="00ED4694">
      <w:pPr>
        <w:pStyle w:val="Sansinterligne"/>
        <w:jc w:val="both"/>
        <w:rPr>
          <w:rFonts w:ascii="Arial" w:hAnsi="Arial" w:cs="Arial"/>
          <w:color w:val="ED7D31" w:themeColor="accent2"/>
          <w:sz w:val="20"/>
          <w:szCs w:val="20"/>
          <w:lang w:eastAsia="fr-FR"/>
        </w:rPr>
      </w:pPr>
      <w:r w:rsidRPr="00B15634">
        <w:rPr>
          <w:rFonts w:ascii="Arial" w:hAnsi="Arial" w:cs="Arial"/>
          <w:color w:val="ED7D31" w:themeColor="accent2"/>
          <w:sz w:val="20"/>
          <w:szCs w:val="20"/>
          <w:lang w:eastAsia="fr-FR"/>
        </w:rPr>
        <w:t>- Régulation intriquée avec régulation biochimique</w:t>
      </w:r>
    </w:p>
    <w:p w14:paraId="5272C062" w14:textId="77777777" w:rsidR="00ED4694" w:rsidRPr="00B15634" w:rsidRDefault="00ED4694" w:rsidP="00ED4694">
      <w:pPr>
        <w:pStyle w:val="Sansinterligne"/>
        <w:jc w:val="both"/>
        <w:rPr>
          <w:rFonts w:ascii="Arial" w:hAnsi="Arial" w:cs="Arial"/>
          <w:color w:val="ED7D31" w:themeColor="accent2"/>
          <w:sz w:val="20"/>
          <w:szCs w:val="20"/>
          <w:lang w:eastAsia="fr-FR"/>
        </w:rPr>
      </w:pPr>
      <w:r w:rsidRPr="00B15634">
        <w:rPr>
          <w:rFonts w:ascii="Arial" w:hAnsi="Arial" w:cs="Arial"/>
          <w:color w:val="ED7D31" w:themeColor="accent2"/>
          <w:sz w:val="20"/>
          <w:szCs w:val="20"/>
          <w:lang w:eastAsia="fr-FR"/>
        </w:rPr>
        <w:t>- Rôle clé du glucose</w:t>
      </w:r>
    </w:p>
    <w:p w14:paraId="174B5428" w14:textId="77777777" w:rsidR="00ED4694" w:rsidRPr="00B15634" w:rsidRDefault="00ED4694" w:rsidP="00ED4694">
      <w:pPr>
        <w:pStyle w:val="Sansinterligne"/>
        <w:jc w:val="both"/>
        <w:rPr>
          <w:rFonts w:ascii="Arial" w:hAnsi="Arial" w:cs="Arial"/>
          <w:color w:val="ED7D31" w:themeColor="accent2"/>
          <w:sz w:val="20"/>
          <w:szCs w:val="20"/>
          <w:lang w:eastAsia="fr-FR"/>
        </w:rPr>
      </w:pPr>
    </w:p>
    <w:p w14:paraId="3FE8533B" w14:textId="77777777" w:rsidR="00ED4694" w:rsidRPr="00B15634" w:rsidRDefault="00ED4694" w:rsidP="00ED4694">
      <w:pPr>
        <w:pStyle w:val="Sansinterligne"/>
        <w:jc w:val="both"/>
        <w:rPr>
          <w:rFonts w:ascii="Arial" w:hAnsi="Arial" w:cs="Arial"/>
          <w:color w:val="ED7D31" w:themeColor="accent2"/>
          <w:sz w:val="20"/>
          <w:szCs w:val="20"/>
          <w:lang w:eastAsia="fr-FR"/>
        </w:rPr>
      </w:pPr>
    </w:p>
    <w:p w14:paraId="4ECDC9F6" w14:textId="77777777" w:rsidR="00ED4694" w:rsidRPr="00B15634" w:rsidRDefault="00ED4694" w:rsidP="00ED4694">
      <w:pPr>
        <w:pStyle w:val="Sansinterligne"/>
        <w:jc w:val="both"/>
        <w:rPr>
          <w:rFonts w:ascii="Arial" w:hAnsi="Arial" w:cs="Arial"/>
          <w:color w:val="ED7D31" w:themeColor="accent2"/>
          <w:sz w:val="20"/>
          <w:szCs w:val="20"/>
          <w:lang w:eastAsia="fr-FR"/>
        </w:rPr>
      </w:pPr>
    </w:p>
    <w:p w14:paraId="47C9BFCD" w14:textId="77777777" w:rsidR="00ED4694" w:rsidRPr="00B15634" w:rsidRDefault="00ED4694" w:rsidP="00ED4694">
      <w:pPr>
        <w:pStyle w:val="Sansinterligne"/>
        <w:jc w:val="both"/>
        <w:rPr>
          <w:rFonts w:ascii="Arial" w:hAnsi="Arial" w:cs="Arial"/>
          <w:color w:val="ED7D31" w:themeColor="accent2"/>
          <w:sz w:val="20"/>
          <w:szCs w:val="20"/>
          <w:lang w:eastAsia="fr-FR"/>
        </w:rPr>
      </w:pPr>
    </w:p>
    <w:p w14:paraId="21D008B8" w14:textId="77777777" w:rsidR="00ED4694" w:rsidRPr="00B15634" w:rsidRDefault="00ED4694" w:rsidP="00ED4694">
      <w:pPr>
        <w:pStyle w:val="Sansinterligne"/>
        <w:jc w:val="both"/>
        <w:rPr>
          <w:rFonts w:ascii="Arial" w:hAnsi="Arial" w:cs="Arial"/>
          <w:color w:val="ED7D31" w:themeColor="accent2"/>
          <w:sz w:val="20"/>
          <w:szCs w:val="20"/>
          <w:lang w:eastAsia="fr-FR"/>
        </w:rPr>
      </w:pPr>
    </w:p>
    <w:p w14:paraId="44EB4E3D" w14:textId="77777777" w:rsidR="00ED4694" w:rsidRPr="00B15634" w:rsidRDefault="00ED4694" w:rsidP="00ED4694">
      <w:pPr>
        <w:pStyle w:val="Sansinterligne"/>
        <w:jc w:val="both"/>
        <w:rPr>
          <w:rFonts w:ascii="Arial" w:hAnsi="Arial" w:cs="Arial"/>
          <w:color w:val="ED7D31" w:themeColor="accent2"/>
          <w:sz w:val="20"/>
          <w:szCs w:val="20"/>
          <w:lang w:eastAsia="fr-FR"/>
        </w:rPr>
      </w:pPr>
    </w:p>
    <w:p w14:paraId="12255A5F" w14:textId="77777777" w:rsidR="00ED4694" w:rsidRPr="00B15634" w:rsidRDefault="00ED4694" w:rsidP="00ED4694">
      <w:pPr>
        <w:pStyle w:val="Sansinterligne"/>
        <w:jc w:val="both"/>
        <w:rPr>
          <w:rFonts w:ascii="Arial" w:hAnsi="Arial" w:cs="Arial"/>
          <w:color w:val="ED7D31" w:themeColor="accent2"/>
          <w:sz w:val="20"/>
          <w:szCs w:val="20"/>
          <w:lang w:eastAsia="fr-FR"/>
        </w:rPr>
      </w:pPr>
    </w:p>
    <w:p w14:paraId="3E08AAAE" w14:textId="77777777" w:rsidR="00ED4694" w:rsidRPr="00B15634" w:rsidRDefault="00ED4694" w:rsidP="00ED4694">
      <w:pPr>
        <w:pStyle w:val="Sansinterligne"/>
        <w:numPr>
          <w:ilvl w:val="0"/>
          <w:numId w:val="98"/>
        </w:numPr>
        <w:jc w:val="both"/>
        <w:rPr>
          <w:rFonts w:ascii="Arial" w:hAnsi="Arial" w:cs="Arial"/>
          <w:color w:val="00B0F0"/>
          <w:sz w:val="20"/>
          <w:szCs w:val="20"/>
          <w:lang w:eastAsia="fr-FR"/>
        </w:rPr>
      </w:pPr>
      <w:r w:rsidRPr="00B15634">
        <w:rPr>
          <w:rFonts w:ascii="Arial" w:hAnsi="Arial" w:cs="Arial"/>
          <w:b/>
          <w:bCs/>
          <w:color w:val="00B0F0"/>
          <w:sz w:val="20"/>
          <w:szCs w:val="20"/>
          <w:u w:val="single"/>
          <w:lang w:eastAsia="fr-FR"/>
        </w:rPr>
        <w:t>Scénario de l’acte alimentaire et régulations</w:t>
      </w:r>
    </w:p>
    <w:p w14:paraId="6D88A994"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inline distT="0" distB="0" distL="0" distR="0" wp14:anchorId="790CAD27" wp14:editId="765BA9A6">
            <wp:extent cx="3325473" cy="2059912"/>
            <wp:effectExtent l="0" t="0" r="2540" b="0"/>
            <wp:docPr id="6956107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610795" name=""/>
                    <pic:cNvPicPr/>
                  </pic:nvPicPr>
                  <pic:blipFill>
                    <a:blip r:embed="rId58"/>
                    <a:stretch>
                      <a:fillRect/>
                    </a:stretch>
                  </pic:blipFill>
                  <pic:spPr>
                    <a:xfrm>
                      <a:off x="0" y="0"/>
                      <a:ext cx="3333983" cy="2065184"/>
                    </a:xfrm>
                    <a:prstGeom prst="rect">
                      <a:avLst/>
                    </a:prstGeom>
                  </pic:spPr>
                </pic:pic>
              </a:graphicData>
            </a:graphic>
          </wp:inline>
        </w:drawing>
      </w:r>
    </w:p>
    <w:p w14:paraId="2EDE80D6"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9016524"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Régulation à court terme </w:t>
      </w:r>
    </w:p>
    <w:p w14:paraId="3591CFEC"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implique </w:t>
      </w:r>
      <w:r w:rsidRPr="00B15634">
        <w:rPr>
          <w:rFonts w:ascii="Arial" w:hAnsi="Arial" w:cs="Arial"/>
          <w:color w:val="ED7D31" w:themeColor="accent2"/>
          <w:sz w:val="20"/>
          <w:szCs w:val="20"/>
          <w:lang w:eastAsia="fr-FR"/>
        </w:rPr>
        <w:t>stimuli, hormones, neuromédiateurs, nutriments</w:t>
      </w:r>
    </w:p>
    <w:p w14:paraId="35E27344" w14:textId="77777777" w:rsidR="00ED4694" w:rsidRPr="00B15634" w:rsidRDefault="00ED4694" w:rsidP="00ED4694">
      <w:pPr>
        <w:pStyle w:val="Sansinterligne"/>
        <w:numPr>
          <w:ilvl w:val="0"/>
          <w:numId w:val="100"/>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mécanorécepteurs </w:t>
      </w:r>
      <w:r w:rsidRPr="00B15634">
        <w:rPr>
          <w:rFonts w:ascii="Arial" w:hAnsi="Arial" w:cs="Arial"/>
          <w:color w:val="000000" w:themeColor="text1"/>
          <w:sz w:val="20"/>
          <w:szCs w:val="20"/>
          <w:lang w:eastAsia="fr-FR"/>
        </w:rPr>
        <w:t xml:space="preserve">(distension: estomac, intestin)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réflexe (vagal et splanchnique) </w:t>
      </w:r>
    </w:p>
    <w:p w14:paraId="4B6CCC12" w14:textId="77777777" w:rsidR="00ED4694" w:rsidRPr="00B15634" w:rsidRDefault="00ED4694" w:rsidP="00ED4694">
      <w:pPr>
        <w:pStyle w:val="Sansinterligne"/>
        <w:numPr>
          <w:ilvl w:val="0"/>
          <w:numId w:val="100"/>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chémo-récepteurs </w:t>
      </w:r>
      <w:r w:rsidRPr="00B15634">
        <w:rPr>
          <w:rFonts w:ascii="Arial" w:hAnsi="Arial" w:cs="Arial"/>
          <w:color w:val="000000" w:themeColor="text1"/>
          <w:sz w:val="20"/>
          <w:szCs w:val="20"/>
          <w:lang w:eastAsia="fr-FR"/>
        </w:rPr>
        <w:t xml:space="preserve">(produits de digestion dans intestin)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enterohormones </w:t>
      </w:r>
    </w:p>
    <w:p w14:paraId="27DDBC9C" w14:textId="77777777" w:rsidR="00ED4694" w:rsidRPr="00B15634" w:rsidRDefault="00ED4694" w:rsidP="00ED4694">
      <w:pPr>
        <w:pStyle w:val="Sansinterligne"/>
        <w:numPr>
          <w:ilvl w:val="0"/>
          <w:numId w:val="105"/>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rétrocontrôle » hypothalamique </w:t>
      </w:r>
    </w:p>
    <w:p w14:paraId="00997FF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avant, pendant et après </w:t>
      </w:r>
      <w:r w:rsidRPr="00B15634">
        <w:rPr>
          <w:rFonts w:ascii="Arial" w:hAnsi="Arial" w:cs="Arial"/>
          <w:color w:val="000000" w:themeColor="text1"/>
          <w:sz w:val="20"/>
          <w:szCs w:val="20"/>
          <w:lang w:eastAsia="fr-FR"/>
        </w:rPr>
        <w:t xml:space="preserve">la prise alimentaire </w:t>
      </w:r>
    </w:p>
    <w:p w14:paraId="1BD00C8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Influent le volume et la durée de la prise</w:t>
      </w:r>
      <w:r w:rsidRPr="00B15634">
        <w:rPr>
          <w:rFonts w:ascii="Arial" w:hAnsi="Arial" w:cs="Arial"/>
          <w:color w:val="000000" w:themeColor="text1"/>
          <w:sz w:val="20"/>
          <w:szCs w:val="20"/>
          <w:lang w:eastAsia="fr-FR"/>
        </w:rPr>
        <w:t xml:space="preserve">, le rassasiement, la durée de la satiété </w:t>
      </w:r>
    </w:p>
    <w:p w14:paraId="177CE43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pendant l’intervalle entre 2 actes </w:t>
      </w:r>
    </w:p>
    <w:p w14:paraId="2D4CFE05" w14:textId="77777777" w:rsidR="00ED4694" w:rsidRPr="00B15634" w:rsidRDefault="00ED4694" w:rsidP="00ED4694">
      <w:pPr>
        <w:pStyle w:val="Sansinterligne"/>
        <w:numPr>
          <w:ilvl w:val="0"/>
          <w:numId w:val="105"/>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Régulation liée à la prise alimentaire </w:t>
      </w:r>
      <w:r w:rsidRPr="00B15634">
        <w:rPr>
          <w:rFonts w:ascii="Arial" w:hAnsi="Arial" w:cs="Arial"/>
          <w:color w:val="000000" w:themeColor="text1"/>
          <w:sz w:val="20"/>
          <w:szCs w:val="20"/>
          <w:lang w:eastAsia="fr-FR"/>
        </w:rPr>
        <w:t xml:space="preserve">mais pas à la masse adipeuse </w:t>
      </w:r>
    </w:p>
    <w:p w14:paraId="7DB9DFB0"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Commence par la faim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déclenchement de la prise alimentaire en quelques minutes par </w:t>
      </w:r>
      <w:r w:rsidRPr="00B15634">
        <w:rPr>
          <w:rFonts w:ascii="Arial" w:hAnsi="Arial" w:cs="Arial"/>
          <w:color w:val="ED7D31" w:themeColor="accent2"/>
          <w:sz w:val="20"/>
          <w:szCs w:val="20"/>
          <w:lang w:eastAsia="fr-FR"/>
        </w:rPr>
        <w:t xml:space="preserve">↓ transitoire de la glycémie </w:t>
      </w:r>
      <w:r w:rsidRPr="00B15634">
        <w:rPr>
          <w:rFonts w:ascii="Arial" w:hAnsi="Arial" w:cs="Arial"/>
          <w:color w:val="000000" w:themeColor="text1"/>
          <w:sz w:val="20"/>
          <w:szCs w:val="20"/>
          <w:lang w:eastAsia="fr-FR"/>
        </w:rPr>
        <w:t xml:space="preserve">(10%) </w:t>
      </w:r>
    </w:p>
    <w:p w14:paraId="5EC771A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Finit par la satiété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cascade de la satiété </w:t>
      </w:r>
      <w:r w:rsidRPr="00B15634">
        <w:rPr>
          <w:rFonts w:ascii="Arial" w:hAnsi="Arial" w:cs="Arial"/>
          <w:color w:val="000000" w:themeColor="text1"/>
          <w:sz w:val="20"/>
          <w:szCs w:val="20"/>
          <w:lang w:eastAsia="fr-FR"/>
        </w:rPr>
        <w:sym w:font="Wingdings" w:char="F0E0"/>
      </w:r>
      <w:r w:rsidRPr="00B15634">
        <w:rPr>
          <w:rFonts w:ascii="Arial" w:hAnsi="Arial" w:cs="Arial"/>
          <w:color w:val="000000" w:themeColor="text1"/>
          <w:sz w:val="20"/>
          <w:szCs w:val="20"/>
          <w:lang w:eastAsia="fr-FR"/>
        </w:rPr>
        <w:t xml:space="preserve"> Adaptation </w:t>
      </w:r>
    </w:p>
    <w:p w14:paraId="245F64D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AAC51C9"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Régulation à long terme </w:t>
      </w:r>
    </w:p>
    <w:p w14:paraId="3FCA8960"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post digestive ou métabolique</w:t>
      </w:r>
    </w:p>
    <w:p w14:paraId="5804FD5E"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surtout </w:t>
      </w:r>
      <w:r w:rsidRPr="00B15634">
        <w:rPr>
          <w:rFonts w:ascii="Arial" w:hAnsi="Arial" w:cs="Arial"/>
          <w:color w:val="ED7D31" w:themeColor="accent2"/>
          <w:sz w:val="20"/>
          <w:szCs w:val="20"/>
          <w:lang w:eastAsia="fr-FR"/>
        </w:rPr>
        <w:t>hormonale, proportionnelle à la masse adipeuse</w:t>
      </w:r>
      <w:r w:rsidRPr="00B15634">
        <w:rPr>
          <w:rFonts w:ascii="Arial" w:hAnsi="Arial" w:cs="Arial"/>
          <w:color w:val="000000" w:themeColor="text1"/>
          <w:sz w:val="20"/>
          <w:szCs w:val="20"/>
          <w:lang w:eastAsia="fr-FR"/>
        </w:rPr>
        <w:t xml:space="preserve">, à </w:t>
      </w:r>
      <w:r w:rsidRPr="00B15634">
        <w:rPr>
          <w:rFonts w:ascii="Arial" w:hAnsi="Arial" w:cs="Arial"/>
          <w:color w:val="ED7D31" w:themeColor="accent2"/>
          <w:sz w:val="20"/>
          <w:szCs w:val="20"/>
          <w:lang w:eastAsia="fr-FR"/>
        </w:rPr>
        <w:t xml:space="preserve">action retardée </w:t>
      </w:r>
      <w:r w:rsidRPr="00B15634">
        <w:rPr>
          <w:rFonts w:ascii="Arial" w:hAnsi="Arial" w:cs="Arial"/>
          <w:color w:val="000000" w:themeColor="text1"/>
          <w:sz w:val="20"/>
          <w:szCs w:val="20"/>
          <w:lang w:eastAsia="fr-FR"/>
        </w:rPr>
        <w:t>par rapport à la prise</w:t>
      </w:r>
    </w:p>
    <w:p w14:paraId="5278E2A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- 2 niveaux intriqués pour </w:t>
      </w:r>
      <w:r w:rsidRPr="00B15634">
        <w:rPr>
          <w:rFonts w:ascii="Arial" w:hAnsi="Arial" w:cs="Arial"/>
          <w:color w:val="ED7D31" w:themeColor="accent2"/>
          <w:sz w:val="20"/>
          <w:szCs w:val="20"/>
          <w:lang w:eastAsia="fr-FR"/>
        </w:rPr>
        <w:t xml:space="preserve">moduler le stockage et ↓ la prise alimentaire </w:t>
      </w:r>
      <w:r w:rsidRPr="00B15634">
        <w:rPr>
          <w:rFonts w:ascii="Arial" w:hAnsi="Arial" w:cs="Arial"/>
          <w:color w:val="000000" w:themeColor="text1"/>
          <w:sz w:val="20"/>
          <w:szCs w:val="20"/>
          <w:lang w:eastAsia="fr-FR"/>
        </w:rPr>
        <w:t xml:space="preserve">: </w:t>
      </w:r>
    </w:p>
    <w:p w14:paraId="029C02E7" w14:textId="77777777" w:rsidR="00ED4694" w:rsidRPr="00B15634" w:rsidRDefault="00ED4694" w:rsidP="00ED4694">
      <w:pPr>
        <w:pStyle w:val="Sansinterligne"/>
        <w:numPr>
          <w:ilvl w:val="0"/>
          <w:numId w:val="101"/>
        </w:numPr>
        <w:jc w:val="both"/>
        <w:rPr>
          <w:rFonts w:ascii="Arial" w:hAnsi="Arial" w:cs="Arial"/>
          <w:color w:val="ED7D31" w:themeColor="accent2"/>
          <w:sz w:val="20"/>
          <w:szCs w:val="20"/>
          <w:lang w:eastAsia="fr-FR"/>
        </w:rPr>
      </w:pPr>
      <w:r w:rsidRPr="00B15634">
        <w:rPr>
          <w:rFonts w:ascii="Arial" w:hAnsi="Arial" w:cs="Arial"/>
          <w:color w:val="ED7D31" w:themeColor="accent2"/>
          <w:sz w:val="20"/>
          <w:szCs w:val="20"/>
          <w:lang w:eastAsia="fr-FR"/>
        </w:rPr>
        <w:t xml:space="preserve">Central </w:t>
      </w:r>
      <w:r w:rsidRPr="00B15634">
        <w:rPr>
          <w:rFonts w:ascii="Arial" w:hAnsi="Arial" w:cs="Arial"/>
          <w:color w:val="000000" w:themeColor="text1"/>
          <w:sz w:val="20"/>
          <w:szCs w:val="20"/>
          <w:lang w:eastAsia="fr-FR"/>
        </w:rPr>
        <w:t xml:space="preserve">: hypothalamus effet </w:t>
      </w:r>
      <w:r w:rsidRPr="00B15634">
        <w:rPr>
          <w:rFonts w:ascii="Arial" w:hAnsi="Arial" w:cs="Arial"/>
          <w:color w:val="ED7D31" w:themeColor="accent2"/>
          <w:sz w:val="20"/>
          <w:szCs w:val="20"/>
          <w:lang w:eastAsia="fr-FR"/>
        </w:rPr>
        <w:t xml:space="preserve">anabolique (NPY, AgRP) ou catabolique (POMC, CART) </w:t>
      </w:r>
    </w:p>
    <w:p w14:paraId="3628106A" w14:textId="77777777" w:rsidR="00ED4694" w:rsidRPr="00B15634" w:rsidRDefault="00ED4694" w:rsidP="00ED4694">
      <w:pPr>
        <w:pStyle w:val="Sansinterligne"/>
        <w:numPr>
          <w:ilvl w:val="0"/>
          <w:numId w:val="101"/>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 xml:space="preserve">Périphérique </w:t>
      </w:r>
      <w:r w:rsidRPr="00B15634">
        <w:rPr>
          <w:rFonts w:ascii="Arial" w:hAnsi="Arial" w:cs="Arial"/>
          <w:color w:val="000000" w:themeColor="text1"/>
          <w:sz w:val="20"/>
          <w:szCs w:val="20"/>
          <w:lang w:eastAsia="fr-FR"/>
        </w:rPr>
        <w:t xml:space="preserve">: </w:t>
      </w:r>
    </w:p>
    <w:p w14:paraId="3A0A8AB4" w14:textId="77777777" w:rsidR="00ED4694" w:rsidRPr="00B15634" w:rsidRDefault="00ED4694" w:rsidP="00ED4694">
      <w:pPr>
        <w:pStyle w:val="Sansinterligne"/>
        <w:numPr>
          <w:ilvl w:val="2"/>
          <w:numId w:val="105"/>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u w:val="single"/>
          <w:lang w:eastAsia="fr-FR"/>
        </w:rPr>
        <w:t>Insuline</w:t>
      </w:r>
      <w:r w:rsidRPr="00B15634">
        <w:rPr>
          <w:rFonts w:ascii="Arial" w:hAnsi="Arial" w:cs="Arial"/>
          <w:color w:val="ED7D31" w:themeColor="accent2"/>
          <w:sz w:val="20"/>
          <w:szCs w:val="20"/>
          <w:lang w:eastAsia="fr-FR"/>
        </w:rPr>
        <w:t xml:space="preserve"> </w:t>
      </w:r>
      <w:r w:rsidRPr="00B15634">
        <w:rPr>
          <w:rFonts w:ascii="Arial" w:hAnsi="Arial" w:cs="Arial"/>
          <w:color w:val="000000" w:themeColor="text1"/>
          <w:sz w:val="20"/>
          <w:szCs w:val="20"/>
          <w:lang w:eastAsia="fr-FR"/>
        </w:rPr>
        <w:t xml:space="preserve">: Concentration en relation avec masse adipeuse et changements métaboliques </w:t>
      </w:r>
    </w:p>
    <w:p w14:paraId="4177DDDA" w14:textId="77777777" w:rsidR="00ED4694" w:rsidRPr="00B15634" w:rsidRDefault="00ED4694" w:rsidP="00ED4694">
      <w:pPr>
        <w:pStyle w:val="Sansinterligne"/>
        <w:numPr>
          <w:ilvl w:val="0"/>
          <w:numId w:val="105"/>
        </w:numPr>
        <w:jc w:val="both"/>
        <w:rPr>
          <w:rFonts w:ascii="Arial" w:hAnsi="Arial" w:cs="Arial"/>
          <w:color w:val="ED7D31" w:themeColor="accent2"/>
          <w:sz w:val="20"/>
          <w:szCs w:val="20"/>
          <w:lang w:eastAsia="fr-FR"/>
        </w:rPr>
      </w:pPr>
      <w:r w:rsidRPr="00B15634">
        <w:rPr>
          <w:rFonts w:ascii="Arial" w:hAnsi="Arial" w:cs="Arial"/>
          <w:color w:val="ED7D31" w:themeColor="accent2"/>
          <w:sz w:val="20"/>
          <w:szCs w:val="20"/>
          <w:lang w:eastAsia="fr-FR"/>
        </w:rPr>
        <w:t xml:space="preserve">à interface processus métaboliques immédiats et adiposité </w:t>
      </w:r>
    </w:p>
    <w:p w14:paraId="2E86D275" w14:textId="77777777" w:rsidR="00ED4694" w:rsidRPr="00B15634" w:rsidRDefault="00ED4694" w:rsidP="00ED4694">
      <w:pPr>
        <w:pStyle w:val="Sansinterligne"/>
        <w:numPr>
          <w:ilvl w:val="2"/>
          <w:numId w:val="105"/>
        </w:numPr>
        <w:jc w:val="both"/>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anchor distT="0" distB="0" distL="114300" distR="114300" simplePos="0" relativeHeight="251689984" behindDoc="1" locked="0" layoutInCell="1" allowOverlap="1" wp14:anchorId="35884881" wp14:editId="485258CD">
            <wp:simplePos x="0" y="0"/>
            <wp:positionH relativeFrom="column">
              <wp:posOffset>4975860</wp:posOffset>
            </wp:positionH>
            <wp:positionV relativeFrom="paragraph">
              <wp:posOffset>-45861</wp:posOffset>
            </wp:positionV>
            <wp:extent cx="1756410" cy="2212340"/>
            <wp:effectExtent l="0" t="0" r="0" b="0"/>
            <wp:wrapTight wrapText="bothSides">
              <wp:wrapPolygon edited="0">
                <wp:start x="0" y="0"/>
                <wp:lineTo x="0" y="21451"/>
                <wp:lineTo x="21397" y="21451"/>
                <wp:lineTo x="21397" y="0"/>
                <wp:lineTo x="0" y="0"/>
              </wp:wrapPolygon>
            </wp:wrapTight>
            <wp:docPr id="12818001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800185"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56410" cy="2212340"/>
                    </a:xfrm>
                    <a:prstGeom prst="rect">
                      <a:avLst/>
                    </a:prstGeom>
                  </pic:spPr>
                </pic:pic>
              </a:graphicData>
            </a:graphic>
            <wp14:sizeRelH relativeFrom="page">
              <wp14:pctWidth>0</wp14:pctWidth>
            </wp14:sizeRelH>
            <wp14:sizeRelV relativeFrom="page">
              <wp14:pctHeight>0</wp14:pctHeight>
            </wp14:sizeRelV>
          </wp:anchor>
        </w:drawing>
      </w:r>
      <w:r w:rsidRPr="00B15634">
        <w:rPr>
          <w:rFonts w:ascii="Arial" w:hAnsi="Arial" w:cs="Arial"/>
          <w:color w:val="ED7D31" w:themeColor="accent2"/>
          <w:sz w:val="20"/>
          <w:szCs w:val="20"/>
          <w:u w:val="single"/>
          <w:lang w:eastAsia="fr-FR"/>
        </w:rPr>
        <w:t>leptine</w:t>
      </w:r>
      <w:r w:rsidRPr="00B15634">
        <w:rPr>
          <w:rFonts w:ascii="Arial" w:hAnsi="Arial" w:cs="Arial"/>
          <w:color w:val="000000" w:themeColor="text1"/>
          <w:sz w:val="20"/>
          <w:szCs w:val="20"/>
          <w:lang w:eastAsia="fr-FR"/>
        </w:rPr>
        <w:t xml:space="preserve">: concentration circulante </w:t>
      </w:r>
      <w:r w:rsidRPr="00B15634">
        <w:rPr>
          <w:rFonts w:ascii="Arial" w:hAnsi="Arial" w:cs="Arial"/>
          <w:color w:val="ED7D31" w:themeColor="accent2"/>
          <w:sz w:val="20"/>
          <w:szCs w:val="20"/>
          <w:lang w:eastAsia="fr-FR"/>
        </w:rPr>
        <w:t xml:space="preserve">proportionnelle à la masse adipeuse </w:t>
      </w:r>
      <w:r w:rsidRPr="00B15634">
        <w:rPr>
          <w:rFonts w:ascii="Arial" w:hAnsi="Arial" w:cs="Arial"/>
          <w:color w:val="000000" w:themeColor="text1"/>
          <w:sz w:val="20"/>
          <w:szCs w:val="20"/>
          <w:lang w:eastAsia="fr-FR"/>
        </w:rPr>
        <w:t xml:space="preserve">augmente tardivement qq heures après le repas en relation avec l’insuline sécrétée </w:t>
      </w:r>
    </w:p>
    <w:p w14:paraId="05449951" w14:textId="77777777" w:rsidR="00ED4694" w:rsidRPr="00B15634" w:rsidRDefault="00ED4694" w:rsidP="00ED4694">
      <w:pPr>
        <w:pStyle w:val="Sansinterligne"/>
        <w:numPr>
          <w:ilvl w:val="0"/>
          <w:numId w:val="107"/>
        </w:numPr>
        <w:jc w:val="both"/>
        <w:rPr>
          <w:rFonts w:ascii="Arial" w:hAnsi="Arial" w:cs="Arial"/>
          <w:color w:val="ED7D31" w:themeColor="accent2"/>
          <w:sz w:val="20"/>
          <w:szCs w:val="20"/>
          <w:lang w:eastAsia="fr-FR"/>
        </w:rPr>
      </w:pPr>
      <w:r w:rsidRPr="00B15634">
        <w:rPr>
          <w:rFonts w:ascii="Arial" w:hAnsi="Arial" w:cs="Arial"/>
          <w:color w:val="ED7D31" w:themeColor="accent2"/>
          <w:sz w:val="20"/>
          <w:szCs w:val="20"/>
          <w:lang w:eastAsia="fr-FR"/>
        </w:rPr>
        <w:t xml:space="preserve">marqueur de variation des stocks énergétiques </w:t>
      </w:r>
    </w:p>
    <w:p w14:paraId="33BA5E7E" w14:textId="77777777" w:rsidR="00ED4694" w:rsidRPr="00B15634" w:rsidRDefault="00ED4694" w:rsidP="00ED4694">
      <w:pPr>
        <w:pStyle w:val="Sansinterligne"/>
        <w:numPr>
          <w:ilvl w:val="0"/>
          <w:numId w:val="108"/>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u w:val="single"/>
          <w:lang w:eastAsia="fr-FR"/>
        </w:rPr>
        <w:t>ghréline</w:t>
      </w:r>
      <w:r w:rsidRPr="00B15634">
        <w:rPr>
          <w:rFonts w:ascii="Arial" w:hAnsi="Arial" w:cs="Arial"/>
          <w:color w:val="ED7D31" w:themeColor="accent2"/>
          <w:sz w:val="20"/>
          <w:szCs w:val="20"/>
          <w:lang w:eastAsia="fr-FR"/>
        </w:rPr>
        <w:t xml:space="preserve">: ↑ prise alimentaire </w:t>
      </w:r>
      <w:r w:rsidRPr="00B15634">
        <w:rPr>
          <w:rFonts w:ascii="Arial" w:hAnsi="Arial" w:cs="Arial"/>
          <w:color w:val="000000" w:themeColor="text1"/>
          <w:sz w:val="20"/>
          <w:szCs w:val="20"/>
          <w:lang w:eastAsia="fr-FR"/>
        </w:rPr>
        <w:t xml:space="preserve">favoriserait à long terme l’adipogénèse </w:t>
      </w:r>
    </w:p>
    <w:p w14:paraId="0FC7C5BE" w14:textId="77777777" w:rsidR="00ED4694" w:rsidRPr="00B15634" w:rsidRDefault="00ED4694" w:rsidP="00ED4694">
      <w:pPr>
        <w:pStyle w:val="Sansinterligne"/>
        <w:numPr>
          <w:ilvl w:val="0"/>
          <w:numId w:val="108"/>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et... </w:t>
      </w:r>
      <w:r w:rsidRPr="00B15634">
        <w:rPr>
          <w:rFonts w:ascii="Arial" w:hAnsi="Arial" w:cs="Arial"/>
          <w:color w:val="ED7D31" w:themeColor="accent2"/>
          <w:sz w:val="20"/>
          <w:szCs w:val="20"/>
          <w:lang w:eastAsia="fr-FR"/>
        </w:rPr>
        <w:t xml:space="preserve">cortisol, hGH </w:t>
      </w:r>
    </w:p>
    <w:p w14:paraId="7DF9C5D0"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226BAD0"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2D9C050"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6B3958E"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27D2FEB"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7A4213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E9B0276"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BBA4DA5"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541988C"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lastRenderedPageBreak/>
        <w:t xml:space="preserve">Effets métaboliques du cortisol </w:t>
      </w:r>
    </w:p>
    <w:p w14:paraId="1085F20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Protides </w:t>
      </w:r>
      <w:r w:rsidRPr="00B15634">
        <w:rPr>
          <w:rFonts w:ascii="Arial" w:hAnsi="Arial" w:cs="Arial"/>
          <w:color w:val="000000" w:themeColor="text1"/>
          <w:sz w:val="20"/>
          <w:szCs w:val="20"/>
          <w:lang w:eastAsia="fr-FR"/>
        </w:rPr>
        <w:t xml:space="preserve">: ↓ synthèse, </w:t>
      </w:r>
      <w:r w:rsidRPr="00B15634">
        <w:rPr>
          <w:rFonts w:ascii="Arial" w:hAnsi="Arial" w:cs="Arial"/>
          <w:color w:val="ED7D31" w:themeColor="accent2"/>
          <w:sz w:val="20"/>
          <w:szCs w:val="20"/>
          <w:lang w:eastAsia="fr-FR"/>
        </w:rPr>
        <w:t xml:space="preserve">↑ catabolisme </w:t>
      </w:r>
      <w:r w:rsidRPr="00B15634">
        <w:rPr>
          <w:rFonts w:ascii="Arial" w:hAnsi="Arial" w:cs="Arial"/>
          <w:color w:val="000000" w:themeColor="text1"/>
          <w:sz w:val="20"/>
          <w:szCs w:val="20"/>
          <w:lang w:eastAsia="fr-FR"/>
        </w:rPr>
        <w:t xml:space="preserve">sur muscle, os, peau </w:t>
      </w:r>
      <w:r w:rsidRPr="00B15634">
        <w:rPr>
          <w:rFonts w:ascii="Arial" w:hAnsi="Arial" w:cs="Arial"/>
          <w:color w:val="000000" w:themeColor="text1"/>
          <w:sz w:val="20"/>
          <w:szCs w:val="20"/>
          <w:lang w:eastAsia="fr-FR"/>
        </w:rPr>
        <w:sym w:font="Symbol" w:char="F0DE"/>
      </w:r>
      <w:r w:rsidRPr="00B15634">
        <w:rPr>
          <w:rFonts w:ascii="Arial" w:hAnsi="Arial" w:cs="Arial"/>
          <w:color w:val="000000" w:themeColor="text1"/>
          <w:sz w:val="20"/>
          <w:szCs w:val="20"/>
          <w:lang w:eastAsia="fr-FR"/>
        </w:rPr>
        <w:t xml:space="preserve"> fragilisation, balance N negative </w:t>
      </w:r>
    </w:p>
    <w:p w14:paraId="7DA2AEBC"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Lipides </w:t>
      </w: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 lipolyse </w:t>
      </w:r>
      <w:r w:rsidRPr="00B15634">
        <w:rPr>
          <w:rFonts w:ascii="Arial" w:hAnsi="Arial" w:cs="Arial"/>
          <w:color w:val="000000" w:themeColor="text1"/>
          <w:sz w:val="20"/>
          <w:szCs w:val="20"/>
          <w:lang w:eastAsia="fr-FR"/>
        </w:rPr>
        <w:t xml:space="preserve">libération AGL (sensibilisation à hGH, glucagon...) puis ↑ lipogénèse et </w:t>
      </w:r>
      <w:r w:rsidRPr="00B15634">
        <w:rPr>
          <w:rFonts w:ascii="Arial" w:hAnsi="Arial" w:cs="Arial"/>
          <w:color w:val="ED7D31" w:themeColor="accent2"/>
          <w:sz w:val="20"/>
          <w:szCs w:val="20"/>
          <w:lang w:eastAsia="fr-FR"/>
        </w:rPr>
        <w:t xml:space="preserve">redistribution des graisses </w:t>
      </w:r>
      <w:r w:rsidRPr="00B15634">
        <w:rPr>
          <w:rFonts w:ascii="Arial" w:hAnsi="Arial" w:cs="Arial"/>
          <w:color w:val="000000" w:themeColor="text1"/>
          <w:sz w:val="20"/>
          <w:szCs w:val="20"/>
          <w:lang w:eastAsia="fr-FR"/>
        </w:rPr>
        <w:t xml:space="preserve">(face, tronc) </w:t>
      </w:r>
    </w:p>
    <w:p w14:paraId="65166B5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Glucides </w:t>
      </w: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hyperglycémiant</w:t>
      </w:r>
    </w:p>
    <w:p w14:paraId="2820CAFD" w14:textId="77777777" w:rsidR="00ED4694" w:rsidRPr="00B15634" w:rsidRDefault="00ED4694" w:rsidP="00ED4694">
      <w:pPr>
        <w:pStyle w:val="Sansinterligne"/>
        <w:numPr>
          <w:ilvl w:val="0"/>
          <w:numId w:val="109"/>
        </w:numPr>
        <w:jc w:val="both"/>
        <w:rPr>
          <w:rFonts w:ascii="Arial" w:hAnsi="Arial" w:cs="Arial"/>
          <w:color w:val="000000" w:themeColor="text1"/>
          <w:sz w:val="20"/>
          <w:szCs w:val="20"/>
          <w:lang w:eastAsia="fr-FR"/>
        </w:rPr>
      </w:pPr>
      <w:r w:rsidRPr="00B15634">
        <w:rPr>
          <w:rFonts w:ascii="Arial" w:hAnsi="Arial" w:cs="Arial"/>
          <w:color w:val="ED7D31" w:themeColor="accent2"/>
          <w:sz w:val="20"/>
          <w:szCs w:val="20"/>
          <w:lang w:eastAsia="fr-FR"/>
        </w:rPr>
        <w:t>↑</w:t>
      </w:r>
      <w:r w:rsidRPr="00B15634">
        <w:rPr>
          <w:rFonts w:ascii="Arial" w:hAnsi="Arial" w:cs="Arial"/>
          <w:color w:val="000000" w:themeColor="text1"/>
          <w:sz w:val="20"/>
          <w:szCs w:val="20"/>
          <w:lang w:eastAsia="fr-FR"/>
        </w:rPr>
        <w:t xml:space="preserve"> </w:t>
      </w:r>
      <w:r w:rsidRPr="00B15634">
        <w:rPr>
          <w:rFonts w:ascii="Arial" w:hAnsi="Arial" w:cs="Arial"/>
          <w:color w:val="ED7D31" w:themeColor="accent2"/>
          <w:sz w:val="20"/>
          <w:szCs w:val="20"/>
          <w:lang w:eastAsia="fr-FR"/>
        </w:rPr>
        <w:t xml:space="preserve">néoglucogénèse </w:t>
      </w:r>
      <w:r w:rsidRPr="00B15634">
        <w:rPr>
          <w:rFonts w:ascii="Arial" w:hAnsi="Arial" w:cs="Arial"/>
          <w:color w:val="000000" w:themeColor="text1"/>
          <w:sz w:val="20"/>
          <w:szCs w:val="20"/>
          <w:lang w:eastAsia="fr-FR"/>
        </w:rPr>
        <w:t>hépatique (AA, AGL),</w:t>
      </w:r>
      <w:r w:rsidRPr="00B15634">
        <w:rPr>
          <w:rFonts w:ascii="Arial" w:hAnsi="Arial" w:cs="Arial"/>
          <w:color w:val="ED7D31" w:themeColor="accent2"/>
          <w:sz w:val="20"/>
          <w:szCs w:val="20"/>
          <w:lang w:eastAsia="fr-FR"/>
        </w:rPr>
        <w:t xml:space="preserve">↑ glycogénolyse </w:t>
      </w:r>
      <w:r w:rsidRPr="00B15634">
        <w:rPr>
          <w:rFonts w:ascii="Arial" w:hAnsi="Arial" w:cs="Arial"/>
          <w:color w:val="000000" w:themeColor="text1"/>
          <w:sz w:val="20"/>
          <w:szCs w:val="20"/>
          <w:lang w:eastAsia="fr-FR"/>
        </w:rPr>
        <w:t xml:space="preserve">extrahépatique </w:t>
      </w:r>
    </w:p>
    <w:p w14:paraId="0D181259" w14:textId="77777777" w:rsidR="00ED4694" w:rsidRPr="00B15634" w:rsidRDefault="00ED4694" w:rsidP="00ED4694">
      <w:pPr>
        <w:pStyle w:val="Sansinterligne"/>
        <w:numPr>
          <w:ilvl w:val="0"/>
          <w:numId w:val="10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pénétration (GLUT) et </w:t>
      </w:r>
      <w:r w:rsidRPr="00B15634">
        <w:rPr>
          <w:rFonts w:ascii="Arial" w:hAnsi="Arial" w:cs="Arial"/>
          <w:color w:val="ED7D31" w:themeColor="accent2"/>
          <w:sz w:val="20"/>
          <w:szCs w:val="20"/>
          <w:lang w:eastAsia="fr-FR"/>
        </w:rPr>
        <w:t xml:space="preserve">consommation </w:t>
      </w:r>
      <w:r w:rsidRPr="00B15634">
        <w:rPr>
          <w:rFonts w:ascii="Arial" w:hAnsi="Arial" w:cs="Arial"/>
          <w:color w:val="000000" w:themeColor="text1"/>
          <w:sz w:val="20"/>
          <w:szCs w:val="20"/>
          <w:lang w:eastAsia="fr-FR"/>
        </w:rPr>
        <w:t xml:space="preserve">périphérique (≠insuline) </w:t>
      </w:r>
    </w:p>
    <w:p w14:paraId="6F8489EA"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-Ca: ↑Cau et ↓ absortion TD =&gt; balance calcique négative </w:t>
      </w:r>
    </w:p>
    <w:p w14:paraId="4AABCEF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C2ED3FC"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Effets métaboliques de l’hormone de croissance </w:t>
      </w:r>
    </w:p>
    <w:p w14:paraId="6B873B9E"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inline distT="0" distB="0" distL="0" distR="0" wp14:anchorId="1A258572" wp14:editId="2C7D1924">
            <wp:extent cx="4187845" cy="2594095"/>
            <wp:effectExtent l="0" t="0" r="3175" b="0"/>
            <wp:docPr id="6649542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954247" name=""/>
                    <pic:cNvPicPr/>
                  </pic:nvPicPr>
                  <pic:blipFill>
                    <a:blip r:embed="rId60"/>
                    <a:stretch>
                      <a:fillRect/>
                    </a:stretch>
                  </pic:blipFill>
                  <pic:spPr>
                    <a:xfrm>
                      <a:off x="0" y="0"/>
                      <a:ext cx="4196752" cy="2599612"/>
                    </a:xfrm>
                    <a:prstGeom prst="rect">
                      <a:avLst/>
                    </a:prstGeom>
                  </pic:spPr>
                </pic:pic>
              </a:graphicData>
            </a:graphic>
          </wp:inline>
        </w:drawing>
      </w:r>
    </w:p>
    <w:p w14:paraId="3E070AC5"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F34F079" w14:textId="77777777" w:rsidR="00ED4694" w:rsidRPr="00B15634" w:rsidRDefault="00ED4694" w:rsidP="00ED4694">
      <w:pPr>
        <w:pStyle w:val="Sansinterligne"/>
        <w:numPr>
          <w:ilvl w:val="0"/>
          <w:numId w:val="98"/>
        </w:numPr>
        <w:jc w:val="both"/>
        <w:rPr>
          <w:rFonts w:ascii="Arial" w:hAnsi="Arial" w:cs="Arial"/>
          <w:b/>
          <w:bCs/>
          <w:color w:val="FFC000" w:themeColor="accent4"/>
          <w:sz w:val="20"/>
          <w:szCs w:val="20"/>
          <w:u w:val="single"/>
          <w:lang w:eastAsia="fr-FR"/>
        </w:rPr>
      </w:pPr>
      <w:r w:rsidRPr="00B15634">
        <w:rPr>
          <w:rFonts w:ascii="Arial" w:hAnsi="Arial" w:cs="Arial"/>
          <w:b/>
          <w:bCs/>
          <w:color w:val="FFC000" w:themeColor="accent4"/>
          <w:sz w:val="20"/>
          <w:szCs w:val="20"/>
          <w:u w:val="single"/>
          <w:lang w:eastAsia="fr-FR"/>
        </w:rPr>
        <w:t xml:space="preserve">Explorations biologiques en pratique </w:t>
      </w:r>
    </w:p>
    <w:p w14:paraId="1CFA21AF"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Hyperglycémie provoquée par la voie orale (HGPO) : </w:t>
      </w:r>
    </w:p>
    <w:p w14:paraId="42EAF43E"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But </w:t>
      </w:r>
      <w:r w:rsidRPr="00B15634">
        <w:rPr>
          <w:rFonts w:ascii="Arial" w:hAnsi="Arial" w:cs="Arial"/>
          <w:color w:val="000000" w:themeColor="text1"/>
          <w:sz w:val="20"/>
          <w:szCs w:val="20"/>
          <w:lang w:eastAsia="fr-FR"/>
        </w:rPr>
        <w:t>:</w:t>
      </w:r>
      <w:r w:rsidRPr="00B15634">
        <w:rPr>
          <w:rFonts w:ascii="Arial" w:hAnsi="Arial" w:cs="Arial"/>
          <w:color w:val="000000" w:themeColor="text1"/>
          <w:sz w:val="20"/>
          <w:szCs w:val="20"/>
          <w:u w:val="single"/>
          <w:lang w:eastAsia="fr-FR"/>
        </w:rPr>
        <w:t xml:space="preserve"> </w:t>
      </w:r>
      <w:r w:rsidRPr="00B15634">
        <w:rPr>
          <w:rFonts w:ascii="Arial" w:hAnsi="Arial" w:cs="Arial"/>
          <w:color w:val="000000" w:themeColor="text1"/>
          <w:sz w:val="20"/>
          <w:szCs w:val="20"/>
          <w:lang w:eastAsia="fr-FR"/>
        </w:rPr>
        <w:t xml:space="preserve">Dépistage du diabète sucré, de l’intolérance aux hydrates de carbone et de l’acromégalie. </w:t>
      </w:r>
    </w:p>
    <w:p w14:paraId="4AA8B4CE"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Réalisation :</w:t>
      </w:r>
      <w:r w:rsidRPr="00B15634">
        <w:rPr>
          <w:rFonts w:ascii="Arial" w:hAnsi="Arial" w:cs="Arial"/>
          <w:color w:val="000000" w:themeColor="text1"/>
          <w:sz w:val="20"/>
          <w:szCs w:val="20"/>
          <w:lang w:eastAsia="fr-FR"/>
        </w:rPr>
        <w:t xml:space="preserve"> Patient à jeun depuis la veille au soir, au repos (allongé ou demi-assis)</w:t>
      </w:r>
    </w:p>
    <w:p w14:paraId="452D2B36" w14:textId="77777777" w:rsidR="00ED4694" w:rsidRPr="00B15634" w:rsidRDefault="00ED4694" w:rsidP="00ED4694">
      <w:pPr>
        <w:pStyle w:val="Sansinterligne"/>
        <w:numPr>
          <w:ilvl w:val="0"/>
          <w:numId w:val="99"/>
        </w:numPr>
        <w:jc w:val="both"/>
        <w:rPr>
          <w:rFonts w:ascii="Arial" w:hAnsi="Arial" w:cs="Arial"/>
          <w:color w:val="ED7D31" w:themeColor="accent2"/>
          <w:sz w:val="20"/>
          <w:szCs w:val="20"/>
          <w:lang w:eastAsia="fr-FR"/>
        </w:rPr>
      </w:pPr>
      <w:r w:rsidRPr="00B15634">
        <w:rPr>
          <w:rFonts w:ascii="Arial" w:hAnsi="Arial" w:cs="Arial"/>
          <w:color w:val="000000" w:themeColor="text1"/>
          <w:sz w:val="20"/>
          <w:szCs w:val="20"/>
          <w:lang w:eastAsia="fr-FR"/>
        </w:rPr>
        <w:t xml:space="preserve">Dosage de la </w:t>
      </w:r>
      <w:r w:rsidRPr="00B15634">
        <w:rPr>
          <w:rFonts w:ascii="Arial" w:hAnsi="Arial" w:cs="Arial"/>
          <w:color w:val="ED7D31" w:themeColor="accent2"/>
          <w:sz w:val="20"/>
          <w:szCs w:val="20"/>
          <w:lang w:eastAsia="fr-FR"/>
        </w:rPr>
        <w:t>glycémie, insuline (sp) et GH (sp)</w:t>
      </w:r>
    </w:p>
    <w:p w14:paraId="70DF916D"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Puis ingestion de 75g de glucose dissous dans 300 mL d’eau en 5 min. </w:t>
      </w:r>
    </w:p>
    <w:p w14:paraId="4BDB087E"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CE1BA6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Épreuve de jeûne :</w:t>
      </w:r>
    </w:p>
    <w:p w14:paraId="6AB86864"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Diagnostic </w:t>
      </w:r>
      <w:r w:rsidRPr="00B15634">
        <w:rPr>
          <w:rFonts w:ascii="Arial" w:hAnsi="Arial" w:cs="Arial"/>
          <w:color w:val="ED7D31" w:themeColor="accent2"/>
          <w:sz w:val="20"/>
          <w:szCs w:val="20"/>
          <w:lang w:eastAsia="fr-FR"/>
        </w:rPr>
        <w:t xml:space="preserve">d’hypoglycémies </w:t>
      </w:r>
    </w:p>
    <w:p w14:paraId="3F89AAE8"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Jeûne de 72h (boissons non caloriques autorisées, arrêt de tous les traitements non nécessaires)</w:t>
      </w:r>
    </w:p>
    <w:p w14:paraId="1F6E534F"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Glycémie capillaire toutes les 2h</w:t>
      </w:r>
    </w:p>
    <w:p w14:paraId="667ECD0C" w14:textId="77777777" w:rsidR="00ED4694" w:rsidRPr="00B15634" w:rsidRDefault="00ED4694" w:rsidP="00ED4694">
      <w:pPr>
        <w:pStyle w:val="Sansinterligne"/>
        <w:numPr>
          <w:ilvl w:val="0"/>
          <w:numId w:val="99"/>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Glycémie veineuses toutes les 6h jusqu’à 3,3 mmol/L (ou 0,6 g/L) puis toutes les 2h et en cas de symptômes évocateurs</w:t>
      </w:r>
    </w:p>
    <w:p w14:paraId="298D2CE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800C18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00D64E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CE504B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8F240DC"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0AF1F1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948E07E"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BD91685"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241B08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D1D039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D1F1FE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E16CFC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C2E0BB8"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D84401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59AF58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4C98FE9"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3A2B80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47A00D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77E0E78"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9FDE27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BE4E28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6D2B72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CC8F46F"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456390B"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AD711FF"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7DA238D"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b/>
          <w:bCs/>
          <w:sz w:val="20"/>
          <w:szCs w:val="20"/>
          <w:highlight w:val="yellow"/>
          <w:u w:val="single"/>
          <w:lang w:eastAsia="fr-FR"/>
        </w:rPr>
        <w:lastRenderedPageBreak/>
        <w:t>CM9</w:t>
      </w:r>
      <w:r w:rsidRPr="00B15634">
        <w:rPr>
          <w:rFonts w:ascii="Arial" w:hAnsi="Arial" w:cs="Arial"/>
          <w:b/>
          <w:bCs/>
          <w:sz w:val="20"/>
          <w:szCs w:val="20"/>
          <w:u w:val="single"/>
          <w:lang w:eastAsia="fr-FR"/>
        </w:rPr>
        <w:t xml:space="preserve"> – Sémiologie Diabétologie et Obésité </w:t>
      </w:r>
      <w:r w:rsidRPr="00B15634">
        <w:rPr>
          <w:rFonts w:ascii="Arial" w:hAnsi="Arial" w:cs="Arial"/>
          <w:sz w:val="20"/>
          <w:szCs w:val="20"/>
          <w:lang w:eastAsia="fr-FR"/>
        </w:rPr>
        <w:t>(que QCM aux partiels)</w:t>
      </w:r>
    </w:p>
    <w:p w14:paraId="1692AFBE" w14:textId="77777777" w:rsidR="00ED4694" w:rsidRPr="00B15634" w:rsidRDefault="00ED4694" w:rsidP="00ED4694">
      <w:pPr>
        <w:pStyle w:val="Sansinterligne"/>
        <w:jc w:val="both"/>
        <w:rPr>
          <w:rFonts w:ascii="Arial" w:hAnsi="Arial" w:cs="Arial"/>
          <w:sz w:val="20"/>
          <w:szCs w:val="20"/>
          <w:lang w:eastAsia="fr-FR"/>
        </w:rPr>
      </w:pPr>
    </w:p>
    <w:p w14:paraId="146CC57F" w14:textId="77777777" w:rsidR="00ED4694" w:rsidRPr="00B15634" w:rsidRDefault="00ED4694" w:rsidP="00ED4694">
      <w:pPr>
        <w:pStyle w:val="Sansinterligne"/>
        <w:numPr>
          <w:ilvl w:val="0"/>
          <w:numId w:val="132"/>
        </w:numPr>
        <w:jc w:val="both"/>
        <w:rPr>
          <w:rFonts w:ascii="Arial" w:hAnsi="Arial" w:cs="Arial"/>
          <w:b/>
          <w:bCs/>
          <w:color w:val="00B0F0"/>
          <w:sz w:val="20"/>
          <w:szCs w:val="20"/>
          <w:u w:val="single"/>
          <w:lang w:eastAsia="fr-FR"/>
        </w:rPr>
      </w:pPr>
      <w:r w:rsidRPr="00B15634">
        <w:rPr>
          <w:rFonts w:ascii="Arial" w:hAnsi="Arial" w:cs="Arial"/>
          <w:b/>
          <w:bCs/>
          <w:color w:val="00B0F0"/>
          <w:sz w:val="20"/>
          <w:szCs w:val="20"/>
          <w:u w:val="single"/>
          <w:lang w:eastAsia="fr-FR"/>
        </w:rPr>
        <w:t xml:space="preserve">Le diabète </w:t>
      </w:r>
    </w:p>
    <w:p w14:paraId="2BE158D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Le diabète se caractérise par une hyperglycémie chronique, c’est-à-dire un excès de sucre dans le sang et donc un taux de glucose (glycémie) trop élevé. </w:t>
      </w:r>
    </w:p>
    <w:p w14:paraId="7F197FA0"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De mmol/l en g/l =&gt; X 0,2 </w:t>
      </w:r>
    </w:p>
    <w:p w14:paraId="10420953"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Glycémie à jeun normale</w:t>
      </w:r>
      <w:r w:rsidRPr="00B15634">
        <w:rPr>
          <w:rFonts w:ascii="Arial" w:hAnsi="Arial" w:cs="Arial"/>
          <w:sz w:val="20"/>
          <w:szCs w:val="20"/>
          <w:lang w:eastAsia="fr-FR"/>
        </w:rPr>
        <w:t xml:space="preserve"> = Entre 0,7 g/l et 1,10 g/l </w:t>
      </w:r>
    </w:p>
    <w:p w14:paraId="506C73B7"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Glycosurie : bandelette U </w:t>
      </w:r>
    </w:p>
    <w:p w14:paraId="6BA02704"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Prévention</w:t>
      </w:r>
      <w:r w:rsidRPr="00B15634">
        <w:rPr>
          <w:rFonts w:ascii="Arial" w:hAnsi="Arial" w:cs="Arial"/>
          <w:sz w:val="20"/>
          <w:szCs w:val="20"/>
          <w:lang w:eastAsia="fr-FR"/>
        </w:rPr>
        <w:t> : Glycémie à jeun prédiabète = 1,10- 1,26 g/L</w:t>
      </w:r>
    </w:p>
    <w:p w14:paraId="7A05C819" w14:textId="77777777" w:rsidR="00ED4694" w:rsidRPr="00B47A5F" w:rsidRDefault="00ED4694" w:rsidP="00ED4694">
      <w:pPr>
        <w:pStyle w:val="Sansinterligne"/>
        <w:jc w:val="both"/>
        <w:rPr>
          <w:rFonts w:ascii="Arial" w:hAnsi="Arial" w:cs="Arial"/>
          <w:color w:val="000000" w:themeColor="text1"/>
          <w:sz w:val="20"/>
          <w:szCs w:val="20"/>
          <w:lang w:eastAsia="fr-FR"/>
        </w:rPr>
      </w:pPr>
      <w:r w:rsidRPr="00B47A5F">
        <w:rPr>
          <w:rFonts w:ascii="Arial" w:hAnsi="Arial" w:cs="Arial"/>
          <w:color w:val="000000" w:themeColor="text1"/>
          <w:sz w:val="20"/>
          <w:szCs w:val="20"/>
          <w:u w:val="single"/>
          <w:lang w:eastAsia="fr-FR"/>
        </w:rPr>
        <w:t>Maladie</w:t>
      </w:r>
      <w:r w:rsidRPr="00B47A5F">
        <w:rPr>
          <w:rFonts w:ascii="Arial" w:hAnsi="Arial" w:cs="Arial"/>
          <w:color w:val="000000" w:themeColor="text1"/>
          <w:sz w:val="20"/>
          <w:szCs w:val="20"/>
          <w:lang w:eastAsia="fr-FR"/>
        </w:rPr>
        <w:t xml:space="preserve"> : Glycémie à jeun diabète </w:t>
      </w:r>
      <m:oMath>
        <m:r>
          <w:rPr>
            <w:rFonts w:ascii="Cambria Math" w:hAnsi="Cambria Math" w:cs="Arial"/>
            <w:color w:val="000000" w:themeColor="text1"/>
            <w:sz w:val="20"/>
            <w:szCs w:val="20"/>
            <w:lang w:eastAsia="fr-FR"/>
          </w:rPr>
          <m:t>≥</m:t>
        </m:r>
      </m:oMath>
      <w:r w:rsidRPr="00B47A5F">
        <w:rPr>
          <w:rFonts w:ascii="Arial" w:eastAsiaTheme="minorEastAsia" w:hAnsi="Arial" w:cs="Arial"/>
          <w:color w:val="000000" w:themeColor="text1"/>
          <w:sz w:val="20"/>
          <w:szCs w:val="20"/>
          <w:lang w:eastAsia="fr-FR"/>
        </w:rPr>
        <w:t xml:space="preserve"> </w:t>
      </w:r>
      <w:r w:rsidRPr="00B47A5F">
        <w:rPr>
          <w:rFonts w:ascii="Arial" w:hAnsi="Arial" w:cs="Arial"/>
          <w:color w:val="000000" w:themeColor="text1"/>
          <w:sz w:val="20"/>
          <w:szCs w:val="20"/>
          <w:lang w:eastAsia="fr-FR"/>
        </w:rPr>
        <w:t xml:space="preserve">1,26 g/l </w:t>
      </w:r>
    </w:p>
    <w:p w14:paraId="4ADA6CD4" w14:textId="77777777" w:rsidR="00ED4694" w:rsidRPr="00B15634" w:rsidRDefault="00ED4694" w:rsidP="00ED4694">
      <w:pPr>
        <w:pStyle w:val="Sansinterligne"/>
        <w:jc w:val="both"/>
        <w:rPr>
          <w:rFonts w:ascii="Arial" w:hAnsi="Arial" w:cs="Arial"/>
          <w:sz w:val="20"/>
          <w:szCs w:val="20"/>
          <w:lang w:eastAsia="fr-FR"/>
        </w:rPr>
      </w:pPr>
      <w:r w:rsidRPr="00B47A5F">
        <w:rPr>
          <w:rFonts w:ascii="Arial" w:hAnsi="Arial" w:cs="Arial"/>
          <w:color w:val="000000" w:themeColor="text1"/>
          <w:sz w:val="20"/>
          <w:szCs w:val="20"/>
          <w:u w:val="single"/>
          <w:lang w:eastAsia="fr-FR"/>
        </w:rPr>
        <w:t>Glyco</w:t>
      </w:r>
      <w:r w:rsidRPr="00B15634">
        <w:rPr>
          <w:rFonts w:ascii="Arial" w:hAnsi="Arial" w:cs="Arial"/>
          <w:sz w:val="20"/>
          <w:szCs w:val="20"/>
          <w:u w:val="single"/>
          <w:lang w:eastAsia="fr-FR"/>
        </w:rPr>
        <w:t>surie</w:t>
      </w:r>
      <w:r w:rsidRPr="00B15634">
        <w:rPr>
          <w:rFonts w:ascii="Arial" w:hAnsi="Arial" w:cs="Arial"/>
          <w:sz w:val="20"/>
          <w:szCs w:val="20"/>
          <w:lang w:eastAsia="fr-FR"/>
        </w:rPr>
        <w:t xml:space="preserve"> = sucre dans les urines </w:t>
      </w:r>
    </w:p>
    <w:p w14:paraId="388DE3B2" w14:textId="77777777" w:rsidR="00ED4694" w:rsidRPr="00B15634" w:rsidRDefault="00ED4694" w:rsidP="00ED4694">
      <w:pPr>
        <w:pStyle w:val="Sansinterligne"/>
        <w:jc w:val="both"/>
        <w:rPr>
          <w:rFonts w:ascii="Arial" w:hAnsi="Arial" w:cs="Arial"/>
          <w:sz w:val="20"/>
          <w:szCs w:val="20"/>
          <w:shd w:val="clear" w:color="auto" w:fill="FF0000"/>
          <w:lang w:eastAsia="fr-FR"/>
        </w:rPr>
      </w:pPr>
    </w:p>
    <w:p w14:paraId="366505F9" w14:textId="77777777" w:rsidR="00ED4694" w:rsidRPr="00B47A5F" w:rsidRDefault="00ED4694" w:rsidP="00ED4694">
      <w:pPr>
        <w:pStyle w:val="Sansinterligne"/>
        <w:jc w:val="both"/>
        <w:rPr>
          <w:rFonts w:ascii="Arial" w:hAnsi="Arial" w:cs="Arial"/>
          <w:color w:val="000000" w:themeColor="text1"/>
          <w:sz w:val="20"/>
          <w:szCs w:val="20"/>
          <w:lang w:eastAsia="fr-FR"/>
        </w:rPr>
      </w:pPr>
      <w:r w:rsidRPr="00B47A5F">
        <w:rPr>
          <w:rFonts w:ascii="Arial" w:hAnsi="Arial" w:cs="Arial"/>
          <w:color w:val="000000" w:themeColor="text1"/>
          <w:sz w:val="20"/>
          <w:szCs w:val="20"/>
          <w:u w:val="single"/>
          <w:lang w:eastAsia="fr-FR"/>
        </w:rPr>
        <w:t>Diabète de</w:t>
      </w:r>
      <w:r w:rsidRPr="00B47A5F">
        <w:rPr>
          <w:rFonts w:ascii="Arial" w:hAnsi="Arial" w:cs="Arial"/>
          <w:color w:val="000000" w:themeColor="text1"/>
          <w:sz w:val="20"/>
          <w:szCs w:val="20"/>
          <w:lang w:eastAsia="fr-FR"/>
        </w:rPr>
        <w:t xml:space="preserve"> </w:t>
      </w:r>
      <w:r w:rsidRPr="00B47A5F">
        <w:rPr>
          <w:rFonts w:ascii="Arial" w:hAnsi="Arial" w:cs="Arial"/>
          <w:color w:val="000000" w:themeColor="text1"/>
          <w:sz w:val="20"/>
          <w:szCs w:val="20"/>
          <w:u w:val="single"/>
          <w:lang w:eastAsia="fr-FR"/>
        </w:rPr>
        <w:t>type 1</w:t>
      </w:r>
      <w:r w:rsidRPr="00B47A5F">
        <w:rPr>
          <w:rFonts w:ascii="Arial" w:hAnsi="Arial" w:cs="Arial"/>
          <w:color w:val="000000" w:themeColor="text1"/>
          <w:sz w:val="20"/>
          <w:szCs w:val="20"/>
          <w:lang w:eastAsia="fr-FR"/>
        </w:rPr>
        <w:t xml:space="preserve"> : Les symptômes surviennent en général très brutalement. Apparaissent ainsi un besoin d'uriner fréquemment, une soif intense, une sensation de faim intense, une perte de poids, une fatigue intense ou des pertes de connaissance à répétition... </w:t>
      </w:r>
    </w:p>
    <w:p w14:paraId="5CA2E0EB" w14:textId="77777777" w:rsidR="00ED4694" w:rsidRPr="00B47A5F" w:rsidRDefault="00ED4694" w:rsidP="00ED4694">
      <w:pPr>
        <w:pStyle w:val="Sansinterligne"/>
        <w:jc w:val="both"/>
        <w:rPr>
          <w:rFonts w:ascii="Arial" w:hAnsi="Arial" w:cs="Arial"/>
          <w:color w:val="000000" w:themeColor="text1"/>
          <w:sz w:val="20"/>
          <w:szCs w:val="20"/>
          <w:lang w:eastAsia="fr-FR"/>
        </w:rPr>
      </w:pPr>
      <w:r w:rsidRPr="00B47A5F">
        <w:rPr>
          <w:rFonts w:ascii="Arial" w:hAnsi="Arial" w:cs="Arial"/>
          <w:color w:val="000000" w:themeColor="text1"/>
          <w:sz w:val="20"/>
          <w:szCs w:val="20"/>
          <w:u w:val="single"/>
          <w:lang w:eastAsia="fr-FR"/>
        </w:rPr>
        <w:t>Diabète de type 2</w:t>
      </w:r>
      <w:r w:rsidRPr="00B47A5F">
        <w:rPr>
          <w:rFonts w:ascii="Arial" w:hAnsi="Arial" w:cs="Arial"/>
          <w:color w:val="000000" w:themeColor="text1"/>
          <w:sz w:val="20"/>
          <w:szCs w:val="20"/>
          <w:lang w:eastAsia="fr-FR"/>
        </w:rPr>
        <w:t xml:space="preserve"> : une maladie qui reste très longtemps silencieuse pouvant évoluer pendant des années sans provoquer aucune manifestation. La majorité des diabétiques de type II ne ressent aucune gêne pendant de nombreuses années. Le DT2 ne se voit pas : aucun symptôme ne permet de repérer le diabète avant l'apparition des complications. La maladie évolue sournoisement. </w:t>
      </w:r>
      <w:r w:rsidRPr="0050060E">
        <w:rPr>
          <w:rFonts w:ascii="Arial" w:hAnsi="Arial" w:cs="Arial"/>
          <w:b/>
          <w:bCs/>
          <w:color w:val="000000" w:themeColor="text1"/>
          <w:sz w:val="20"/>
          <w:szCs w:val="20"/>
          <w:lang w:eastAsia="fr-FR"/>
        </w:rPr>
        <w:t>50% des diabétiques diagnostiqués sont déjà au stade des complications</w:t>
      </w:r>
      <w:r w:rsidRPr="00B47A5F">
        <w:rPr>
          <w:rFonts w:ascii="Arial" w:hAnsi="Arial" w:cs="Arial"/>
          <w:color w:val="000000" w:themeColor="text1"/>
          <w:sz w:val="20"/>
          <w:szCs w:val="20"/>
          <w:lang w:eastAsia="fr-FR"/>
        </w:rPr>
        <w:t xml:space="preserve">. Les signes pouvant annoncer un diabète de type 2 sont les suivants : fatigue, troubles de la vision, sensation de bouche sèche, besoin d'uriner souvent, d'avoir davantage faim ou soif, picotements dans les pieds, infections qui guérissent mal... Ils apparaissent plus lentement et plus sournoisement. Il est important de savoir repérer les signes discrets du diabète : tendance aux infections de la peau (abcès, furoncles), troubles de l'érection, fatigue, essoufflement, infections urinaires... </w:t>
      </w:r>
    </w:p>
    <w:p w14:paraId="6F9B91CD" w14:textId="77777777" w:rsidR="00ED4694" w:rsidRPr="00B47A5F" w:rsidRDefault="00ED4694" w:rsidP="00ED4694">
      <w:pPr>
        <w:pStyle w:val="Sansinterligne"/>
        <w:jc w:val="both"/>
        <w:rPr>
          <w:rFonts w:ascii="Arial" w:hAnsi="Arial" w:cs="Arial"/>
          <w:color w:val="000000" w:themeColor="text1"/>
          <w:sz w:val="20"/>
          <w:szCs w:val="20"/>
          <w:shd w:val="clear" w:color="auto" w:fill="FF0000"/>
          <w:lang w:eastAsia="fr-FR"/>
        </w:rPr>
      </w:pPr>
    </w:p>
    <w:p w14:paraId="3E355E08"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Le diagnostic du diabète s'effectue le plus souvent lorsque les premières complications surviennent. Un délai moyen de 7 ans environ s'écoule entre le moment ou une glycémie est anormalement élevée sans avoir été repérée et le diagnostic. Le diagnostic est simplement fait par une prise de sang montrant une hyperglycémie a plus de 1,20g/l constatée à au moins 2 reprises. Le dosage sanguin de l'hémoglobine glyquée (Obj&lt;7%) est devenu le meilleur indice de surveillance du diabète et des traitements antidiabétiques. L'hémoglobine glyquée ou HbA1C évalue la glycémie moyenne des 3 à 4 mois précédant le bilan (N = 5%) </w:t>
      </w:r>
    </w:p>
    <w:p w14:paraId="20653CCA" w14:textId="77777777" w:rsidR="00ED4694" w:rsidRPr="00B15634" w:rsidRDefault="00ED4694" w:rsidP="00ED4694">
      <w:pPr>
        <w:pStyle w:val="Sansinterligne"/>
        <w:jc w:val="both"/>
        <w:rPr>
          <w:rFonts w:ascii="Arial" w:hAnsi="Arial" w:cs="Arial"/>
          <w:sz w:val="20"/>
          <w:szCs w:val="20"/>
          <w:shd w:val="clear" w:color="auto" w:fill="FF0000"/>
          <w:lang w:eastAsia="fr-FR"/>
        </w:rPr>
      </w:pPr>
    </w:p>
    <w:p w14:paraId="66D9C9BA"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Le diabète de type I (dit insulino-dépendant) qui est lié à la destruction insulaire pancréatique (phénomène autoimmun). Le principal mécanisme physiopathologique est donc une insulinopénie. Il représente moins de 10% du nombre total des patients diabétiques. DID type 1(jeune): entre 4 et 10 ans; chez les – de 35 ans</w:t>
      </w:r>
    </w:p>
    <w:p w14:paraId="4C1CD530" w14:textId="77777777" w:rsidR="00ED4694" w:rsidRPr="00B15634" w:rsidRDefault="00ED4694" w:rsidP="00ED4694">
      <w:pPr>
        <w:pStyle w:val="Sansinterligne"/>
        <w:jc w:val="both"/>
        <w:rPr>
          <w:rFonts w:ascii="Arial" w:hAnsi="Arial" w:cs="Arial"/>
          <w:sz w:val="20"/>
          <w:szCs w:val="20"/>
          <w:lang w:eastAsia="fr-FR"/>
        </w:rPr>
      </w:pPr>
    </w:p>
    <w:p w14:paraId="092B6C81" w14:textId="465B211A"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Le DT2 (dit non insulin</w:t>
      </w:r>
      <w:r w:rsidR="00B40F08">
        <w:rPr>
          <w:rFonts w:ascii="Arial" w:hAnsi="Arial" w:cs="Arial"/>
          <w:sz w:val="20"/>
          <w:szCs w:val="20"/>
          <w:lang w:eastAsia="fr-FR"/>
        </w:rPr>
        <w:t>o</w:t>
      </w:r>
      <w:r w:rsidRPr="00B15634">
        <w:rPr>
          <w:rFonts w:ascii="Arial" w:hAnsi="Arial" w:cs="Arial"/>
          <w:sz w:val="20"/>
          <w:szCs w:val="20"/>
          <w:lang w:eastAsia="fr-FR"/>
        </w:rPr>
        <w:t xml:space="preserve">-dépendant) ou diabète de la maturité (gras), qui associe insulino-résistance périphérique (mécanisme prédominant) et insulinopénie relative. Il représente la très large majorité (90%) des patients diabétiques </w:t>
      </w:r>
    </w:p>
    <w:p w14:paraId="61EE5113" w14:textId="77777777" w:rsidR="00ED4694" w:rsidRPr="00B15634" w:rsidRDefault="00ED4694" w:rsidP="00ED4694">
      <w:pPr>
        <w:pStyle w:val="Sansinterligne"/>
        <w:jc w:val="both"/>
        <w:rPr>
          <w:rFonts w:ascii="Arial" w:hAnsi="Arial" w:cs="Arial"/>
          <w:sz w:val="20"/>
          <w:szCs w:val="20"/>
          <w:lang w:eastAsia="fr-FR"/>
        </w:rPr>
      </w:pPr>
    </w:p>
    <w:p w14:paraId="0EA9394C"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Le diabète gestationnel est dépisté lors de la grossesse </w:t>
      </w:r>
    </w:p>
    <w:p w14:paraId="0D07C199" w14:textId="77777777" w:rsidR="00ED4694" w:rsidRPr="00B15634" w:rsidRDefault="00ED4694" w:rsidP="00ED4694">
      <w:pPr>
        <w:pStyle w:val="Sansinterligne"/>
        <w:jc w:val="both"/>
        <w:rPr>
          <w:rFonts w:ascii="Arial" w:hAnsi="Arial" w:cs="Arial"/>
          <w:sz w:val="20"/>
          <w:szCs w:val="20"/>
          <w:lang w:eastAsia="fr-FR"/>
        </w:rPr>
      </w:pPr>
    </w:p>
    <w:p w14:paraId="7D9ACBC4" w14:textId="77777777" w:rsidR="00ED4694" w:rsidRPr="00B15634" w:rsidRDefault="00ED4694" w:rsidP="00ED4694">
      <w:pPr>
        <w:pStyle w:val="Sansinterligne"/>
        <w:jc w:val="center"/>
        <w:rPr>
          <w:rFonts w:ascii="Arial" w:hAnsi="Arial" w:cs="Arial"/>
          <w:sz w:val="20"/>
          <w:szCs w:val="20"/>
          <w:lang w:eastAsia="fr-FR"/>
        </w:rPr>
      </w:pPr>
      <w:r w:rsidRPr="00B15634">
        <w:rPr>
          <w:rFonts w:ascii="Arial" w:hAnsi="Arial" w:cs="Arial"/>
          <w:noProof/>
          <w:sz w:val="20"/>
          <w:szCs w:val="20"/>
          <w:lang w:eastAsia="fr-FR"/>
        </w:rPr>
        <w:drawing>
          <wp:inline distT="0" distB="0" distL="0" distR="0" wp14:anchorId="563A52CB" wp14:editId="168711FC">
            <wp:extent cx="3602992" cy="2551288"/>
            <wp:effectExtent l="0" t="0" r="3810" b="1905"/>
            <wp:docPr id="16461422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142269" name=""/>
                    <pic:cNvPicPr/>
                  </pic:nvPicPr>
                  <pic:blipFill>
                    <a:blip r:embed="rId61"/>
                    <a:stretch>
                      <a:fillRect/>
                    </a:stretch>
                  </pic:blipFill>
                  <pic:spPr>
                    <a:xfrm>
                      <a:off x="0" y="0"/>
                      <a:ext cx="3632307" cy="2572046"/>
                    </a:xfrm>
                    <a:prstGeom prst="rect">
                      <a:avLst/>
                    </a:prstGeom>
                  </pic:spPr>
                </pic:pic>
              </a:graphicData>
            </a:graphic>
          </wp:inline>
        </w:drawing>
      </w:r>
    </w:p>
    <w:p w14:paraId="36881F75" w14:textId="77777777" w:rsidR="00ED4694" w:rsidRPr="00B15634" w:rsidRDefault="00ED4694" w:rsidP="00ED4694">
      <w:pPr>
        <w:pStyle w:val="Sansinterligne"/>
        <w:jc w:val="both"/>
        <w:rPr>
          <w:rFonts w:ascii="Arial" w:hAnsi="Arial" w:cs="Arial"/>
          <w:sz w:val="20"/>
          <w:szCs w:val="20"/>
          <w:lang w:eastAsia="fr-FR"/>
        </w:rPr>
      </w:pPr>
    </w:p>
    <w:p w14:paraId="1F2B8BB8"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Complications du diabète : </w:t>
      </w:r>
    </w:p>
    <w:p w14:paraId="649BDEDE" w14:textId="77777777" w:rsidR="00ED4694" w:rsidRPr="00B15634" w:rsidRDefault="00ED4694" w:rsidP="00ED4694">
      <w:pPr>
        <w:pStyle w:val="Sansinterligne"/>
        <w:numPr>
          <w:ilvl w:val="0"/>
          <w:numId w:val="99"/>
        </w:numPr>
        <w:jc w:val="both"/>
        <w:rPr>
          <w:rFonts w:ascii="Arial" w:hAnsi="Arial" w:cs="Arial"/>
          <w:sz w:val="20"/>
          <w:szCs w:val="20"/>
          <w:lang w:eastAsia="fr-FR"/>
        </w:rPr>
      </w:pPr>
      <w:r w:rsidRPr="00B15634">
        <w:rPr>
          <w:rFonts w:ascii="Arial" w:hAnsi="Arial" w:cs="Arial"/>
          <w:sz w:val="20"/>
          <w:szCs w:val="20"/>
          <w:lang w:eastAsia="fr-FR"/>
        </w:rPr>
        <w:t xml:space="preserve">Nouveau-né macrosome </w:t>
      </w:r>
    </w:p>
    <w:p w14:paraId="4AC1E05C" w14:textId="5D0AFD6F" w:rsidR="00ED4694" w:rsidRPr="00B15634" w:rsidRDefault="00ED4694" w:rsidP="00ED4694">
      <w:pPr>
        <w:pStyle w:val="Sansinterligne"/>
        <w:numPr>
          <w:ilvl w:val="0"/>
          <w:numId w:val="99"/>
        </w:numPr>
        <w:jc w:val="both"/>
        <w:rPr>
          <w:rFonts w:ascii="Arial" w:hAnsi="Arial" w:cs="Arial"/>
          <w:sz w:val="20"/>
          <w:szCs w:val="20"/>
          <w:lang w:eastAsia="fr-FR"/>
        </w:rPr>
      </w:pPr>
      <w:r w:rsidRPr="00B15634">
        <w:rPr>
          <w:rFonts w:ascii="Arial" w:hAnsi="Arial" w:cs="Arial"/>
          <w:sz w:val="20"/>
          <w:szCs w:val="20"/>
          <w:lang w:eastAsia="fr-FR"/>
        </w:rPr>
        <w:t xml:space="preserve">Difficultés obstétricales ; Dystocie des épaules </w:t>
      </w:r>
      <w:r w:rsidRPr="00B15634">
        <w:rPr>
          <w:rFonts w:ascii="Arial" w:hAnsi="Arial" w:cs="Arial"/>
          <w:sz w:val="20"/>
          <w:szCs w:val="20"/>
          <w:lang w:eastAsia="fr-FR"/>
        </w:rPr>
        <w:sym w:font="Wingdings" w:char="F0E0"/>
      </w:r>
      <w:r w:rsidRPr="00B15634">
        <w:rPr>
          <w:rFonts w:ascii="Arial" w:hAnsi="Arial" w:cs="Arial"/>
          <w:sz w:val="20"/>
          <w:szCs w:val="20"/>
          <w:lang w:eastAsia="fr-FR"/>
        </w:rPr>
        <w:t xml:space="preserve"> extraction difficile </w:t>
      </w:r>
      <w:r w:rsidRPr="00B15634">
        <w:rPr>
          <w:rFonts w:ascii="Arial" w:hAnsi="Arial" w:cs="Arial"/>
          <w:sz w:val="20"/>
          <w:szCs w:val="20"/>
          <w:lang w:eastAsia="fr-FR"/>
        </w:rPr>
        <w:sym w:font="Wingdings" w:char="F0E0"/>
      </w:r>
      <w:r w:rsidRPr="00B15634">
        <w:rPr>
          <w:rFonts w:ascii="Arial" w:hAnsi="Arial" w:cs="Arial"/>
          <w:sz w:val="20"/>
          <w:szCs w:val="20"/>
          <w:lang w:eastAsia="fr-FR"/>
        </w:rPr>
        <w:t xml:space="preserve"> Plexus brachial : déficit moteur</w:t>
      </w:r>
      <w:r w:rsidRPr="00B15634">
        <w:rPr>
          <w:rFonts w:ascii="Arial" w:hAnsi="Arial" w:cs="Arial"/>
          <w:sz w:val="20"/>
          <w:szCs w:val="20"/>
          <w:lang w:eastAsia="fr-FR"/>
        </w:rPr>
        <w:br/>
        <w:t>d’un membre supérieu</w:t>
      </w:r>
      <w:r w:rsidR="0066133A">
        <w:rPr>
          <w:rFonts w:ascii="Arial" w:hAnsi="Arial" w:cs="Arial"/>
          <w:sz w:val="20"/>
          <w:szCs w:val="20"/>
          <w:lang w:eastAsia="fr-FR"/>
        </w:rPr>
        <w:t>r</w:t>
      </w:r>
      <w:r w:rsidRPr="00B15634">
        <w:rPr>
          <w:rFonts w:ascii="Arial" w:hAnsi="Arial" w:cs="Arial"/>
          <w:sz w:val="20"/>
          <w:szCs w:val="20"/>
          <w:lang w:eastAsia="fr-FR"/>
        </w:rPr>
        <w:t xml:space="preserve"> </w:t>
      </w:r>
      <w:r w:rsidRPr="00B15634">
        <w:rPr>
          <w:rFonts w:ascii="Arial" w:hAnsi="Arial" w:cs="Arial"/>
          <w:sz w:val="20"/>
          <w:szCs w:val="20"/>
          <w:lang w:eastAsia="fr-FR"/>
        </w:rPr>
        <w:sym w:font="Wingdings" w:char="F0E0"/>
      </w:r>
      <w:r w:rsidRPr="00B15634">
        <w:rPr>
          <w:rFonts w:ascii="Arial" w:hAnsi="Arial" w:cs="Arial"/>
          <w:sz w:val="20"/>
          <w:szCs w:val="20"/>
          <w:lang w:eastAsia="fr-FR"/>
        </w:rPr>
        <w:t xml:space="preserve"> Césarienne </w:t>
      </w:r>
    </w:p>
    <w:p w14:paraId="0AC910FA" w14:textId="77777777" w:rsidR="00ED4694" w:rsidRPr="00B15634" w:rsidRDefault="00ED4694" w:rsidP="00ED4694">
      <w:pPr>
        <w:pStyle w:val="Sansinterligne"/>
        <w:numPr>
          <w:ilvl w:val="0"/>
          <w:numId w:val="99"/>
        </w:numPr>
        <w:jc w:val="both"/>
        <w:rPr>
          <w:rFonts w:ascii="Arial" w:hAnsi="Arial" w:cs="Arial"/>
          <w:sz w:val="20"/>
          <w:szCs w:val="20"/>
          <w:lang w:eastAsia="fr-FR"/>
        </w:rPr>
      </w:pPr>
      <w:r w:rsidRPr="00B15634">
        <w:rPr>
          <w:rFonts w:ascii="Arial" w:hAnsi="Arial" w:cs="Arial"/>
          <w:sz w:val="20"/>
          <w:szCs w:val="20"/>
          <w:lang w:eastAsia="fr-FR"/>
        </w:rPr>
        <w:t xml:space="preserve">Risque d’hypoglycémies néonatales </w:t>
      </w:r>
    </w:p>
    <w:p w14:paraId="5E9CFB58" w14:textId="77777777" w:rsidR="00ED4694" w:rsidRPr="00B15634" w:rsidRDefault="00ED4694" w:rsidP="00ED4694">
      <w:pPr>
        <w:pStyle w:val="Sansinterligne"/>
        <w:jc w:val="both"/>
        <w:rPr>
          <w:rFonts w:ascii="Arial" w:hAnsi="Arial" w:cs="Arial"/>
          <w:sz w:val="20"/>
          <w:szCs w:val="20"/>
          <w:shd w:val="clear" w:color="auto" w:fill="FF0000"/>
          <w:lang w:eastAsia="fr-FR"/>
        </w:rPr>
      </w:pPr>
    </w:p>
    <w:p w14:paraId="47634578"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lastRenderedPageBreak/>
        <w:t>Le diabète rénal</w:t>
      </w:r>
      <w:r w:rsidRPr="00B15634">
        <w:rPr>
          <w:rFonts w:ascii="Arial" w:hAnsi="Arial" w:cs="Arial"/>
          <w:sz w:val="20"/>
          <w:szCs w:val="20"/>
          <w:lang w:eastAsia="fr-FR"/>
        </w:rPr>
        <w:t xml:space="preserve"> : c’est un diagnostic différentiel, à savoir l’élimination urinaire de glucose sans hyperglycémie; c’est un état physiologique (particularité de certains sujets) mais non pathologique.</w:t>
      </w:r>
    </w:p>
    <w:p w14:paraId="466CF904" w14:textId="77777777" w:rsidR="00ED4694" w:rsidRPr="00B15634" w:rsidRDefault="00ED4694" w:rsidP="00ED4694">
      <w:pPr>
        <w:pStyle w:val="Sansinterligne"/>
        <w:jc w:val="both"/>
        <w:rPr>
          <w:rFonts w:ascii="Arial" w:hAnsi="Arial" w:cs="Arial"/>
          <w:sz w:val="20"/>
          <w:szCs w:val="20"/>
          <w:lang w:eastAsia="fr-FR"/>
        </w:rPr>
      </w:pPr>
    </w:p>
    <w:p w14:paraId="5D99E1EC" w14:textId="037271BC"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L'intolérance au glucose</w:t>
      </w:r>
      <w:r w:rsidRPr="00B15634">
        <w:rPr>
          <w:rFonts w:ascii="Arial" w:hAnsi="Arial" w:cs="Arial"/>
          <w:sz w:val="20"/>
          <w:szCs w:val="20"/>
          <w:lang w:eastAsia="fr-FR"/>
        </w:rPr>
        <w:t xml:space="preserve"> (« Pré Diabète ») : glycémie élevée (voir diapo 3) et confirmée lors d'une charge orale en glucose (chiffre de glycémie compris entre 1,4 et 2 g/l) 120 minutes après ingestion de 75 g de glucose</w:t>
      </w:r>
    </w:p>
    <w:p w14:paraId="737D01E8" w14:textId="77777777" w:rsidR="00ED4694" w:rsidRPr="00B15634" w:rsidRDefault="00ED4694" w:rsidP="00ED4694">
      <w:pPr>
        <w:pStyle w:val="Sansinterligne"/>
        <w:jc w:val="both"/>
        <w:rPr>
          <w:rFonts w:ascii="Arial" w:hAnsi="Arial" w:cs="Arial"/>
          <w:sz w:val="20"/>
          <w:szCs w:val="20"/>
          <w:lang w:eastAsia="fr-FR"/>
        </w:rPr>
      </w:pPr>
    </w:p>
    <w:p w14:paraId="1DBF260E"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Diabète :</w:t>
      </w:r>
    </w:p>
    <w:p w14:paraId="4923BBD4" w14:textId="77777777" w:rsidR="00ED4694" w:rsidRPr="00B15634" w:rsidRDefault="00ED4694" w:rsidP="00ED4694">
      <w:pPr>
        <w:pStyle w:val="Sansinterligne"/>
        <w:numPr>
          <w:ilvl w:val="0"/>
          <w:numId w:val="141"/>
        </w:numPr>
        <w:jc w:val="both"/>
        <w:rPr>
          <w:rFonts w:ascii="Arial" w:hAnsi="Arial" w:cs="Arial"/>
          <w:sz w:val="20"/>
          <w:szCs w:val="20"/>
          <w:lang w:eastAsia="fr-FR"/>
        </w:rPr>
      </w:pPr>
      <w:r w:rsidRPr="00B15634">
        <w:rPr>
          <w:rFonts w:ascii="Arial" w:hAnsi="Arial" w:cs="Arial"/>
          <w:sz w:val="20"/>
          <w:szCs w:val="20"/>
          <w:lang w:eastAsia="fr-FR"/>
        </w:rPr>
        <w:t xml:space="preserve">4 millions en France en 2022 </w:t>
      </w:r>
    </w:p>
    <w:p w14:paraId="7AE99E8F" w14:textId="37C40121" w:rsidR="00ED4694" w:rsidRPr="00B15634" w:rsidRDefault="00ED4694" w:rsidP="00ED4694">
      <w:pPr>
        <w:pStyle w:val="Sansinterligne"/>
        <w:numPr>
          <w:ilvl w:val="0"/>
          <w:numId w:val="141"/>
        </w:numPr>
        <w:jc w:val="both"/>
        <w:rPr>
          <w:rFonts w:ascii="Arial" w:hAnsi="Arial" w:cs="Arial"/>
          <w:sz w:val="20"/>
          <w:szCs w:val="20"/>
          <w:lang w:eastAsia="fr-FR"/>
        </w:rPr>
      </w:pPr>
      <w:r w:rsidRPr="00B15634">
        <w:rPr>
          <w:rFonts w:ascii="Arial" w:hAnsi="Arial" w:cs="Arial"/>
          <w:sz w:val="20"/>
          <w:szCs w:val="20"/>
          <w:lang w:eastAsia="fr-FR"/>
        </w:rPr>
        <w:t>La survenue de diabète de type 1 chez l’enfant augmente d’environ 4% par an et chez les plus jeune</w:t>
      </w:r>
      <w:r w:rsidR="00655C3F">
        <w:rPr>
          <w:rFonts w:ascii="Arial" w:hAnsi="Arial" w:cs="Arial"/>
          <w:sz w:val="20"/>
          <w:szCs w:val="20"/>
          <w:lang w:eastAsia="fr-FR"/>
        </w:rPr>
        <w:t>s</w:t>
      </w:r>
      <w:r w:rsidRPr="00B15634">
        <w:rPr>
          <w:rFonts w:ascii="Arial" w:hAnsi="Arial" w:cs="Arial"/>
          <w:sz w:val="20"/>
          <w:szCs w:val="20"/>
          <w:lang w:eastAsia="fr-FR"/>
        </w:rPr>
        <w:t xml:space="preserve"> (&lt; 5 ans) </w:t>
      </w:r>
    </w:p>
    <w:p w14:paraId="6F74DF63" w14:textId="77777777" w:rsidR="00ED4694" w:rsidRPr="00B15634" w:rsidRDefault="00ED4694" w:rsidP="00ED4694">
      <w:pPr>
        <w:pStyle w:val="Sansinterligne"/>
        <w:numPr>
          <w:ilvl w:val="0"/>
          <w:numId w:val="141"/>
        </w:numPr>
        <w:jc w:val="both"/>
        <w:rPr>
          <w:rFonts w:ascii="Arial" w:hAnsi="Arial" w:cs="Arial"/>
          <w:sz w:val="20"/>
          <w:szCs w:val="20"/>
          <w:lang w:eastAsia="fr-FR"/>
        </w:rPr>
      </w:pPr>
      <w:r w:rsidRPr="00B15634">
        <w:rPr>
          <w:rFonts w:ascii="Arial" w:hAnsi="Arial" w:cs="Arial"/>
          <w:sz w:val="20"/>
          <w:szCs w:val="20"/>
          <w:lang w:eastAsia="fr-FR"/>
        </w:rPr>
        <w:t xml:space="preserve">Le diabète de type 2 en est la forme la plus fréquente (90 % des cas) et résulte de l’utilisation inadéquate de l’insuline par l’organisme. Il peut être généralement évité en adoptant un régime alimentaire sain et en s’adonnant à de l’activité physique </w:t>
      </w:r>
    </w:p>
    <w:p w14:paraId="71AADA83" w14:textId="77777777" w:rsidR="00ED4694" w:rsidRPr="00B15634" w:rsidRDefault="00ED4694" w:rsidP="00ED4694">
      <w:pPr>
        <w:pStyle w:val="Sansinterligne"/>
        <w:numPr>
          <w:ilvl w:val="0"/>
          <w:numId w:val="141"/>
        </w:numPr>
        <w:jc w:val="both"/>
        <w:rPr>
          <w:rFonts w:ascii="Arial" w:hAnsi="Arial" w:cs="Arial"/>
          <w:sz w:val="20"/>
          <w:szCs w:val="20"/>
          <w:lang w:eastAsia="fr-FR"/>
        </w:rPr>
      </w:pPr>
      <w:r w:rsidRPr="00B15634">
        <w:rPr>
          <w:rFonts w:ascii="Arial" w:hAnsi="Arial" w:cs="Arial"/>
          <w:sz w:val="20"/>
          <w:szCs w:val="20"/>
          <w:lang w:eastAsia="fr-FR"/>
        </w:rPr>
        <w:t xml:space="preserve">Le diabète de type 1 survient quand le pancréas arrête de produire l’hormone insuline. Il se déclare souvent à un jeune âge et nécessite une administration quotidienne d’insuline </w:t>
      </w:r>
    </w:p>
    <w:p w14:paraId="428DD60A" w14:textId="77777777" w:rsidR="00ED4694" w:rsidRPr="00B15634" w:rsidRDefault="00ED4694" w:rsidP="00ED4694">
      <w:pPr>
        <w:pStyle w:val="Sansinterligne"/>
        <w:numPr>
          <w:ilvl w:val="0"/>
          <w:numId w:val="141"/>
        </w:numPr>
        <w:jc w:val="both"/>
        <w:rPr>
          <w:rFonts w:ascii="Arial" w:hAnsi="Arial" w:cs="Arial"/>
          <w:sz w:val="20"/>
          <w:szCs w:val="20"/>
          <w:lang w:eastAsia="fr-FR"/>
        </w:rPr>
      </w:pPr>
      <w:r w:rsidRPr="00B15634">
        <w:rPr>
          <w:rFonts w:ascii="Arial" w:hAnsi="Arial" w:cs="Arial"/>
          <w:sz w:val="20"/>
          <w:szCs w:val="20"/>
          <w:lang w:eastAsia="fr-FR"/>
        </w:rPr>
        <w:t xml:space="preserve">La prévalence s’accroît dans tous les groupes d’âge, principalement à cause de l’augmentation des facteurs de risque liés au mode de vie mis aussi augmentation des maladies auto immunes </w:t>
      </w:r>
    </w:p>
    <w:p w14:paraId="5659209D" w14:textId="77777777" w:rsidR="00ED4694" w:rsidRPr="00B15634" w:rsidRDefault="00ED4694" w:rsidP="00ED4694">
      <w:pPr>
        <w:pStyle w:val="Sansinterligne"/>
        <w:jc w:val="both"/>
        <w:rPr>
          <w:rFonts w:ascii="Arial" w:hAnsi="Arial" w:cs="Arial"/>
          <w:sz w:val="20"/>
          <w:szCs w:val="20"/>
          <w:lang w:eastAsia="fr-FR"/>
        </w:rPr>
      </w:pPr>
    </w:p>
    <w:p w14:paraId="3444FEDA"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DT1 :</w:t>
      </w:r>
    </w:p>
    <w:p w14:paraId="55F1C68A" w14:textId="77777777" w:rsidR="00ED4694" w:rsidRPr="00B15634" w:rsidRDefault="00ED4694" w:rsidP="00ED4694">
      <w:pPr>
        <w:pStyle w:val="Sansinterligne"/>
        <w:numPr>
          <w:ilvl w:val="0"/>
          <w:numId w:val="99"/>
        </w:numPr>
        <w:jc w:val="both"/>
        <w:rPr>
          <w:rFonts w:ascii="Arial" w:hAnsi="Arial" w:cs="Arial"/>
          <w:sz w:val="20"/>
          <w:szCs w:val="20"/>
          <w:lang w:eastAsia="fr-FR"/>
        </w:rPr>
      </w:pPr>
      <w:r w:rsidRPr="00B15634">
        <w:rPr>
          <w:rFonts w:ascii="Arial" w:hAnsi="Arial" w:cs="Arial"/>
          <w:sz w:val="20"/>
          <w:szCs w:val="20"/>
          <w:lang w:eastAsia="fr-FR"/>
        </w:rPr>
        <w:t xml:space="preserve">Une origine à déterminer </w:t>
      </w:r>
    </w:p>
    <w:p w14:paraId="375A71B4" w14:textId="77777777" w:rsidR="00ED4694" w:rsidRPr="00B15634" w:rsidRDefault="00ED4694" w:rsidP="00ED4694">
      <w:pPr>
        <w:pStyle w:val="Sansinterligne"/>
        <w:numPr>
          <w:ilvl w:val="0"/>
          <w:numId w:val="99"/>
        </w:numPr>
        <w:jc w:val="both"/>
        <w:rPr>
          <w:rFonts w:ascii="Arial" w:hAnsi="Arial" w:cs="Arial"/>
          <w:sz w:val="20"/>
          <w:szCs w:val="20"/>
          <w:lang w:eastAsia="fr-FR"/>
        </w:rPr>
      </w:pPr>
      <w:r w:rsidRPr="00B15634">
        <w:rPr>
          <w:rFonts w:ascii="Arial" w:hAnsi="Arial" w:cs="Arial"/>
          <w:sz w:val="20"/>
          <w:szCs w:val="20"/>
          <w:lang w:eastAsia="fr-FR"/>
        </w:rPr>
        <w:t xml:space="preserve">L’apparition de la réaction auto-immune à l’origine du diabète de type 1 dépend de l’association de gènes de prédisposition et de facteurs environnementaux. Si l’on excepte les rares cas de diabète de type 1 associés à des maladies d’origine monogénique (comme par exemple les </w:t>
      </w:r>
      <w:r w:rsidRPr="00B15634">
        <w:rPr>
          <w:rFonts w:ascii="Arial" w:hAnsi="Arial" w:cs="Arial"/>
          <w:color w:val="000000" w:themeColor="text1"/>
          <w:sz w:val="20"/>
          <w:szCs w:val="20"/>
          <w:lang w:eastAsia="fr-FR"/>
        </w:rPr>
        <w:t xml:space="preserve">syndromes APECED et IPEX, entrainant </w:t>
      </w:r>
      <w:r w:rsidRPr="00B15634">
        <w:rPr>
          <w:rFonts w:ascii="Arial" w:hAnsi="Arial" w:cs="Arial"/>
          <w:sz w:val="20"/>
          <w:szCs w:val="20"/>
          <w:lang w:eastAsia="fr-FR"/>
        </w:rPr>
        <w:t xml:space="preserve">des atteintes auto-immunes multiples), les variations génétiques associées à cette maladie sont nombreuses </w:t>
      </w:r>
    </w:p>
    <w:p w14:paraId="23C8CA81" w14:textId="5374F3C7" w:rsidR="00ED4694" w:rsidRPr="00B15634" w:rsidRDefault="00ED4694" w:rsidP="00ED4694">
      <w:pPr>
        <w:pStyle w:val="Sansinterligne"/>
        <w:numPr>
          <w:ilvl w:val="0"/>
          <w:numId w:val="99"/>
        </w:numPr>
        <w:jc w:val="both"/>
        <w:rPr>
          <w:rFonts w:ascii="Arial" w:hAnsi="Arial" w:cs="Arial"/>
          <w:sz w:val="20"/>
          <w:szCs w:val="20"/>
          <w:lang w:eastAsia="fr-FR"/>
        </w:rPr>
      </w:pPr>
      <w:r w:rsidRPr="00B15634">
        <w:rPr>
          <w:rFonts w:ascii="Arial" w:hAnsi="Arial" w:cs="Arial"/>
          <w:sz w:val="20"/>
          <w:szCs w:val="20"/>
          <w:lang w:eastAsia="fr-FR"/>
        </w:rPr>
        <w:t>La plus fréquente découverte à ce jour est localisée dans les gènes du système HLA, impliqué dans la tolérance immunitaire vis-à-vis à des cellules du « soi »</w:t>
      </w:r>
    </w:p>
    <w:p w14:paraId="690D6E9C" w14:textId="77777777" w:rsidR="00ED4694" w:rsidRPr="00B15634" w:rsidRDefault="00ED4694" w:rsidP="00ED4694">
      <w:pPr>
        <w:pStyle w:val="Sansinterligne"/>
        <w:numPr>
          <w:ilvl w:val="0"/>
          <w:numId w:val="99"/>
        </w:numPr>
        <w:jc w:val="both"/>
        <w:rPr>
          <w:rFonts w:ascii="Arial" w:hAnsi="Arial" w:cs="Arial"/>
          <w:sz w:val="20"/>
          <w:szCs w:val="20"/>
          <w:lang w:eastAsia="fr-FR"/>
        </w:rPr>
      </w:pPr>
      <w:r w:rsidRPr="00B15634">
        <w:rPr>
          <w:rFonts w:ascii="Arial" w:hAnsi="Arial" w:cs="Arial"/>
          <w:sz w:val="20"/>
          <w:szCs w:val="20"/>
          <w:lang w:eastAsia="fr-FR"/>
        </w:rPr>
        <w:t xml:space="preserve">Quant aux facteurs environnementaux incriminés, ils sont encore à l’étude </w:t>
      </w:r>
    </w:p>
    <w:p w14:paraId="435935E8" w14:textId="48B8E9C4"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i/>
          <w:iCs/>
          <w:sz w:val="20"/>
          <w:szCs w:val="20"/>
          <w:lang w:eastAsia="fr-FR"/>
        </w:rPr>
        <w:t>IPEX: Mutation du gène FOXP3 sur le chromosome X</w:t>
      </w:r>
    </w:p>
    <w:p w14:paraId="5075D9F3" w14:textId="77777777" w:rsidR="00ED4694" w:rsidRPr="00B15634" w:rsidRDefault="00ED4694" w:rsidP="00ED4694">
      <w:pPr>
        <w:pStyle w:val="Sansinterligne"/>
        <w:jc w:val="both"/>
        <w:rPr>
          <w:rFonts w:ascii="Arial" w:hAnsi="Arial" w:cs="Arial"/>
          <w:sz w:val="20"/>
          <w:szCs w:val="20"/>
          <w:lang w:eastAsia="fr-FR"/>
        </w:rPr>
      </w:pPr>
    </w:p>
    <w:p w14:paraId="543722DB"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DT2 : </w:t>
      </w:r>
    </w:p>
    <w:p w14:paraId="624114C2"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w:t>
      </w:r>
      <w:r w:rsidRPr="00FD3968">
        <w:rPr>
          <w:rFonts w:ascii="Arial" w:hAnsi="Arial" w:cs="Arial"/>
          <w:b/>
          <w:bCs/>
          <w:sz w:val="20"/>
          <w:szCs w:val="20"/>
          <w:lang w:eastAsia="fr-FR"/>
        </w:rPr>
        <w:t>20 %</w:t>
      </w:r>
      <w:r w:rsidRPr="00B15634">
        <w:rPr>
          <w:rFonts w:ascii="Arial" w:hAnsi="Arial" w:cs="Arial"/>
          <w:sz w:val="20"/>
          <w:szCs w:val="20"/>
          <w:lang w:eastAsia="fr-FR"/>
        </w:rPr>
        <w:t xml:space="preserve"> sont provoqués par des facteurs de risque non modifiables tels que le vieillissement de la population et le prolongement de la survie : garçon plus touché, âge, diabète gestationnel, antécédents familiaux </w:t>
      </w:r>
    </w:p>
    <w:p w14:paraId="75C63136"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w:t>
      </w:r>
      <w:r w:rsidRPr="00FD3968">
        <w:rPr>
          <w:rFonts w:ascii="Arial" w:hAnsi="Arial" w:cs="Arial"/>
          <w:b/>
          <w:bCs/>
          <w:color w:val="000000" w:themeColor="text1"/>
          <w:sz w:val="20"/>
          <w:szCs w:val="20"/>
          <w:lang w:eastAsia="fr-FR"/>
        </w:rPr>
        <w:t>80 %</w:t>
      </w:r>
      <w:r w:rsidRPr="00B15634">
        <w:rPr>
          <w:rFonts w:ascii="Arial" w:hAnsi="Arial" w:cs="Arial"/>
          <w:color w:val="000000" w:themeColor="text1"/>
          <w:sz w:val="20"/>
          <w:szCs w:val="20"/>
          <w:lang w:eastAsia="fr-FR"/>
        </w:rPr>
        <w:t xml:space="preserve"> par des facteurs évitables : surpoids / obésité, comportement alimentaire, désavantage socioéconomique.  </w:t>
      </w:r>
    </w:p>
    <w:p w14:paraId="4F5AE38C"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CD8404F" w14:textId="77777777" w:rsidR="00ED4694" w:rsidRPr="00B15634" w:rsidRDefault="00ED4694" w:rsidP="00ED4694">
      <w:pPr>
        <w:pStyle w:val="Sansinterligne"/>
        <w:rPr>
          <w:rFonts w:ascii="Arial" w:hAnsi="Arial" w:cs="Arial"/>
          <w:sz w:val="20"/>
          <w:szCs w:val="20"/>
        </w:rPr>
      </w:pPr>
      <w:r w:rsidRPr="00B15634">
        <w:rPr>
          <w:rFonts w:ascii="Arial" w:hAnsi="Arial" w:cs="Arial"/>
          <w:sz w:val="20"/>
          <w:szCs w:val="20"/>
        </w:rPr>
        <w:t xml:space="preserve">En France il y a beaucoup de diabétiques dans le Nord, surtout le Nord-Est et dans les DOM-TOM. Dans le monde, le Mexique, l’Arabie Saoudite ou encore les émirats Arabes ont une forte prévalence de diabétiques. </w:t>
      </w:r>
    </w:p>
    <w:p w14:paraId="3F27F75B" w14:textId="77777777" w:rsidR="00ED4694" w:rsidRPr="00B15634" w:rsidRDefault="00ED4694" w:rsidP="00ED4694">
      <w:pPr>
        <w:pStyle w:val="Sansinterligne"/>
        <w:rPr>
          <w:rFonts w:ascii="Arial" w:hAnsi="Arial" w:cs="Arial"/>
          <w:sz w:val="20"/>
          <w:szCs w:val="20"/>
        </w:rPr>
      </w:pPr>
    </w:p>
    <w:p w14:paraId="7B49442F"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Au stade de diabète constitué, le tableau clinique est évocateur (syndrome cardinal) associant : </w:t>
      </w:r>
    </w:p>
    <w:p w14:paraId="44C9AF04"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Asthénie (= fatigue) intense,</w:t>
      </w:r>
    </w:p>
    <w:p w14:paraId="084C14AF"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Amaigrissement (rapide et important), </w:t>
      </w:r>
    </w:p>
    <w:p w14:paraId="69C22416"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Polyphagie : le fait de manger beaucoup</w:t>
      </w:r>
    </w:p>
    <w:p w14:paraId="57EF47C4"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Polyurie (abondance des urines), polydipsie (avoir soif et boire bcp) : syndrome polyuro-polydipsie SPUPD</w:t>
      </w:r>
    </w:p>
    <w:p w14:paraId="11A11A00"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Déshydratation </w:t>
      </w:r>
    </w:p>
    <w:p w14:paraId="6C6F25C6" w14:textId="77777777" w:rsidR="00ED4694" w:rsidRPr="00B15634" w:rsidRDefault="00ED4694" w:rsidP="00ED4694">
      <w:pPr>
        <w:pStyle w:val="Sansinterligne"/>
        <w:jc w:val="both"/>
        <w:rPr>
          <w:rFonts w:ascii="Arial" w:hAnsi="Arial" w:cs="Arial"/>
          <w:sz w:val="20"/>
          <w:szCs w:val="20"/>
          <w:lang w:eastAsia="fr-FR"/>
        </w:rPr>
      </w:pPr>
    </w:p>
    <w:p w14:paraId="7F090A79"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Biologiquement, la mise en évidence d'une hyperglycémie constante et d'une glycosurie massive, confirment le diagnostic. Il s'y associe inconstamment une cétonurie </w:t>
      </w:r>
    </w:p>
    <w:p w14:paraId="18E3B361" w14:textId="77777777" w:rsidR="00ED4694" w:rsidRPr="00B15634" w:rsidRDefault="00ED4694" w:rsidP="00ED4694">
      <w:pPr>
        <w:pStyle w:val="Sansinterligne"/>
        <w:jc w:val="both"/>
        <w:rPr>
          <w:rFonts w:ascii="Arial" w:hAnsi="Arial" w:cs="Arial"/>
          <w:sz w:val="20"/>
          <w:szCs w:val="20"/>
          <w:lang w:eastAsia="fr-FR"/>
        </w:rPr>
      </w:pPr>
    </w:p>
    <w:p w14:paraId="7265479C"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Le rattachement de cette symptomatologie à un diabète de </w:t>
      </w:r>
      <w:r w:rsidRPr="00561297">
        <w:rPr>
          <w:rFonts w:ascii="Arial" w:hAnsi="Arial" w:cs="Arial"/>
          <w:b/>
          <w:bCs/>
          <w:sz w:val="20"/>
          <w:szCs w:val="20"/>
          <w:u w:val="single"/>
          <w:lang w:eastAsia="fr-FR"/>
        </w:rPr>
        <w:t>type I</w:t>
      </w:r>
      <w:r w:rsidRPr="00B15634">
        <w:rPr>
          <w:rFonts w:ascii="Arial" w:hAnsi="Arial" w:cs="Arial"/>
          <w:sz w:val="20"/>
          <w:szCs w:val="20"/>
          <w:u w:val="single"/>
          <w:lang w:eastAsia="fr-FR"/>
        </w:rPr>
        <w:t xml:space="preserve"> repose sur : </w:t>
      </w:r>
    </w:p>
    <w:p w14:paraId="32790E6E"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le </w:t>
      </w:r>
      <w:r w:rsidRPr="00561297">
        <w:rPr>
          <w:rFonts w:ascii="Arial" w:hAnsi="Arial" w:cs="Arial"/>
          <w:b/>
          <w:bCs/>
          <w:sz w:val="20"/>
          <w:szCs w:val="20"/>
          <w:lang w:eastAsia="fr-FR"/>
        </w:rPr>
        <w:t>jeune âge</w:t>
      </w:r>
      <w:r w:rsidRPr="00B15634">
        <w:rPr>
          <w:rFonts w:ascii="Arial" w:hAnsi="Arial" w:cs="Arial"/>
          <w:sz w:val="20"/>
          <w:szCs w:val="20"/>
          <w:lang w:eastAsia="fr-FR"/>
        </w:rPr>
        <w:t xml:space="preserve"> du patient, </w:t>
      </w:r>
    </w:p>
    <w:p w14:paraId="692B5505"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la présence </w:t>
      </w:r>
      <w:r w:rsidRPr="00561297">
        <w:rPr>
          <w:rFonts w:ascii="Arial" w:hAnsi="Arial" w:cs="Arial"/>
          <w:b/>
          <w:bCs/>
          <w:sz w:val="20"/>
          <w:szCs w:val="20"/>
          <w:lang w:eastAsia="fr-FR"/>
        </w:rPr>
        <w:t>d'antécédent familial</w:t>
      </w:r>
      <w:r w:rsidRPr="00B15634">
        <w:rPr>
          <w:rFonts w:ascii="Arial" w:hAnsi="Arial" w:cs="Arial"/>
          <w:sz w:val="20"/>
          <w:szCs w:val="20"/>
          <w:lang w:eastAsia="fr-FR"/>
        </w:rPr>
        <w:t xml:space="preserve"> de diabète de type1, </w:t>
      </w:r>
    </w:p>
    <w:p w14:paraId="3E699076"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la présence de signes de </w:t>
      </w:r>
      <w:r w:rsidRPr="00561297">
        <w:rPr>
          <w:rFonts w:ascii="Arial" w:hAnsi="Arial" w:cs="Arial"/>
          <w:b/>
          <w:bCs/>
          <w:sz w:val="20"/>
          <w:szCs w:val="20"/>
          <w:lang w:eastAsia="fr-FR"/>
        </w:rPr>
        <w:t>maladies auto-immunes</w:t>
      </w:r>
      <w:r w:rsidRPr="00B15634">
        <w:rPr>
          <w:rFonts w:ascii="Arial" w:hAnsi="Arial" w:cs="Arial"/>
          <w:sz w:val="20"/>
          <w:szCs w:val="20"/>
          <w:lang w:eastAsia="fr-FR"/>
        </w:rPr>
        <w:t xml:space="preserve">, </w:t>
      </w:r>
    </w:p>
    <w:p w14:paraId="72D7CB1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la présence d'une </w:t>
      </w:r>
      <w:r w:rsidRPr="00561297">
        <w:rPr>
          <w:rFonts w:ascii="Arial" w:hAnsi="Arial" w:cs="Arial"/>
          <w:b/>
          <w:bCs/>
          <w:sz w:val="20"/>
          <w:szCs w:val="20"/>
          <w:lang w:eastAsia="fr-FR"/>
        </w:rPr>
        <w:t>cétonurie</w:t>
      </w:r>
      <w:r w:rsidRPr="00B15634">
        <w:rPr>
          <w:rFonts w:ascii="Arial" w:hAnsi="Arial" w:cs="Arial"/>
          <w:sz w:val="20"/>
          <w:szCs w:val="20"/>
          <w:lang w:eastAsia="fr-FR"/>
        </w:rPr>
        <w:t xml:space="preserve"> confirmant la carence insulinique, </w:t>
      </w:r>
    </w:p>
    <w:p w14:paraId="5B9640F6"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la célérité de l'installation de la symptomatologie (</w:t>
      </w:r>
      <w:r w:rsidRPr="00561297">
        <w:rPr>
          <w:rFonts w:ascii="Arial" w:hAnsi="Arial" w:cs="Arial"/>
          <w:b/>
          <w:bCs/>
          <w:sz w:val="20"/>
          <w:szCs w:val="20"/>
          <w:lang w:eastAsia="fr-FR"/>
        </w:rPr>
        <w:t>brutal</w:t>
      </w:r>
      <w:r w:rsidRPr="00B15634">
        <w:rPr>
          <w:rFonts w:ascii="Arial" w:hAnsi="Arial" w:cs="Arial"/>
          <w:sz w:val="20"/>
          <w:szCs w:val="20"/>
          <w:lang w:eastAsia="fr-FR"/>
        </w:rPr>
        <w:t xml:space="preserve">), </w:t>
      </w:r>
    </w:p>
    <w:p w14:paraId="2E470BE3"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w:t>
      </w:r>
      <w:r w:rsidRPr="00561297">
        <w:rPr>
          <w:rFonts w:ascii="Arial" w:hAnsi="Arial" w:cs="Arial"/>
          <w:b/>
          <w:bCs/>
          <w:sz w:val="20"/>
          <w:szCs w:val="20"/>
          <w:lang w:eastAsia="fr-FR"/>
        </w:rPr>
        <w:t>l'amaigrissement</w:t>
      </w:r>
      <w:r w:rsidRPr="00B15634">
        <w:rPr>
          <w:rFonts w:ascii="Arial" w:hAnsi="Arial" w:cs="Arial"/>
          <w:sz w:val="20"/>
          <w:szCs w:val="20"/>
          <w:lang w:eastAsia="fr-FR"/>
        </w:rPr>
        <w:t xml:space="preserve">, </w:t>
      </w:r>
    </w:p>
    <w:p w14:paraId="769FDA3B"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l'effondrement de l'insulinémie confirmerait la défaillance des ilots pancréatiques, </w:t>
      </w:r>
    </w:p>
    <w:p w14:paraId="6D83F04F"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la présence </w:t>
      </w:r>
      <w:r w:rsidRPr="006C5D97">
        <w:rPr>
          <w:rFonts w:ascii="Arial" w:hAnsi="Arial" w:cs="Arial"/>
          <w:b/>
          <w:bCs/>
          <w:sz w:val="20"/>
          <w:szCs w:val="20"/>
          <w:lang w:eastAsia="fr-FR"/>
        </w:rPr>
        <w:t>d'anticorps</w:t>
      </w:r>
      <w:r w:rsidRPr="00B15634">
        <w:rPr>
          <w:rFonts w:ascii="Arial" w:hAnsi="Arial" w:cs="Arial"/>
          <w:sz w:val="20"/>
          <w:szCs w:val="20"/>
          <w:lang w:eastAsia="fr-FR"/>
        </w:rPr>
        <w:t xml:space="preserve"> anti-insuline ou anti-ilôts qui confirme le caractère auto-immun de l'affection </w:t>
      </w:r>
    </w:p>
    <w:p w14:paraId="79A6EFAC" w14:textId="77777777" w:rsidR="00ED4694" w:rsidRPr="00B15634" w:rsidRDefault="00ED4694" w:rsidP="00ED4694">
      <w:pPr>
        <w:pStyle w:val="Sansinterligne"/>
        <w:jc w:val="both"/>
        <w:rPr>
          <w:rFonts w:ascii="Arial" w:hAnsi="Arial" w:cs="Arial"/>
          <w:sz w:val="20"/>
          <w:szCs w:val="20"/>
          <w:lang w:eastAsia="fr-FR"/>
        </w:rPr>
      </w:pPr>
    </w:p>
    <w:p w14:paraId="144585C2"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Le rattachement du trouble glycémique à un diabète de </w:t>
      </w:r>
      <w:r w:rsidRPr="006C5D97">
        <w:rPr>
          <w:rFonts w:ascii="Arial" w:hAnsi="Arial" w:cs="Arial"/>
          <w:b/>
          <w:bCs/>
          <w:sz w:val="20"/>
          <w:szCs w:val="20"/>
          <w:u w:val="single"/>
          <w:lang w:eastAsia="fr-FR"/>
        </w:rPr>
        <w:t>type II</w:t>
      </w:r>
      <w:r w:rsidRPr="00B15634">
        <w:rPr>
          <w:rFonts w:ascii="Arial" w:hAnsi="Arial" w:cs="Arial"/>
          <w:sz w:val="20"/>
          <w:szCs w:val="20"/>
          <w:u w:val="single"/>
          <w:lang w:eastAsia="fr-FR"/>
        </w:rPr>
        <w:t xml:space="preserve"> (non insulino-dépendant) repose sur : </w:t>
      </w:r>
    </w:p>
    <w:p w14:paraId="4A292916"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w:t>
      </w:r>
      <w:r w:rsidRPr="006C5D97">
        <w:rPr>
          <w:rFonts w:ascii="Arial" w:hAnsi="Arial" w:cs="Arial"/>
          <w:b/>
          <w:bCs/>
          <w:sz w:val="20"/>
          <w:szCs w:val="20"/>
          <w:lang w:eastAsia="fr-FR"/>
        </w:rPr>
        <w:t>antécédents familiaux</w:t>
      </w:r>
      <w:r w:rsidRPr="00B15634">
        <w:rPr>
          <w:rFonts w:ascii="Arial" w:hAnsi="Arial" w:cs="Arial"/>
          <w:sz w:val="20"/>
          <w:szCs w:val="20"/>
          <w:lang w:eastAsia="fr-FR"/>
        </w:rPr>
        <w:t xml:space="preserve"> du même type, </w:t>
      </w:r>
    </w:p>
    <w:p w14:paraId="281A0104"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survenue après </w:t>
      </w:r>
      <w:r w:rsidRPr="006C5D97">
        <w:rPr>
          <w:rFonts w:ascii="Arial" w:hAnsi="Arial" w:cs="Arial"/>
          <w:b/>
          <w:bCs/>
          <w:sz w:val="20"/>
          <w:szCs w:val="20"/>
          <w:lang w:eastAsia="fr-FR"/>
        </w:rPr>
        <w:t>50 ans</w:t>
      </w:r>
      <w:r w:rsidRPr="00B15634">
        <w:rPr>
          <w:rFonts w:ascii="Arial" w:hAnsi="Arial" w:cs="Arial"/>
          <w:sz w:val="20"/>
          <w:szCs w:val="20"/>
          <w:lang w:eastAsia="fr-FR"/>
        </w:rPr>
        <w:t xml:space="preserve">, </w:t>
      </w:r>
    </w:p>
    <w:p w14:paraId="08A5CFFF"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w:t>
      </w:r>
      <w:r w:rsidRPr="006C5D97">
        <w:rPr>
          <w:rFonts w:ascii="Arial" w:hAnsi="Arial" w:cs="Arial"/>
          <w:b/>
          <w:bCs/>
          <w:sz w:val="20"/>
          <w:szCs w:val="20"/>
          <w:lang w:eastAsia="fr-FR"/>
        </w:rPr>
        <w:t>début lent</w:t>
      </w:r>
      <w:r w:rsidRPr="00B15634">
        <w:rPr>
          <w:rFonts w:ascii="Arial" w:hAnsi="Arial" w:cs="Arial"/>
          <w:sz w:val="20"/>
          <w:szCs w:val="20"/>
          <w:lang w:eastAsia="fr-FR"/>
        </w:rPr>
        <w:t xml:space="preserve"> et insidieux, </w:t>
      </w:r>
    </w:p>
    <w:p w14:paraId="5C291F6F"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facteur déclenchant souvent présent, </w:t>
      </w:r>
    </w:p>
    <w:p w14:paraId="30A7CF33"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w:t>
      </w:r>
      <w:r w:rsidRPr="006C5D97">
        <w:rPr>
          <w:rFonts w:ascii="Arial" w:hAnsi="Arial" w:cs="Arial"/>
          <w:b/>
          <w:bCs/>
          <w:sz w:val="20"/>
          <w:szCs w:val="20"/>
          <w:lang w:eastAsia="fr-FR"/>
        </w:rPr>
        <w:t>surcharge pondérale</w:t>
      </w:r>
      <w:r w:rsidRPr="00B15634">
        <w:rPr>
          <w:rFonts w:ascii="Arial" w:hAnsi="Arial" w:cs="Arial"/>
          <w:sz w:val="20"/>
          <w:szCs w:val="20"/>
          <w:lang w:eastAsia="fr-FR"/>
        </w:rPr>
        <w:t xml:space="preserve"> (</w:t>
      </w:r>
      <w:r w:rsidRPr="006C5D97">
        <w:rPr>
          <w:rFonts w:ascii="Arial" w:hAnsi="Arial" w:cs="Arial"/>
          <w:b/>
          <w:bCs/>
          <w:sz w:val="20"/>
          <w:szCs w:val="20"/>
          <w:lang w:eastAsia="fr-FR"/>
        </w:rPr>
        <w:t>androïde</w:t>
      </w:r>
      <w:r w:rsidRPr="00B15634">
        <w:rPr>
          <w:rFonts w:ascii="Arial" w:hAnsi="Arial" w:cs="Arial"/>
          <w:sz w:val="20"/>
          <w:szCs w:val="20"/>
          <w:lang w:eastAsia="fr-FR"/>
        </w:rPr>
        <w:t xml:space="preserve">) avec inflation du périmètre abdominal, </w:t>
      </w:r>
    </w:p>
    <w:p w14:paraId="30C4A44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w:t>
      </w:r>
      <w:r w:rsidRPr="006C5D97">
        <w:rPr>
          <w:rFonts w:ascii="Arial" w:hAnsi="Arial" w:cs="Arial"/>
          <w:b/>
          <w:bCs/>
          <w:sz w:val="20"/>
          <w:szCs w:val="20"/>
          <w:lang w:eastAsia="fr-FR"/>
        </w:rPr>
        <w:t>hypertension artérielle</w:t>
      </w:r>
      <w:r w:rsidRPr="00B15634">
        <w:rPr>
          <w:rFonts w:ascii="Arial" w:hAnsi="Arial" w:cs="Arial"/>
          <w:sz w:val="20"/>
          <w:szCs w:val="20"/>
          <w:lang w:eastAsia="fr-FR"/>
        </w:rPr>
        <w:t xml:space="preserve"> </w:t>
      </w:r>
    </w:p>
    <w:p w14:paraId="02DE2B75"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dyslipidémie, </w:t>
      </w:r>
    </w:p>
    <w:p w14:paraId="2035D2D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w:t>
      </w:r>
      <w:r w:rsidRPr="006C5D97">
        <w:rPr>
          <w:rFonts w:ascii="Arial" w:hAnsi="Arial" w:cs="Arial"/>
          <w:b/>
          <w:bCs/>
          <w:sz w:val="20"/>
          <w:szCs w:val="20"/>
          <w:lang w:eastAsia="fr-FR"/>
        </w:rPr>
        <w:t>absence de cétonurie</w:t>
      </w:r>
      <w:r w:rsidRPr="00B15634">
        <w:rPr>
          <w:rFonts w:ascii="Arial" w:hAnsi="Arial" w:cs="Arial"/>
          <w:sz w:val="20"/>
          <w:szCs w:val="20"/>
          <w:lang w:eastAsia="fr-FR"/>
        </w:rPr>
        <w:t xml:space="preserve">, </w:t>
      </w:r>
    </w:p>
    <w:p w14:paraId="4BE54EF4"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présence de complications (notamment cardiovasculaires) au moment du diagnostic </w:t>
      </w:r>
    </w:p>
    <w:p w14:paraId="3712CBDF" w14:textId="77777777" w:rsidR="00ED4694" w:rsidRPr="00B15634" w:rsidRDefault="00ED4694" w:rsidP="00ED4694">
      <w:pPr>
        <w:pStyle w:val="Sansinterligne"/>
        <w:jc w:val="both"/>
        <w:rPr>
          <w:rFonts w:ascii="Arial" w:hAnsi="Arial" w:cs="Arial"/>
          <w:sz w:val="20"/>
          <w:szCs w:val="20"/>
          <w:lang w:eastAsia="fr-FR"/>
        </w:rPr>
      </w:pPr>
    </w:p>
    <w:p w14:paraId="6723ECB2"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Formes de décompensation aigue du diabète : </w:t>
      </w:r>
    </w:p>
    <w:tbl>
      <w:tblPr>
        <w:tblStyle w:val="Grilledutableau"/>
        <w:tblW w:w="0" w:type="auto"/>
        <w:tblLook w:val="04A0" w:firstRow="1" w:lastRow="0" w:firstColumn="1" w:lastColumn="0" w:noHBand="0" w:noVBand="1"/>
      </w:tblPr>
      <w:tblGrid>
        <w:gridCol w:w="3485"/>
        <w:gridCol w:w="3485"/>
        <w:gridCol w:w="3486"/>
      </w:tblGrid>
      <w:tr w:rsidR="00ED4694" w:rsidRPr="00B15634" w14:paraId="2A6434BB" w14:textId="77777777" w:rsidTr="00177C07">
        <w:tc>
          <w:tcPr>
            <w:tcW w:w="3485" w:type="dxa"/>
          </w:tcPr>
          <w:p w14:paraId="683C5BD4" w14:textId="77777777" w:rsidR="00ED4694" w:rsidRPr="00B15634" w:rsidRDefault="00ED4694" w:rsidP="00177C07">
            <w:pPr>
              <w:pStyle w:val="Sansinterligne"/>
              <w:jc w:val="center"/>
              <w:rPr>
                <w:rFonts w:ascii="Arial" w:hAnsi="Arial" w:cs="Arial"/>
                <w:b/>
                <w:bCs/>
                <w:sz w:val="20"/>
                <w:szCs w:val="20"/>
                <w:lang w:eastAsia="fr-FR"/>
              </w:rPr>
            </w:pPr>
            <w:r w:rsidRPr="00B15634">
              <w:rPr>
                <w:rFonts w:ascii="Arial" w:hAnsi="Arial" w:cs="Arial"/>
                <w:b/>
                <w:bCs/>
                <w:sz w:val="20"/>
                <w:szCs w:val="20"/>
                <w:lang w:eastAsia="fr-FR"/>
              </w:rPr>
              <w:t>Insulinopénie</w:t>
            </w:r>
          </w:p>
        </w:tc>
        <w:tc>
          <w:tcPr>
            <w:tcW w:w="3485" w:type="dxa"/>
          </w:tcPr>
          <w:p w14:paraId="6E9BB4D2" w14:textId="77777777" w:rsidR="00ED4694" w:rsidRPr="00B15634" w:rsidRDefault="00ED4694" w:rsidP="00177C07">
            <w:pPr>
              <w:pStyle w:val="Sansinterligne"/>
              <w:jc w:val="center"/>
              <w:rPr>
                <w:rFonts w:ascii="Arial" w:hAnsi="Arial" w:cs="Arial"/>
                <w:b/>
                <w:bCs/>
                <w:sz w:val="20"/>
                <w:szCs w:val="20"/>
                <w:lang w:eastAsia="fr-FR"/>
              </w:rPr>
            </w:pPr>
            <w:r w:rsidRPr="00B15634">
              <w:rPr>
                <w:rFonts w:ascii="Arial" w:hAnsi="Arial" w:cs="Arial"/>
                <w:b/>
                <w:bCs/>
                <w:sz w:val="20"/>
                <w:szCs w:val="20"/>
                <w:lang w:eastAsia="fr-FR"/>
              </w:rPr>
              <w:t>Surdosage du ttt</w:t>
            </w:r>
          </w:p>
        </w:tc>
        <w:tc>
          <w:tcPr>
            <w:tcW w:w="3486" w:type="dxa"/>
          </w:tcPr>
          <w:p w14:paraId="6674D033" w14:textId="77777777" w:rsidR="00ED4694" w:rsidRPr="00B15634" w:rsidRDefault="00ED4694" w:rsidP="00177C07">
            <w:pPr>
              <w:pStyle w:val="Sansinterligne"/>
              <w:jc w:val="center"/>
              <w:rPr>
                <w:rFonts w:ascii="Arial" w:hAnsi="Arial" w:cs="Arial"/>
                <w:b/>
                <w:bCs/>
                <w:sz w:val="20"/>
                <w:szCs w:val="20"/>
                <w:lang w:eastAsia="fr-FR"/>
              </w:rPr>
            </w:pPr>
            <w:r w:rsidRPr="00B15634">
              <w:rPr>
                <w:rFonts w:ascii="Arial" w:hAnsi="Arial" w:cs="Arial"/>
                <w:b/>
                <w:bCs/>
                <w:sz w:val="20"/>
                <w:szCs w:val="20"/>
                <w:lang w:eastAsia="fr-FR"/>
              </w:rPr>
              <w:t>Déshydratation</w:t>
            </w:r>
          </w:p>
        </w:tc>
      </w:tr>
      <w:tr w:rsidR="00ED4694" w:rsidRPr="00B15634" w14:paraId="04F41A21" w14:textId="77777777" w:rsidTr="00177C07">
        <w:tc>
          <w:tcPr>
            <w:tcW w:w="3485" w:type="dxa"/>
          </w:tcPr>
          <w:p w14:paraId="6147BB9B" w14:textId="77777777" w:rsidR="00ED4694" w:rsidRPr="00B15634" w:rsidRDefault="00ED4694" w:rsidP="00177C07">
            <w:pPr>
              <w:pStyle w:val="Sansinterligne"/>
              <w:jc w:val="center"/>
              <w:rPr>
                <w:rFonts w:ascii="Arial" w:hAnsi="Arial" w:cs="Arial"/>
                <w:sz w:val="20"/>
                <w:szCs w:val="20"/>
                <w:lang w:eastAsia="fr-FR"/>
              </w:rPr>
            </w:pPr>
            <w:r w:rsidRPr="00B15634">
              <w:rPr>
                <w:rFonts w:ascii="Arial" w:hAnsi="Arial" w:cs="Arial"/>
                <w:sz w:val="20"/>
                <w:szCs w:val="20"/>
                <w:lang w:eastAsia="fr-FR"/>
              </w:rPr>
              <w:t>DT1 +++</w:t>
            </w:r>
          </w:p>
          <w:p w14:paraId="17F502B3" w14:textId="77777777" w:rsidR="00ED4694" w:rsidRPr="00B15634" w:rsidRDefault="00ED4694" w:rsidP="00177C07">
            <w:pPr>
              <w:pStyle w:val="Sansinterligne"/>
              <w:jc w:val="center"/>
              <w:rPr>
                <w:rFonts w:ascii="Arial" w:hAnsi="Arial" w:cs="Arial"/>
                <w:sz w:val="20"/>
                <w:szCs w:val="20"/>
                <w:lang w:eastAsia="fr-FR"/>
              </w:rPr>
            </w:pPr>
            <w:r w:rsidRPr="00B15634">
              <w:rPr>
                <w:rFonts w:ascii="Arial" w:hAnsi="Arial" w:cs="Arial"/>
                <w:sz w:val="20"/>
                <w:szCs w:val="20"/>
                <w:lang w:eastAsia="fr-FR"/>
              </w:rPr>
              <w:t>Très rares DT2 (devenus insulino-requérants)</w:t>
            </w:r>
          </w:p>
        </w:tc>
        <w:tc>
          <w:tcPr>
            <w:tcW w:w="3485" w:type="dxa"/>
          </w:tcPr>
          <w:p w14:paraId="2D755B41" w14:textId="77777777" w:rsidR="00ED4694" w:rsidRPr="00B15634" w:rsidRDefault="00ED4694" w:rsidP="00177C07">
            <w:pPr>
              <w:pStyle w:val="Sansinterligne"/>
              <w:jc w:val="center"/>
              <w:rPr>
                <w:rFonts w:ascii="Arial" w:hAnsi="Arial" w:cs="Arial"/>
                <w:sz w:val="20"/>
                <w:szCs w:val="20"/>
                <w:lang w:eastAsia="fr-FR"/>
              </w:rPr>
            </w:pPr>
            <w:r w:rsidRPr="00B15634">
              <w:rPr>
                <w:rFonts w:ascii="Arial" w:hAnsi="Arial" w:cs="Arial"/>
                <w:sz w:val="20"/>
                <w:szCs w:val="20"/>
                <w:lang w:eastAsia="fr-FR"/>
              </w:rPr>
              <w:t>DT1++ et DT2 sous sulfamides</w:t>
            </w:r>
          </w:p>
        </w:tc>
        <w:tc>
          <w:tcPr>
            <w:tcW w:w="3486" w:type="dxa"/>
          </w:tcPr>
          <w:p w14:paraId="0A3A985F" w14:textId="77777777" w:rsidR="00ED4694" w:rsidRPr="00B15634" w:rsidRDefault="00ED4694" w:rsidP="00177C07">
            <w:pPr>
              <w:pStyle w:val="Sansinterligne"/>
              <w:jc w:val="center"/>
              <w:rPr>
                <w:rFonts w:ascii="Arial" w:hAnsi="Arial" w:cs="Arial"/>
                <w:sz w:val="20"/>
                <w:szCs w:val="20"/>
                <w:lang w:eastAsia="fr-FR"/>
              </w:rPr>
            </w:pPr>
            <w:r w:rsidRPr="00B15634">
              <w:rPr>
                <w:rFonts w:ascii="Arial" w:hAnsi="Arial" w:cs="Arial"/>
                <w:sz w:val="20"/>
                <w:szCs w:val="20"/>
                <w:lang w:eastAsia="fr-FR"/>
              </w:rPr>
              <w:t>DT2</w:t>
            </w:r>
          </w:p>
        </w:tc>
      </w:tr>
      <w:tr w:rsidR="00ED4694" w:rsidRPr="00B15634" w14:paraId="53A41BFC" w14:textId="77777777" w:rsidTr="00177C07">
        <w:tc>
          <w:tcPr>
            <w:tcW w:w="3485" w:type="dxa"/>
          </w:tcPr>
          <w:p w14:paraId="239B1E82" w14:textId="77777777" w:rsidR="00ED4694" w:rsidRPr="00B15634" w:rsidRDefault="00ED4694" w:rsidP="00177C07">
            <w:pPr>
              <w:pStyle w:val="Sansinterligne"/>
              <w:jc w:val="center"/>
              <w:rPr>
                <w:rFonts w:ascii="Arial" w:hAnsi="Arial" w:cs="Arial"/>
                <w:sz w:val="20"/>
                <w:szCs w:val="20"/>
                <w:lang w:eastAsia="fr-FR"/>
              </w:rPr>
            </w:pPr>
            <w:r w:rsidRPr="00B15634">
              <w:rPr>
                <w:rFonts w:ascii="Arial" w:hAnsi="Arial" w:cs="Arial"/>
                <w:sz w:val="20"/>
                <w:szCs w:val="20"/>
                <w:lang w:eastAsia="fr-FR"/>
              </w:rPr>
              <w:t>Acidocétose</w:t>
            </w:r>
          </w:p>
        </w:tc>
        <w:tc>
          <w:tcPr>
            <w:tcW w:w="3485" w:type="dxa"/>
          </w:tcPr>
          <w:p w14:paraId="10EE35C0" w14:textId="77777777" w:rsidR="00ED4694" w:rsidRPr="00B15634" w:rsidRDefault="00ED4694" w:rsidP="00177C07">
            <w:pPr>
              <w:pStyle w:val="Sansinterligne"/>
              <w:jc w:val="center"/>
              <w:rPr>
                <w:rFonts w:ascii="Arial" w:hAnsi="Arial" w:cs="Arial"/>
                <w:sz w:val="20"/>
                <w:szCs w:val="20"/>
                <w:lang w:eastAsia="fr-FR"/>
              </w:rPr>
            </w:pPr>
            <w:r w:rsidRPr="00B15634">
              <w:rPr>
                <w:rFonts w:ascii="Arial" w:hAnsi="Arial" w:cs="Arial"/>
                <w:sz w:val="20"/>
                <w:szCs w:val="20"/>
                <w:lang w:eastAsia="fr-FR"/>
              </w:rPr>
              <w:t>Hypoglycémie</w:t>
            </w:r>
          </w:p>
        </w:tc>
        <w:tc>
          <w:tcPr>
            <w:tcW w:w="3486" w:type="dxa"/>
          </w:tcPr>
          <w:p w14:paraId="1D90B608" w14:textId="77777777" w:rsidR="00ED4694" w:rsidRPr="00B15634" w:rsidRDefault="00ED4694" w:rsidP="00177C07">
            <w:pPr>
              <w:pStyle w:val="Sansinterligne"/>
              <w:jc w:val="center"/>
              <w:rPr>
                <w:rFonts w:ascii="Arial" w:hAnsi="Arial" w:cs="Arial"/>
                <w:sz w:val="20"/>
                <w:szCs w:val="20"/>
                <w:lang w:eastAsia="fr-FR"/>
              </w:rPr>
            </w:pPr>
            <w:r w:rsidRPr="00B15634">
              <w:rPr>
                <w:rFonts w:ascii="Arial" w:hAnsi="Arial" w:cs="Arial"/>
                <w:sz w:val="20"/>
                <w:szCs w:val="20"/>
                <w:lang w:eastAsia="fr-FR"/>
              </w:rPr>
              <w:t>Coma hyperosmolaire</w:t>
            </w:r>
          </w:p>
        </w:tc>
      </w:tr>
    </w:tbl>
    <w:p w14:paraId="59D26C89"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w:t>
      </w:r>
    </w:p>
    <w:p w14:paraId="789AA360" w14:textId="584CD024"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Acidocétose</w:t>
      </w:r>
      <w:r w:rsidRPr="00B15634">
        <w:rPr>
          <w:rFonts w:ascii="Arial" w:hAnsi="Arial" w:cs="Arial"/>
          <w:sz w:val="20"/>
          <w:szCs w:val="20"/>
          <w:lang w:eastAsia="fr-FR"/>
        </w:rPr>
        <w:t> :</w:t>
      </w:r>
    </w:p>
    <w:p w14:paraId="5F7A9162" w14:textId="77777777" w:rsidR="00ED4694" w:rsidRPr="00B15634" w:rsidRDefault="00ED4694" w:rsidP="00ED4694">
      <w:pPr>
        <w:pStyle w:val="Sansinterligne"/>
        <w:numPr>
          <w:ilvl w:val="0"/>
          <w:numId w:val="134"/>
        </w:numPr>
        <w:jc w:val="both"/>
        <w:rPr>
          <w:rFonts w:ascii="Arial" w:hAnsi="Arial" w:cs="Arial"/>
          <w:sz w:val="20"/>
          <w:szCs w:val="20"/>
          <w:lang w:eastAsia="fr-FR"/>
        </w:rPr>
      </w:pPr>
      <w:r w:rsidRPr="00B15634">
        <w:rPr>
          <w:rFonts w:ascii="Arial" w:hAnsi="Arial" w:cs="Arial"/>
          <w:sz w:val="20"/>
          <w:szCs w:val="20"/>
          <w:lang w:eastAsia="fr-FR"/>
        </w:rPr>
        <w:t xml:space="preserve">Insulinopénie (Pb de sucre) = syndrome cardinal =&gt; SPUPD, glycosurie, déshydratation, amaigrissement, polyphagie </w:t>
      </w:r>
    </w:p>
    <w:p w14:paraId="7C285203" w14:textId="77777777" w:rsidR="00ED4694" w:rsidRPr="00B15634" w:rsidRDefault="00ED4694" w:rsidP="00ED4694">
      <w:pPr>
        <w:pStyle w:val="Sansinterligne"/>
        <w:numPr>
          <w:ilvl w:val="0"/>
          <w:numId w:val="134"/>
        </w:numPr>
        <w:jc w:val="both"/>
        <w:rPr>
          <w:rFonts w:ascii="Arial" w:hAnsi="Arial" w:cs="Arial"/>
          <w:sz w:val="20"/>
          <w:szCs w:val="20"/>
          <w:lang w:eastAsia="fr-FR"/>
        </w:rPr>
      </w:pPr>
      <w:r w:rsidRPr="00B15634">
        <w:rPr>
          <w:rFonts w:ascii="Arial" w:hAnsi="Arial" w:cs="Arial"/>
          <w:sz w:val="20"/>
          <w:szCs w:val="20"/>
          <w:lang w:eastAsia="fr-FR"/>
        </w:rPr>
        <w:t xml:space="preserve">Problème de lipides : </w:t>
      </w:r>
      <w:r w:rsidRPr="005F274F">
        <w:rPr>
          <w:rFonts w:ascii="Arial" w:hAnsi="Arial" w:cs="Arial"/>
          <w:b/>
          <w:bCs/>
          <w:sz w:val="20"/>
          <w:szCs w:val="20"/>
          <w:lang w:eastAsia="fr-FR"/>
        </w:rPr>
        <w:t>cétogénèse</w:t>
      </w:r>
      <w:r w:rsidRPr="00B15634">
        <w:rPr>
          <w:rFonts w:ascii="Arial" w:hAnsi="Arial" w:cs="Arial"/>
          <w:sz w:val="20"/>
          <w:szCs w:val="20"/>
          <w:lang w:eastAsia="fr-FR"/>
        </w:rPr>
        <w:t xml:space="preserve"> (cétonémie, cétonurie) =&gt; acidocétose </w:t>
      </w:r>
    </w:p>
    <w:p w14:paraId="31DF2F22" w14:textId="77777777" w:rsidR="00ED4694" w:rsidRPr="00B15634" w:rsidRDefault="00ED4694" w:rsidP="00ED4694">
      <w:pPr>
        <w:pStyle w:val="Sansinterligne"/>
        <w:numPr>
          <w:ilvl w:val="0"/>
          <w:numId w:val="134"/>
        </w:numPr>
        <w:jc w:val="both"/>
        <w:rPr>
          <w:rFonts w:ascii="Arial" w:hAnsi="Arial" w:cs="Arial"/>
          <w:sz w:val="20"/>
          <w:szCs w:val="20"/>
          <w:lang w:eastAsia="fr-FR"/>
        </w:rPr>
      </w:pPr>
      <w:r w:rsidRPr="005F274F">
        <w:rPr>
          <w:rFonts w:ascii="Arial" w:hAnsi="Arial" w:cs="Arial"/>
          <w:b/>
          <w:bCs/>
          <w:sz w:val="20"/>
          <w:szCs w:val="20"/>
          <w:lang w:eastAsia="fr-FR"/>
        </w:rPr>
        <w:t>Déshydratation</w:t>
      </w:r>
      <w:r w:rsidRPr="00B15634">
        <w:rPr>
          <w:rFonts w:ascii="Arial" w:hAnsi="Arial" w:cs="Arial"/>
          <w:sz w:val="20"/>
          <w:szCs w:val="20"/>
          <w:lang w:eastAsia="fr-FR"/>
        </w:rPr>
        <w:t xml:space="preserve"> globale = déficit en potassium (attention aux fausses hyperkaliémies dues à l’acidose) </w:t>
      </w:r>
    </w:p>
    <w:p w14:paraId="5A1FF082" w14:textId="77777777" w:rsidR="00ED4694" w:rsidRPr="00B15634" w:rsidRDefault="00ED4694" w:rsidP="00ED4694">
      <w:pPr>
        <w:pStyle w:val="Sansinterligne"/>
        <w:numPr>
          <w:ilvl w:val="0"/>
          <w:numId w:val="134"/>
        </w:numPr>
        <w:jc w:val="both"/>
        <w:rPr>
          <w:rFonts w:ascii="Arial" w:hAnsi="Arial" w:cs="Arial"/>
          <w:sz w:val="20"/>
          <w:szCs w:val="20"/>
          <w:lang w:eastAsia="fr-FR"/>
        </w:rPr>
      </w:pPr>
      <w:r w:rsidRPr="00B15634">
        <w:rPr>
          <w:rFonts w:ascii="Arial" w:hAnsi="Arial" w:cs="Arial"/>
          <w:sz w:val="20"/>
          <w:szCs w:val="20"/>
          <w:lang w:eastAsia="fr-FR"/>
        </w:rPr>
        <w:t xml:space="preserve">Troubles digestifs: DA, « appendicite » , </w:t>
      </w:r>
      <w:r w:rsidRPr="005F274F">
        <w:rPr>
          <w:rFonts w:ascii="Arial" w:hAnsi="Arial" w:cs="Arial"/>
          <w:b/>
          <w:bCs/>
          <w:sz w:val="20"/>
          <w:szCs w:val="20"/>
          <w:lang w:eastAsia="fr-FR"/>
        </w:rPr>
        <w:t>diarrhée, vomissements</w:t>
      </w:r>
      <w:r w:rsidRPr="00B15634">
        <w:rPr>
          <w:rFonts w:ascii="Arial" w:hAnsi="Arial" w:cs="Arial"/>
          <w:sz w:val="20"/>
          <w:szCs w:val="20"/>
          <w:lang w:eastAsia="fr-FR"/>
        </w:rPr>
        <w:t xml:space="preserve"> </w:t>
      </w:r>
    </w:p>
    <w:p w14:paraId="165A9E2B" w14:textId="77777777" w:rsidR="00ED4694" w:rsidRPr="00B15634" w:rsidRDefault="00ED4694" w:rsidP="00ED4694">
      <w:pPr>
        <w:pStyle w:val="Sansinterligne"/>
        <w:numPr>
          <w:ilvl w:val="0"/>
          <w:numId w:val="134"/>
        </w:numPr>
        <w:jc w:val="both"/>
        <w:rPr>
          <w:rFonts w:ascii="Arial" w:hAnsi="Arial" w:cs="Arial"/>
          <w:sz w:val="20"/>
          <w:szCs w:val="20"/>
          <w:lang w:eastAsia="fr-FR"/>
        </w:rPr>
      </w:pPr>
      <w:r w:rsidRPr="00B15634">
        <w:rPr>
          <w:rFonts w:ascii="Arial" w:hAnsi="Arial" w:cs="Arial"/>
          <w:sz w:val="20"/>
          <w:szCs w:val="20"/>
          <w:lang w:eastAsia="fr-FR"/>
        </w:rPr>
        <w:t xml:space="preserve">Troubles neurologiques (troubles conscience, coma) </w:t>
      </w:r>
    </w:p>
    <w:p w14:paraId="2D72A386" w14:textId="77777777" w:rsidR="00ED4694" w:rsidRPr="00B15634" w:rsidRDefault="00ED4694" w:rsidP="00ED4694">
      <w:pPr>
        <w:pStyle w:val="Sansinterligne"/>
        <w:numPr>
          <w:ilvl w:val="0"/>
          <w:numId w:val="134"/>
        </w:numPr>
        <w:jc w:val="both"/>
        <w:rPr>
          <w:rFonts w:ascii="Arial" w:hAnsi="Arial" w:cs="Arial"/>
          <w:sz w:val="20"/>
          <w:szCs w:val="20"/>
          <w:lang w:eastAsia="fr-FR"/>
        </w:rPr>
      </w:pPr>
      <w:r w:rsidRPr="00B15634">
        <w:rPr>
          <w:rFonts w:ascii="Arial" w:hAnsi="Arial" w:cs="Arial"/>
          <w:sz w:val="20"/>
          <w:szCs w:val="20"/>
          <w:lang w:eastAsia="fr-FR"/>
        </w:rPr>
        <w:t xml:space="preserve">Odeur </w:t>
      </w:r>
      <w:r w:rsidRPr="005F274F">
        <w:rPr>
          <w:rFonts w:ascii="Arial" w:hAnsi="Arial" w:cs="Arial"/>
          <w:b/>
          <w:bCs/>
          <w:sz w:val="20"/>
          <w:szCs w:val="20"/>
          <w:lang w:eastAsia="fr-FR"/>
        </w:rPr>
        <w:t>acétonique</w:t>
      </w:r>
      <w:r w:rsidRPr="00B15634">
        <w:rPr>
          <w:rFonts w:ascii="Arial" w:hAnsi="Arial" w:cs="Arial"/>
          <w:sz w:val="20"/>
          <w:szCs w:val="20"/>
          <w:lang w:eastAsia="fr-FR"/>
        </w:rPr>
        <w:t xml:space="preserve"> de l’haleine </w:t>
      </w:r>
    </w:p>
    <w:p w14:paraId="21F82599" w14:textId="77777777" w:rsidR="00ED4694" w:rsidRPr="00B15634" w:rsidRDefault="00ED4694" w:rsidP="00ED4694">
      <w:pPr>
        <w:pStyle w:val="Sansinterligne"/>
        <w:numPr>
          <w:ilvl w:val="0"/>
          <w:numId w:val="134"/>
        </w:numPr>
        <w:jc w:val="both"/>
        <w:rPr>
          <w:rFonts w:ascii="Arial" w:hAnsi="Arial" w:cs="Arial"/>
          <w:sz w:val="20"/>
          <w:szCs w:val="20"/>
          <w:lang w:eastAsia="fr-FR"/>
        </w:rPr>
      </w:pPr>
      <w:r w:rsidRPr="00B15634">
        <w:rPr>
          <w:rFonts w:ascii="Arial" w:hAnsi="Arial" w:cs="Arial"/>
          <w:sz w:val="20"/>
          <w:szCs w:val="20"/>
          <w:lang w:eastAsia="fr-FR"/>
        </w:rPr>
        <w:t xml:space="preserve">L’acidocétose est souvent révélatrice du DID </w:t>
      </w:r>
      <w:r w:rsidRPr="00217240">
        <w:rPr>
          <w:rFonts w:ascii="Arial" w:hAnsi="Arial" w:cs="Arial"/>
          <w:b/>
          <w:bCs/>
          <w:sz w:val="20"/>
          <w:szCs w:val="20"/>
          <w:lang w:eastAsia="fr-FR"/>
        </w:rPr>
        <w:t>type 1</w:t>
      </w:r>
      <w:r w:rsidRPr="00B15634">
        <w:rPr>
          <w:rFonts w:ascii="Arial" w:hAnsi="Arial" w:cs="Arial"/>
          <w:sz w:val="20"/>
          <w:szCs w:val="20"/>
          <w:lang w:eastAsia="fr-FR"/>
        </w:rPr>
        <w:t xml:space="preserve"> chez l’enfant </w:t>
      </w:r>
    </w:p>
    <w:p w14:paraId="47C710DC" w14:textId="77777777" w:rsidR="00ED4694" w:rsidRPr="00B15634" w:rsidRDefault="00ED4694" w:rsidP="00ED4694">
      <w:pPr>
        <w:pStyle w:val="Sansinterligne"/>
        <w:numPr>
          <w:ilvl w:val="0"/>
          <w:numId w:val="134"/>
        </w:numPr>
        <w:jc w:val="both"/>
        <w:rPr>
          <w:rFonts w:ascii="Arial" w:hAnsi="Arial" w:cs="Arial"/>
          <w:sz w:val="20"/>
          <w:szCs w:val="20"/>
          <w:lang w:eastAsia="fr-FR"/>
        </w:rPr>
      </w:pPr>
      <w:r w:rsidRPr="00B15634">
        <w:rPr>
          <w:rFonts w:ascii="Arial" w:hAnsi="Arial" w:cs="Arial"/>
          <w:sz w:val="20"/>
          <w:szCs w:val="20"/>
          <w:lang w:eastAsia="fr-FR"/>
        </w:rPr>
        <w:t xml:space="preserve">Facteurs déclenchants : infections, erreur thérapeutique.... </w:t>
      </w:r>
    </w:p>
    <w:p w14:paraId="3ADE9D31" w14:textId="77777777" w:rsidR="00ED4694" w:rsidRPr="00B15634" w:rsidRDefault="00ED4694" w:rsidP="00ED4694">
      <w:pPr>
        <w:pStyle w:val="Sansinterligne"/>
        <w:numPr>
          <w:ilvl w:val="0"/>
          <w:numId w:val="134"/>
        </w:numPr>
        <w:jc w:val="both"/>
        <w:rPr>
          <w:rFonts w:ascii="Arial" w:hAnsi="Arial" w:cs="Arial"/>
          <w:sz w:val="20"/>
          <w:szCs w:val="20"/>
          <w:lang w:eastAsia="fr-FR"/>
        </w:rPr>
      </w:pPr>
      <w:r w:rsidRPr="00B15634">
        <w:rPr>
          <w:rFonts w:ascii="Arial" w:hAnsi="Arial" w:cs="Arial"/>
          <w:sz w:val="20"/>
          <w:szCs w:val="20"/>
          <w:lang w:eastAsia="fr-FR"/>
        </w:rPr>
        <w:t xml:space="preserve">Diagnostic = hyperglycémie (Dextro) et cétonurie + glycosurie (BU avec des </w:t>
      </w:r>
      <w:r w:rsidRPr="00B15634">
        <w:rPr>
          <w:rFonts w:ascii="Arial" w:hAnsi="Arial" w:cs="Arial"/>
          <w:color w:val="000000" w:themeColor="text1"/>
          <w:sz w:val="20"/>
          <w:szCs w:val="20"/>
          <w:lang w:eastAsia="fr-FR"/>
        </w:rPr>
        <w:t xml:space="preserve">+++/++++) </w:t>
      </w:r>
      <w:r w:rsidRPr="005F274F">
        <w:rPr>
          <w:rFonts w:ascii="Arial" w:hAnsi="Arial" w:cs="Arial"/>
          <w:b/>
          <w:bCs/>
          <w:color w:val="000000" w:themeColor="text1"/>
          <w:sz w:val="20"/>
          <w:szCs w:val="20"/>
          <w:lang w:eastAsia="fr-FR"/>
        </w:rPr>
        <w:t>Diag en Pharmacie possible</w:t>
      </w:r>
      <w:r w:rsidRPr="00B15634">
        <w:rPr>
          <w:rFonts w:ascii="Arial" w:hAnsi="Arial" w:cs="Arial"/>
          <w:color w:val="000000" w:themeColor="text1"/>
          <w:sz w:val="20"/>
          <w:szCs w:val="20"/>
          <w:lang w:eastAsia="fr-FR"/>
        </w:rPr>
        <w:t xml:space="preserve"> </w:t>
      </w:r>
    </w:p>
    <w:p w14:paraId="09412F67" w14:textId="77777777" w:rsidR="00ED4694" w:rsidRPr="00B15634" w:rsidRDefault="00ED4694" w:rsidP="00ED4694">
      <w:pPr>
        <w:pStyle w:val="Sansinterligne"/>
        <w:numPr>
          <w:ilvl w:val="0"/>
          <w:numId w:val="134"/>
        </w:numPr>
        <w:jc w:val="both"/>
        <w:rPr>
          <w:rFonts w:ascii="Arial" w:hAnsi="Arial" w:cs="Arial"/>
          <w:sz w:val="20"/>
          <w:szCs w:val="20"/>
          <w:lang w:eastAsia="fr-FR"/>
        </w:rPr>
      </w:pPr>
      <w:r w:rsidRPr="00B15634">
        <w:rPr>
          <w:rFonts w:ascii="Arial" w:hAnsi="Arial" w:cs="Arial"/>
          <w:sz w:val="20"/>
          <w:szCs w:val="20"/>
          <w:lang w:eastAsia="fr-FR"/>
        </w:rPr>
        <w:t xml:space="preserve">Hyperglycémie &gt; 2,5g/L + corps cétoniques (sang cétonémie et urines cétonurie) </w:t>
      </w:r>
    </w:p>
    <w:p w14:paraId="24C44AA7" w14:textId="77777777" w:rsidR="00ED4694" w:rsidRPr="00B15634" w:rsidRDefault="00ED4694" w:rsidP="00ED4694">
      <w:pPr>
        <w:pStyle w:val="Sansinterligne"/>
        <w:numPr>
          <w:ilvl w:val="0"/>
          <w:numId w:val="134"/>
        </w:numPr>
        <w:jc w:val="both"/>
        <w:rPr>
          <w:rFonts w:ascii="Arial" w:hAnsi="Arial" w:cs="Arial"/>
          <w:sz w:val="20"/>
          <w:szCs w:val="20"/>
          <w:lang w:eastAsia="fr-FR"/>
        </w:rPr>
      </w:pPr>
      <w:r w:rsidRPr="00B15634">
        <w:rPr>
          <w:rFonts w:ascii="Arial" w:hAnsi="Arial" w:cs="Arial"/>
          <w:sz w:val="20"/>
          <w:szCs w:val="20"/>
          <w:lang w:eastAsia="fr-FR"/>
        </w:rPr>
        <w:t xml:space="preserve">pH &lt; 7,30 et Bicarbonates &lt; 15 (acidose métabolique) </w:t>
      </w:r>
    </w:p>
    <w:p w14:paraId="1970A00B" w14:textId="77777777" w:rsidR="00ED4694" w:rsidRPr="00B15634" w:rsidRDefault="00ED4694" w:rsidP="00ED4694">
      <w:pPr>
        <w:pStyle w:val="Sansinterligne"/>
        <w:numPr>
          <w:ilvl w:val="0"/>
          <w:numId w:val="134"/>
        </w:numPr>
        <w:jc w:val="both"/>
        <w:rPr>
          <w:rFonts w:ascii="Arial" w:hAnsi="Arial" w:cs="Arial"/>
          <w:sz w:val="20"/>
          <w:szCs w:val="20"/>
          <w:lang w:eastAsia="fr-FR"/>
        </w:rPr>
      </w:pPr>
      <w:r w:rsidRPr="00B15634">
        <w:rPr>
          <w:rFonts w:ascii="Arial" w:hAnsi="Arial" w:cs="Arial"/>
          <w:sz w:val="20"/>
          <w:szCs w:val="20"/>
          <w:lang w:eastAsia="fr-FR"/>
        </w:rPr>
        <w:t xml:space="preserve">Facteurs déclenchants (infection), IONO, urée, créatininémie </w:t>
      </w:r>
    </w:p>
    <w:p w14:paraId="10B88264" w14:textId="77777777" w:rsidR="00ED4694" w:rsidRPr="00B15634" w:rsidRDefault="00ED4694" w:rsidP="00ED4694">
      <w:pPr>
        <w:pStyle w:val="Sansinterligne"/>
        <w:numPr>
          <w:ilvl w:val="0"/>
          <w:numId w:val="134"/>
        </w:numPr>
        <w:jc w:val="both"/>
        <w:rPr>
          <w:rFonts w:ascii="Arial" w:hAnsi="Arial" w:cs="Arial"/>
          <w:sz w:val="20"/>
          <w:szCs w:val="20"/>
          <w:lang w:eastAsia="fr-FR"/>
        </w:rPr>
      </w:pPr>
      <w:r w:rsidRPr="00B15634">
        <w:rPr>
          <w:rFonts w:ascii="Arial" w:hAnsi="Arial" w:cs="Arial"/>
          <w:sz w:val="20"/>
          <w:szCs w:val="20"/>
          <w:lang w:eastAsia="fr-FR"/>
        </w:rPr>
        <w:t xml:space="preserve">ECG: </w:t>
      </w:r>
      <w:r w:rsidRPr="005F274F">
        <w:rPr>
          <w:rFonts w:ascii="Arial" w:hAnsi="Arial" w:cs="Arial"/>
          <w:b/>
          <w:bCs/>
          <w:sz w:val="20"/>
          <w:szCs w:val="20"/>
          <w:lang w:eastAsia="fr-FR"/>
        </w:rPr>
        <w:t>kaliémie</w:t>
      </w:r>
      <w:r w:rsidRPr="00B15634">
        <w:rPr>
          <w:rFonts w:ascii="Arial" w:hAnsi="Arial" w:cs="Arial"/>
          <w:sz w:val="20"/>
          <w:szCs w:val="20"/>
          <w:lang w:eastAsia="fr-FR"/>
        </w:rPr>
        <w:t xml:space="preserve"> (troubles du rythme) </w:t>
      </w:r>
    </w:p>
    <w:p w14:paraId="116EF93E" w14:textId="77777777" w:rsidR="00ED4694" w:rsidRPr="00B15634" w:rsidRDefault="00ED4694" w:rsidP="00ED4694">
      <w:pPr>
        <w:pStyle w:val="Sansinterligne"/>
        <w:numPr>
          <w:ilvl w:val="0"/>
          <w:numId w:val="134"/>
        </w:numPr>
        <w:jc w:val="both"/>
        <w:rPr>
          <w:rFonts w:ascii="Arial" w:hAnsi="Arial" w:cs="Arial"/>
          <w:sz w:val="20"/>
          <w:szCs w:val="20"/>
          <w:lang w:eastAsia="fr-FR"/>
        </w:rPr>
      </w:pPr>
      <w:r w:rsidRPr="00B15634">
        <w:rPr>
          <w:rFonts w:ascii="Arial" w:hAnsi="Arial" w:cs="Arial"/>
          <w:sz w:val="20"/>
          <w:szCs w:val="20"/>
          <w:lang w:eastAsia="fr-FR"/>
        </w:rPr>
        <w:t xml:space="preserve">SANS ATTENDRE: </w:t>
      </w:r>
      <w:r w:rsidRPr="005F274F">
        <w:rPr>
          <w:rFonts w:ascii="Arial" w:hAnsi="Arial" w:cs="Arial"/>
          <w:b/>
          <w:bCs/>
          <w:sz w:val="20"/>
          <w:szCs w:val="20"/>
          <w:lang w:eastAsia="fr-FR"/>
        </w:rPr>
        <w:t>Réhydratation</w:t>
      </w:r>
      <w:r w:rsidRPr="00B15634">
        <w:rPr>
          <w:rFonts w:ascii="Arial" w:hAnsi="Arial" w:cs="Arial"/>
          <w:sz w:val="20"/>
          <w:szCs w:val="20"/>
          <w:lang w:eastAsia="fr-FR"/>
        </w:rPr>
        <w:t xml:space="preserve"> et </w:t>
      </w:r>
      <w:r w:rsidRPr="005F274F">
        <w:rPr>
          <w:rFonts w:ascii="Arial" w:hAnsi="Arial" w:cs="Arial"/>
          <w:b/>
          <w:bCs/>
          <w:sz w:val="20"/>
          <w:szCs w:val="20"/>
          <w:lang w:eastAsia="fr-FR"/>
        </w:rPr>
        <w:t>supplémentation</w:t>
      </w:r>
      <w:r w:rsidRPr="00B15634">
        <w:rPr>
          <w:rFonts w:ascii="Arial" w:hAnsi="Arial" w:cs="Arial"/>
          <w:sz w:val="20"/>
          <w:szCs w:val="20"/>
          <w:lang w:eastAsia="fr-FR"/>
        </w:rPr>
        <w:t xml:space="preserve"> en sodium et potassium puis Insuline en IVSE </w:t>
      </w:r>
    </w:p>
    <w:p w14:paraId="695C7ADD" w14:textId="77777777" w:rsidR="00ED4694" w:rsidRPr="00B15634" w:rsidRDefault="00ED4694" w:rsidP="00ED4694">
      <w:pPr>
        <w:pStyle w:val="Sansinterligne"/>
        <w:jc w:val="both"/>
        <w:rPr>
          <w:rFonts w:ascii="Arial" w:hAnsi="Arial" w:cs="Arial"/>
          <w:sz w:val="20"/>
          <w:szCs w:val="20"/>
          <w:shd w:val="clear" w:color="auto" w:fill="FF0000"/>
          <w:lang w:eastAsia="fr-FR"/>
        </w:rPr>
      </w:pPr>
    </w:p>
    <w:p w14:paraId="1BE26B18"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Hypoglycémie : </w:t>
      </w:r>
    </w:p>
    <w:p w14:paraId="58334664" w14:textId="77777777" w:rsidR="00ED4694" w:rsidRPr="00B15634" w:rsidRDefault="00ED4694" w:rsidP="00ED4694">
      <w:pPr>
        <w:pStyle w:val="Sansinterligne"/>
        <w:numPr>
          <w:ilvl w:val="0"/>
          <w:numId w:val="135"/>
        </w:numPr>
        <w:jc w:val="both"/>
        <w:rPr>
          <w:rFonts w:ascii="Arial" w:hAnsi="Arial" w:cs="Arial"/>
          <w:sz w:val="20"/>
          <w:szCs w:val="20"/>
          <w:lang w:eastAsia="fr-FR"/>
        </w:rPr>
      </w:pPr>
      <w:r w:rsidRPr="005F274F">
        <w:rPr>
          <w:rFonts w:ascii="Arial" w:hAnsi="Arial" w:cs="Arial"/>
          <w:b/>
          <w:bCs/>
          <w:sz w:val="20"/>
          <w:szCs w:val="20"/>
          <w:lang w:eastAsia="fr-FR"/>
        </w:rPr>
        <w:t>Erreur thérapeutique</w:t>
      </w:r>
      <w:r w:rsidRPr="00B15634">
        <w:rPr>
          <w:rFonts w:ascii="Arial" w:hAnsi="Arial" w:cs="Arial"/>
          <w:sz w:val="20"/>
          <w:szCs w:val="20"/>
          <w:lang w:eastAsia="fr-FR"/>
        </w:rPr>
        <w:t xml:space="preserve"> : surdosage du traitement (Insuline ou Sulfamides) </w:t>
      </w:r>
    </w:p>
    <w:p w14:paraId="42205FE4" w14:textId="77777777" w:rsidR="00ED4694" w:rsidRPr="00B15634" w:rsidRDefault="00ED4694" w:rsidP="00ED4694">
      <w:pPr>
        <w:pStyle w:val="Sansinterligne"/>
        <w:numPr>
          <w:ilvl w:val="0"/>
          <w:numId w:val="135"/>
        </w:numPr>
        <w:jc w:val="both"/>
        <w:rPr>
          <w:rFonts w:ascii="Arial" w:hAnsi="Arial" w:cs="Arial"/>
          <w:sz w:val="20"/>
          <w:szCs w:val="20"/>
          <w:lang w:eastAsia="fr-FR"/>
        </w:rPr>
      </w:pPr>
      <w:r w:rsidRPr="00B15634">
        <w:rPr>
          <w:rFonts w:ascii="Arial" w:hAnsi="Arial" w:cs="Arial"/>
          <w:sz w:val="20"/>
          <w:szCs w:val="20"/>
          <w:lang w:eastAsia="fr-FR"/>
        </w:rPr>
        <w:t xml:space="preserve">Sport intense, jeûne, alcool, restriction glucidique </w:t>
      </w:r>
    </w:p>
    <w:p w14:paraId="6F0B8771" w14:textId="77777777" w:rsidR="00ED4694" w:rsidRPr="00B15634" w:rsidRDefault="00ED4694" w:rsidP="00ED4694">
      <w:pPr>
        <w:pStyle w:val="Sansinterligne"/>
        <w:numPr>
          <w:ilvl w:val="0"/>
          <w:numId w:val="135"/>
        </w:numPr>
        <w:jc w:val="both"/>
        <w:rPr>
          <w:rFonts w:ascii="Arial" w:hAnsi="Arial" w:cs="Arial"/>
          <w:sz w:val="20"/>
          <w:szCs w:val="20"/>
          <w:lang w:eastAsia="fr-FR"/>
        </w:rPr>
      </w:pPr>
      <w:r w:rsidRPr="00B15634">
        <w:rPr>
          <w:rFonts w:ascii="Arial" w:hAnsi="Arial" w:cs="Arial"/>
          <w:sz w:val="20"/>
          <w:szCs w:val="20"/>
          <w:lang w:eastAsia="fr-FR"/>
        </w:rPr>
        <w:t xml:space="preserve">Toute anomalie de l’examen neurologique chez un diabétique = HYPOGLYCEMIE </w:t>
      </w:r>
    </w:p>
    <w:p w14:paraId="2857DD2F" w14:textId="77777777" w:rsidR="00ED4694" w:rsidRPr="00B15634" w:rsidRDefault="00ED4694" w:rsidP="00ED4694">
      <w:pPr>
        <w:pStyle w:val="Sansinterligne"/>
        <w:numPr>
          <w:ilvl w:val="0"/>
          <w:numId w:val="135"/>
        </w:numPr>
        <w:jc w:val="both"/>
        <w:rPr>
          <w:rFonts w:ascii="Arial" w:hAnsi="Arial" w:cs="Arial"/>
          <w:sz w:val="20"/>
          <w:szCs w:val="20"/>
          <w:lang w:eastAsia="fr-FR"/>
        </w:rPr>
      </w:pPr>
      <w:r w:rsidRPr="00B15634">
        <w:rPr>
          <w:rFonts w:ascii="Arial" w:hAnsi="Arial" w:cs="Arial"/>
          <w:sz w:val="20"/>
          <w:szCs w:val="20"/>
          <w:lang w:eastAsia="fr-FR"/>
        </w:rPr>
        <w:t xml:space="preserve">Sueurs, tremblements, pâleur, anxiété, palpitations, tachycardie, faim (signes adrénergiques: hormones de contre régulation ) </w:t>
      </w:r>
    </w:p>
    <w:p w14:paraId="4DCD138A" w14:textId="77777777" w:rsidR="00ED4694" w:rsidRPr="00B15634" w:rsidRDefault="00ED4694" w:rsidP="00ED4694">
      <w:pPr>
        <w:pStyle w:val="Sansinterligne"/>
        <w:numPr>
          <w:ilvl w:val="0"/>
          <w:numId w:val="135"/>
        </w:numPr>
        <w:jc w:val="both"/>
        <w:rPr>
          <w:rFonts w:ascii="Arial" w:hAnsi="Arial" w:cs="Arial"/>
          <w:sz w:val="20"/>
          <w:szCs w:val="20"/>
          <w:lang w:eastAsia="fr-FR"/>
        </w:rPr>
      </w:pPr>
      <w:r w:rsidRPr="00B15634">
        <w:rPr>
          <w:rFonts w:ascii="Arial" w:hAnsi="Arial" w:cs="Arial"/>
          <w:sz w:val="20"/>
          <w:szCs w:val="20"/>
          <w:lang w:eastAsia="fr-FR"/>
        </w:rPr>
        <w:t xml:space="preserve">Troubles neurologiques(glucopénie des cellules cérébrales): hémiplégie, convulsions, confusion, acouphènes ... </w:t>
      </w:r>
    </w:p>
    <w:p w14:paraId="4F736934" w14:textId="77777777" w:rsidR="00ED4694" w:rsidRPr="00B15634" w:rsidRDefault="00ED4694" w:rsidP="00ED4694">
      <w:pPr>
        <w:pStyle w:val="Sansinterligne"/>
        <w:numPr>
          <w:ilvl w:val="0"/>
          <w:numId w:val="135"/>
        </w:numPr>
        <w:jc w:val="both"/>
        <w:rPr>
          <w:rFonts w:ascii="Arial" w:hAnsi="Arial" w:cs="Arial"/>
          <w:sz w:val="20"/>
          <w:szCs w:val="20"/>
          <w:lang w:eastAsia="fr-FR"/>
        </w:rPr>
      </w:pPr>
      <w:r w:rsidRPr="00B15634">
        <w:rPr>
          <w:rFonts w:ascii="Arial" w:hAnsi="Arial" w:cs="Arial"/>
          <w:sz w:val="20"/>
          <w:szCs w:val="20"/>
          <w:lang w:eastAsia="fr-FR"/>
        </w:rPr>
        <w:t xml:space="preserve">Coma hypoglycémique </w:t>
      </w:r>
    </w:p>
    <w:p w14:paraId="1997C217" w14:textId="77777777" w:rsidR="00ED4694" w:rsidRPr="00B15634" w:rsidRDefault="00ED4694" w:rsidP="00ED4694">
      <w:pPr>
        <w:pStyle w:val="Sansinterligne"/>
        <w:numPr>
          <w:ilvl w:val="0"/>
          <w:numId w:val="135"/>
        </w:numPr>
        <w:jc w:val="both"/>
        <w:rPr>
          <w:rFonts w:ascii="Arial" w:hAnsi="Arial" w:cs="Arial"/>
          <w:sz w:val="20"/>
          <w:szCs w:val="20"/>
          <w:lang w:eastAsia="fr-FR"/>
        </w:rPr>
      </w:pPr>
      <w:r w:rsidRPr="00B15634">
        <w:rPr>
          <w:rFonts w:ascii="Arial" w:hAnsi="Arial" w:cs="Arial"/>
          <w:sz w:val="20"/>
          <w:szCs w:val="20"/>
          <w:lang w:eastAsia="fr-FR"/>
        </w:rPr>
        <w:t xml:space="preserve">Glycémie capillaire &lt; 0,5 g/L </w:t>
      </w:r>
    </w:p>
    <w:p w14:paraId="6DFDA9CB" w14:textId="77777777" w:rsidR="00ED4694" w:rsidRPr="00B15634" w:rsidRDefault="00ED4694" w:rsidP="00ED4694">
      <w:pPr>
        <w:pStyle w:val="Sansinterligne"/>
        <w:numPr>
          <w:ilvl w:val="0"/>
          <w:numId w:val="135"/>
        </w:numPr>
        <w:jc w:val="both"/>
        <w:rPr>
          <w:rFonts w:ascii="Arial" w:hAnsi="Arial" w:cs="Arial"/>
          <w:sz w:val="20"/>
          <w:szCs w:val="20"/>
          <w:lang w:eastAsia="fr-FR"/>
        </w:rPr>
      </w:pPr>
      <w:r w:rsidRPr="005F274F">
        <w:rPr>
          <w:rFonts w:ascii="Arial" w:hAnsi="Arial" w:cs="Arial"/>
          <w:b/>
          <w:bCs/>
          <w:sz w:val="20"/>
          <w:szCs w:val="20"/>
          <w:lang w:eastAsia="fr-FR"/>
        </w:rPr>
        <w:t>Resucrage immédiat</w:t>
      </w:r>
      <w:r w:rsidRPr="00B15634">
        <w:rPr>
          <w:rFonts w:ascii="Arial" w:hAnsi="Arial" w:cs="Arial"/>
          <w:sz w:val="20"/>
          <w:szCs w:val="20"/>
          <w:lang w:eastAsia="fr-FR"/>
        </w:rPr>
        <w:t xml:space="preserve"> per os ou IV + </w:t>
      </w:r>
      <w:r w:rsidRPr="005F274F">
        <w:rPr>
          <w:rFonts w:ascii="Arial" w:hAnsi="Arial" w:cs="Arial"/>
          <w:b/>
          <w:bCs/>
          <w:sz w:val="20"/>
          <w:szCs w:val="20"/>
          <w:lang w:eastAsia="fr-FR"/>
        </w:rPr>
        <w:t>Glucagon</w:t>
      </w:r>
      <w:r w:rsidRPr="00B15634">
        <w:rPr>
          <w:rFonts w:ascii="Arial" w:hAnsi="Arial" w:cs="Arial"/>
          <w:sz w:val="20"/>
          <w:szCs w:val="20"/>
          <w:lang w:eastAsia="fr-FR"/>
        </w:rPr>
        <w:t xml:space="preserve"> IM ou SC (DID type1) </w:t>
      </w:r>
    </w:p>
    <w:p w14:paraId="3767CEDA" w14:textId="77777777" w:rsidR="00ED4694" w:rsidRPr="00B15634" w:rsidRDefault="00ED4694" w:rsidP="00ED4694">
      <w:pPr>
        <w:pStyle w:val="Sansinterligne"/>
        <w:jc w:val="both"/>
        <w:rPr>
          <w:rFonts w:ascii="Arial" w:hAnsi="Arial" w:cs="Arial"/>
          <w:sz w:val="20"/>
          <w:szCs w:val="20"/>
          <w:lang w:eastAsia="fr-FR"/>
        </w:rPr>
      </w:pPr>
    </w:p>
    <w:p w14:paraId="24774FA6"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Coma hyperosmolaire : </w:t>
      </w:r>
    </w:p>
    <w:p w14:paraId="10374D9A" w14:textId="77777777" w:rsidR="00ED4694" w:rsidRPr="00B15634" w:rsidRDefault="00ED4694" w:rsidP="00ED4694">
      <w:pPr>
        <w:pStyle w:val="Sansinterligne"/>
        <w:numPr>
          <w:ilvl w:val="0"/>
          <w:numId w:val="136"/>
        </w:numPr>
        <w:jc w:val="both"/>
        <w:rPr>
          <w:rFonts w:ascii="Arial" w:hAnsi="Arial" w:cs="Arial"/>
          <w:sz w:val="20"/>
          <w:szCs w:val="20"/>
          <w:lang w:eastAsia="fr-FR"/>
        </w:rPr>
      </w:pPr>
      <w:r w:rsidRPr="00B15634">
        <w:rPr>
          <w:rFonts w:ascii="Arial" w:hAnsi="Arial" w:cs="Arial"/>
          <w:sz w:val="20"/>
          <w:szCs w:val="20"/>
          <w:lang w:eastAsia="fr-FR"/>
        </w:rPr>
        <w:t xml:space="preserve">Sujet </w:t>
      </w:r>
      <w:r w:rsidRPr="005F274F">
        <w:rPr>
          <w:rFonts w:ascii="Arial" w:hAnsi="Arial" w:cs="Arial"/>
          <w:b/>
          <w:bCs/>
          <w:sz w:val="20"/>
          <w:szCs w:val="20"/>
          <w:lang w:eastAsia="fr-FR"/>
        </w:rPr>
        <w:t>âgé</w:t>
      </w:r>
      <w:r w:rsidRPr="00B15634">
        <w:rPr>
          <w:rFonts w:ascii="Arial" w:hAnsi="Arial" w:cs="Arial"/>
          <w:sz w:val="20"/>
          <w:szCs w:val="20"/>
          <w:lang w:eastAsia="fr-FR"/>
        </w:rPr>
        <w:t xml:space="preserve"> avec Diabète de type 2 mal équilibré avec </w:t>
      </w:r>
      <w:r w:rsidRPr="005F274F">
        <w:rPr>
          <w:rFonts w:ascii="Arial" w:hAnsi="Arial" w:cs="Arial"/>
          <w:b/>
          <w:bCs/>
          <w:sz w:val="20"/>
          <w:szCs w:val="20"/>
          <w:lang w:eastAsia="fr-FR"/>
        </w:rPr>
        <w:t>sensation de soif</w:t>
      </w:r>
      <w:r w:rsidRPr="00B15634">
        <w:rPr>
          <w:rFonts w:ascii="Arial" w:hAnsi="Arial" w:cs="Arial"/>
          <w:sz w:val="20"/>
          <w:szCs w:val="20"/>
          <w:lang w:eastAsia="fr-FR"/>
        </w:rPr>
        <w:t xml:space="preserve"> altérée </w:t>
      </w:r>
    </w:p>
    <w:p w14:paraId="34A8CC8F" w14:textId="77777777" w:rsidR="00ED4694" w:rsidRPr="00B15634" w:rsidRDefault="00ED4694" w:rsidP="00ED4694">
      <w:pPr>
        <w:pStyle w:val="Sansinterligne"/>
        <w:numPr>
          <w:ilvl w:val="0"/>
          <w:numId w:val="136"/>
        </w:numPr>
        <w:jc w:val="both"/>
        <w:rPr>
          <w:rFonts w:ascii="Arial" w:hAnsi="Arial" w:cs="Arial"/>
          <w:sz w:val="20"/>
          <w:szCs w:val="20"/>
          <w:lang w:eastAsia="fr-FR"/>
        </w:rPr>
      </w:pPr>
      <w:r w:rsidRPr="00B15634">
        <w:rPr>
          <w:rFonts w:ascii="Arial" w:hAnsi="Arial" w:cs="Arial"/>
          <w:sz w:val="20"/>
          <w:szCs w:val="20"/>
          <w:lang w:eastAsia="fr-FR"/>
        </w:rPr>
        <w:t xml:space="preserve">Déshydratation globale non compensée sur hyperglycémie chronique non contrôlée (syndrome cardinal) avec facteur déclenchant (infections, canicule, diurétiques...) </w:t>
      </w:r>
    </w:p>
    <w:p w14:paraId="4ABC6BF5" w14:textId="77777777" w:rsidR="00ED4694" w:rsidRPr="00B15634" w:rsidRDefault="00ED4694" w:rsidP="00ED4694">
      <w:pPr>
        <w:pStyle w:val="Sansinterligne"/>
        <w:numPr>
          <w:ilvl w:val="0"/>
          <w:numId w:val="136"/>
        </w:numPr>
        <w:jc w:val="both"/>
        <w:rPr>
          <w:rFonts w:ascii="Arial" w:hAnsi="Arial" w:cs="Arial"/>
          <w:sz w:val="20"/>
          <w:szCs w:val="20"/>
          <w:lang w:eastAsia="fr-FR"/>
        </w:rPr>
      </w:pPr>
      <w:r w:rsidRPr="00B15634">
        <w:rPr>
          <w:rFonts w:ascii="Arial" w:hAnsi="Arial" w:cs="Arial"/>
          <w:sz w:val="20"/>
          <w:szCs w:val="20"/>
          <w:lang w:eastAsia="fr-FR"/>
        </w:rPr>
        <w:t xml:space="preserve">Diagnostic= Glycosurie (++++) sans cétonurie + Dextro hyperglycémie majeure (5 et 20g/l) </w:t>
      </w:r>
    </w:p>
    <w:p w14:paraId="39865FF5" w14:textId="77777777" w:rsidR="00ED4694" w:rsidRPr="00B15634" w:rsidRDefault="00ED4694" w:rsidP="00ED4694">
      <w:pPr>
        <w:pStyle w:val="Sansinterligne"/>
        <w:numPr>
          <w:ilvl w:val="0"/>
          <w:numId w:val="136"/>
        </w:numPr>
        <w:jc w:val="both"/>
        <w:rPr>
          <w:rFonts w:ascii="Arial" w:hAnsi="Arial" w:cs="Arial"/>
          <w:sz w:val="20"/>
          <w:szCs w:val="20"/>
          <w:lang w:eastAsia="fr-FR"/>
        </w:rPr>
      </w:pPr>
      <w:r w:rsidRPr="00B15634">
        <w:rPr>
          <w:rFonts w:ascii="Arial" w:hAnsi="Arial" w:cs="Arial"/>
          <w:sz w:val="20"/>
          <w:szCs w:val="20"/>
          <w:lang w:eastAsia="fr-FR"/>
        </w:rPr>
        <w:t xml:space="preserve">Syndrome confusionnel </w:t>
      </w:r>
    </w:p>
    <w:p w14:paraId="731C1E8E" w14:textId="77777777" w:rsidR="00ED4694" w:rsidRPr="00B15634" w:rsidRDefault="00ED4694" w:rsidP="00ED4694">
      <w:pPr>
        <w:pStyle w:val="Sansinterligne"/>
        <w:numPr>
          <w:ilvl w:val="0"/>
          <w:numId w:val="136"/>
        </w:numPr>
        <w:jc w:val="both"/>
        <w:rPr>
          <w:rFonts w:ascii="Arial" w:hAnsi="Arial" w:cs="Arial"/>
          <w:sz w:val="20"/>
          <w:szCs w:val="20"/>
          <w:lang w:eastAsia="fr-FR"/>
        </w:rPr>
      </w:pPr>
      <w:r w:rsidRPr="00B15634">
        <w:rPr>
          <w:rFonts w:ascii="Arial" w:hAnsi="Arial" w:cs="Arial"/>
          <w:sz w:val="20"/>
          <w:szCs w:val="20"/>
          <w:lang w:eastAsia="fr-FR"/>
        </w:rPr>
        <w:t xml:space="preserve">PEC: </w:t>
      </w:r>
      <w:r w:rsidRPr="005F274F">
        <w:rPr>
          <w:rFonts w:ascii="Arial" w:hAnsi="Arial" w:cs="Arial"/>
          <w:b/>
          <w:bCs/>
          <w:sz w:val="20"/>
          <w:szCs w:val="20"/>
          <w:lang w:eastAsia="fr-FR"/>
        </w:rPr>
        <w:t>Réhydratation</w:t>
      </w:r>
      <w:r w:rsidRPr="00B15634">
        <w:rPr>
          <w:rFonts w:ascii="Arial" w:hAnsi="Arial" w:cs="Arial"/>
          <w:sz w:val="20"/>
          <w:szCs w:val="20"/>
          <w:lang w:eastAsia="fr-FR"/>
        </w:rPr>
        <w:t xml:space="preserve"> et Insuline IV </w:t>
      </w:r>
    </w:p>
    <w:p w14:paraId="18CD24A6" w14:textId="77777777" w:rsidR="00ED4694" w:rsidRPr="00B15634" w:rsidRDefault="00ED4694" w:rsidP="00ED4694">
      <w:pPr>
        <w:pStyle w:val="Sansinterligne"/>
        <w:jc w:val="both"/>
        <w:rPr>
          <w:rFonts w:ascii="Arial" w:hAnsi="Arial" w:cs="Arial"/>
          <w:sz w:val="20"/>
          <w:szCs w:val="20"/>
          <w:lang w:eastAsia="fr-FR"/>
        </w:rPr>
      </w:pPr>
    </w:p>
    <w:p w14:paraId="1103BFE9" w14:textId="60C1040D"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Signes cliniques DID type 1 : enfants = formes graves</w:t>
      </w:r>
    </w:p>
    <w:p w14:paraId="57E60BAF" w14:textId="77777777" w:rsidR="00ED4694" w:rsidRPr="00B15634" w:rsidRDefault="00ED4694" w:rsidP="00ED4694">
      <w:pPr>
        <w:pStyle w:val="Sansinterligne"/>
        <w:numPr>
          <w:ilvl w:val="0"/>
          <w:numId w:val="137"/>
        </w:numPr>
        <w:jc w:val="both"/>
        <w:rPr>
          <w:rFonts w:ascii="Arial" w:hAnsi="Arial" w:cs="Arial"/>
          <w:sz w:val="20"/>
          <w:szCs w:val="20"/>
          <w:lang w:eastAsia="fr-FR"/>
        </w:rPr>
      </w:pPr>
      <w:r w:rsidRPr="00B15634">
        <w:rPr>
          <w:rFonts w:ascii="Arial" w:hAnsi="Arial" w:cs="Arial"/>
          <w:sz w:val="20"/>
          <w:szCs w:val="20"/>
          <w:lang w:eastAsia="fr-FR"/>
        </w:rPr>
        <w:t xml:space="preserve">Dans 80% des cas le diagnostic de diabète se révèle par une </w:t>
      </w:r>
      <w:r w:rsidRPr="001045C0">
        <w:rPr>
          <w:rFonts w:ascii="Arial" w:hAnsi="Arial" w:cs="Arial"/>
          <w:b/>
          <w:bCs/>
          <w:sz w:val="20"/>
          <w:szCs w:val="20"/>
          <w:lang w:eastAsia="fr-FR"/>
        </w:rPr>
        <w:t>acido cétose</w:t>
      </w:r>
      <w:r w:rsidRPr="00B15634">
        <w:rPr>
          <w:rFonts w:ascii="Arial" w:hAnsi="Arial" w:cs="Arial"/>
          <w:sz w:val="20"/>
          <w:szCs w:val="20"/>
          <w:lang w:eastAsia="fr-FR"/>
        </w:rPr>
        <w:t xml:space="preserve"> (délai moyen de 3 semaines entre les débuts des symptômes et l’acido-cétose) et surtout chez les &lt; 5 ans: </w:t>
      </w:r>
    </w:p>
    <w:p w14:paraId="2F5B21B3" w14:textId="6BD0B4A9" w:rsidR="00ED4694" w:rsidRPr="00B15634" w:rsidRDefault="00ED4694" w:rsidP="00ED4694">
      <w:pPr>
        <w:pStyle w:val="Sansinterligne"/>
        <w:numPr>
          <w:ilvl w:val="0"/>
          <w:numId w:val="137"/>
        </w:numPr>
        <w:jc w:val="both"/>
        <w:rPr>
          <w:rFonts w:ascii="Arial" w:hAnsi="Arial" w:cs="Arial"/>
          <w:sz w:val="20"/>
          <w:szCs w:val="20"/>
          <w:lang w:eastAsia="fr-FR"/>
        </w:rPr>
      </w:pPr>
      <w:r w:rsidRPr="00B15634">
        <w:rPr>
          <w:rFonts w:ascii="Arial" w:hAnsi="Arial" w:cs="Arial"/>
          <w:sz w:val="20"/>
          <w:szCs w:val="20"/>
          <w:lang w:eastAsia="fr-FR"/>
        </w:rPr>
        <w:t xml:space="preserve">Syndrome PP, Asthénie, amaigrissement, polyphagie </w:t>
      </w:r>
    </w:p>
    <w:p w14:paraId="5628A3CC" w14:textId="40AFB5A7" w:rsidR="00ED4694" w:rsidRPr="00B15634" w:rsidRDefault="00ED4694" w:rsidP="00ED4694">
      <w:pPr>
        <w:pStyle w:val="Sansinterligne"/>
        <w:numPr>
          <w:ilvl w:val="0"/>
          <w:numId w:val="137"/>
        </w:numPr>
        <w:jc w:val="both"/>
        <w:rPr>
          <w:rFonts w:ascii="Arial" w:hAnsi="Arial" w:cs="Arial"/>
          <w:sz w:val="20"/>
          <w:szCs w:val="20"/>
          <w:lang w:eastAsia="fr-FR"/>
        </w:rPr>
      </w:pPr>
      <w:r w:rsidRPr="001045C0">
        <w:rPr>
          <w:rFonts w:ascii="Arial" w:hAnsi="Arial" w:cs="Arial"/>
          <w:b/>
          <w:bCs/>
          <w:sz w:val="20"/>
          <w:szCs w:val="20"/>
          <w:lang w:eastAsia="fr-FR"/>
        </w:rPr>
        <w:t>Perte de poids</w:t>
      </w:r>
      <w:r w:rsidRPr="00B15634">
        <w:rPr>
          <w:rFonts w:ascii="Arial" w:hAnsi="Arial" w:cs="Arial"/>
          <w:sz w:val="20"/>
          <w:szCs w:val="20"/>
          <w:lang w:eastAsia="fr-FR"/>
        </w:rPr>
        <w:t xml:space="preserve">, signes de déshydratation </w:t>
      </w:r>
    </w:p>
    <w:p w14:paraId="7020A5CB" w14:textId="77777777" w:rsidR="00ED4694" w:rsidRPr="00B15634" w:rsidRDefault="00ED4694" w:rsidP="00ED4694">
      <w:pPr>
        <w:pStyle w:val="Sansinterligne"/>
        <w:numPr>
          <w:ilvl w:val="0"/>
          <w:numId w:val="137"/>
        </w:numPr>
        <w:jc w:val="both"/>
        <w:rPr>
          <w:rFonts w:ascii="Arial" w:hAnsi="Arial" w:cs="Arial"/>
          <w:sz w:val="20"/>
          <w:szCs w:val="20"/>
          <w:lang w:eastAsia="fr-FR"/>
        </w:rPr>
      </w:pPr>
      <w:r w:rsidRPr="00B15634">
        <w:rPr>
          <w:rFonts w:ascii="Arial" w:hAnsi="Arial" w:cs="Arial"/>
          <w:sz w:val="20"/>
          <w:szCs w:val="20"/>
          <w:lang w:eastAsia="fr-FR"/>
        </w:rPr>
        <w:t xml:space="preserve">Signes digestifs, nausées, vomissements, syndrome pseudo occlusif </w:t>
      </w:r>
    </w:p>
    <w:p w14:paraId="2F855109" w14:textId="77777777" w:rsidR="00ED4694" w:rsidRPr="001045C0" w:rsidRDefault="00ED4694" w:rsidP="00ED4694">
      <w:pPr>
        <w:pStyle w:val="Sansinterligne"/>
        <w:numPr>
          <w:ilvl w:val="0"/>
          <w:numId w:val="137"/>
        </w:numPr>
        <w:jc w:val="both"/>
        <w:rPr>
          <w:rFonts w:ascii="Arial" w:hAnsi="Arial" w:cs="Arial"/>
          <w:b/>
          <w:bCs/>
          <w:sz w:val="20"/>
          <w:szCs w:val="20"/>
          <w:lang w:eastAsia="fr-FR"/>
        </w:rPr>
      </w:pPr>
      <w:r w:rsidRPr="001045C0">
        <w:rPr>
          <w:rFonts w:ascii="Arial" w:hAnsi="Arial" w:cs="Arial"/>
          <w:b/>
          <w:bCs/>
          <w:sz w:val="20"/>
          <w:szCs w:val="20"/>
          <w:lang w:eastAsia="fr-FR"/>
        </w:rPr>
        <w:t xml:space="preserve">Haleine acétonémique </w:t>
      </w:r>
    </w:p>
    <w:p w14:paraId="28829C84" w14:textId="77777777" w:rsidR="00ED4694" w:rsidRPr="00B15634" w:rsidRDefault="00ED4694" w:rsidP="00ED4694">
      <w:pPr>
        <w:pStyle w:val="Sansinterligne"/>
        <w:numPr>
          <w:ilvl w:val="0"/>
          <w:numId w:val="137"/>
        </w:numPr>
        <w:jc w:val="both"/>
        <w:rPr>
          <w:rFonts w:ascii="Arial" w:hAnsi="Arial" w:cs="Arial"/>
          <w:sz w:val="20"/>
          <w:szCs w:val="20"/>
          <w:lang w:eastAsia="fr-FR"/>
        </w:rPr>
      </w:pPr>
      <w:r w:rsidRPr="00B15634">
        <w:rPr>
          <w:rFonts w:ascii="Arial" w:hAnsi="Arial" w:cs="Arial"/>
          <w:sz w:val="20"/>
          <w:szCs w:val="20"/>
          <w:lang w:eastAsia="fr-FR"/>
        </w:rPr>
        <w:t xml:space="preserve">Troubles neurologiques: conscience, somnolence, coma </w:t>
      </w:r>
    </w:p>
    <w:p w14:paraId="35BB2A0D" w14:textId="77777777" w:rsidR="00ED4694" w:rsidRPr="00B15634" w:rsidRDefault="00ED4694" w:rsidP="00ED4694">
      <w:pPr>
        <w:pStyle w:val="Sansinterligne"/>
        <w:jc w:val="both"/>
        <w:rPr>
          <w:rFonts w:ascii="Arial" w:hAnsi="Arial" w:cs="Arial"/>
          <w:sz w:val="20"/>
          <w:szCs w:val="20"/>
          <w:lang w:eastAsia="fr-FR"/>
        </w:rPr>
      </w:pPr>
    </w:p>
    <w:p w14:paraId="6849141B"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Signes cliniques enfants : DID type 1 </w:t>
      </w:r>
    </w:p>
    <w:p w14:paraId="5695326A" w14:textId="77777777" w:rsidR="00ED4694" w:rsidRPr="00B15634" w:rsidRDefault="00ED4694" w:rsidP="00ED4694">
      <w:pPr>
        <w:pStyle w:val="Sansinterligne"/>
        <w:numPr>
          <w:ilvl w:val="0"/>
          <w:numId w:val="138"/>
        </w:numPr>
        <w:jc w:val="both"/>
        <w:rPr>
          <w:rFonts w:ascii="Arial" w:hAnsi="Arial" w:cs="Arial"/>
          <w:sz w:val="20"/>
          <w:szCs w:val="20"/>
          <w:lang w:eastAsia="fr-FR"/>
        </w:rPr>
      </w:pPr>
      <w:r w:rsidRPr="00B15634">
        <w:rPr>
          <w:rFonts w:ascii="Arial" w:hAnsi="Arial" w:cs="Arial"/>
          <w:sz w:val="20"/>
          <w:szCs w:val="20"/>
          <w:lang w:eastAsia="fr-FR"/>
        </w:rPr>
        <w:t xml:space="preserve">Syndrome polyuro </w:t>
      </w:r>
      <w:r w:rsidRPr="001045C0">
        <w:rPr>
          <w:rFonts w:ascii="Arial" w:hAnsi="Arial" w:cs="Arial"/>
          <w:b/>
          <w:bCs/>
          <w:sz w:val="20"/>
          <w:szCs w:val="20"/>
          <w:lang w:eastAsia="fr-FR"/>
        </w:rPr>
        <w:t>polydypsique</w:t>
      </w:r>
      <w:r w:rsidRPr="00B15634">
        <w:rPr>
          <w:rFonts w:ascii="Arial" w:hAnsi="Arial" w:cs="Arial"/>
          <w:sz w:val="20"/>
          <w:szCs w:val="20"/>
          <w:lang w:eastAsia="fr-FR"/>
        </w:rPr>
        <w:t xml:space="preserve"> (PP) (soif, boire beaucoup, urine souvent) </w:t>
      </w:r>
    </w:p>
    <w:p w14:paraId="34BBE7D9" w14:textId="77777777" w:rsidR="00ED4694" w:rsidRPr="00B15634" w:rsidRDefault="00ED4694" w:rsidP="00ED4694">
      <w:pPr>
        <w:pStyle w:val="Sansinterligne"/>
        <w:numPr>
          <w:ilvl w:val="0"/>
          <w:numId w:val="138"/>
        </w:numPr>
        <w:jc w:val="both"/>
        <w:rPr>
          <w:rFonts w:ascii="Arial" w:hAnsi="Arial" w:cs="Arial"/>
          <w:sz w:val="20"/>
          <w:szCs w:val="20"/>
          <w:lang w:eastAsia="fr-FR"/>
        </w:rPr>
      </w:pPr>
      <w:r w:rsidRPr="00B15634">
        <w:rPr>
          <w:rFonts w:ascii="Arial" w:hAnsi="Arial" w:cs="Arial"/>
          <w:sz w:val="20"/>
          <w:szCs w:val="20"/>
          <w:lang w:eastAsia="fr-FR"/>
        </w:rPr>
        <w:t xml:space="preserve">Attention à un enfant devenu « propre » et qui refait pipi au lit (énurésie nocturne) </w:t>
      </w:r>
    </w:p>
    <w:p w14:paraId="27BA336B" w14:textId="77777777" w:rsidR="00ED4694" w:rsidRPr="00B15634" w:rsidRDefault="00ED4694" w:rsidP="00ED4694">
      <w:pPr>
        <w:pStyle w:val="Sansinterligne"/>
        <w:numPr>
          <w:ilvl w:val="0"/>
          <w:numId w:val="138"/>
        </w:numPr>
        <w:jc w:val="both"/>
        <w:rPr>
          <w:rFonts w:ascii="Arial" w:hAnsi="Arial" w:cs="Arial"/>
          <w:sz w:val="20"/>
          <w:szCs w:val="20"/>
          <w:lang w:eastAsia="fr-FR"/>
        </w:rPr>
      </w:pPr>
      <w:r w:rsidRPr="00B15634">
        <w:rPr>
          <w:rFonts w:ascii="Arial" w:hAnsi="Arial" w:cs="Arial"/>
          <w:sz w:val="20"/>
          <w:szCs w:val="20"/>
          <w:lang w:eastAsia="fr-FR"/>
        </w:rPr>
        <w:t xml:space="preserve">Attention à un enfant qui </w:t>
      </w:r>
      <w:r w:rsidRPr="001045C0">
        <w:rPr>
          <w:rFonts w:ascii="Arial" w:hAnsi="Arial" w:cs="Arial"/>
          <w:b/>
          <w:bCs/>
          <w:sz w:val="20"/>
          <w:szCs w:val="20"/>
          <w:lang w:eastAsia="fr-FR"/>
        </w:rPr>
        <w:t>maigrit</w:t>
      </w:r>
      <w:r w:rsidRPr="00B15634">
        <w:rPr>
          <w:rFonts w:ascii="Arial" w:hAnsi="Arial" w:cs="Arial"/>
          <w:sz w:val="20"/>
          <w:szCs w:val="20"/>
          <w:lang w:eastAsia="fr-FR"/>
        </w:rPr>
        <w:t xml:space="preserve"> rapidement (« anorexie ») </w:t>
      </w:r>
    </w:p>
    <w:p w14:paraId="2D536391" w14:textId="77777777" w:rsidR="00ED4694" w:rsidRPr="00B15634" w:rsidRDefault="00ED4694" w:rsidP="00ED4694">
      <w:pPr>
        <w:pStyle w:val="Sansinterligne"/>
        <w:numPr>
          <w:ilvl w:val="0"/>
          <w:numId w:val="138"/>
        </w:numPr>
        <w:jc w:val="both"/>
        <w:rPr>
          <w:rFonts w:ascii="Arial" w:hAnsi="Arial" w:cs="Arial"/>
          <w:sz w:val="20"/>
          <w:szCs w:val="20"/>
          <w:lang w:eastAsia="fr-FR"/>
        </w:rPr>
      </w:pPr>
      <w:r w:rsidRPr="00B15634">
        <w:rPr>
          <w:rFonts w:ascii="Arial" w:hAnsi="Arial" w:cs="Arial"/>
          <w:sz w:val="20"/>
          <w:szCs w:val="20"/>
          <w:lang w:eastAsia="fr-FR"/>
        </w:rPr>
        <w:t xml:space="preserve">Attention à un enfant obèse qui maigrit </w:t>
      </w:r>
    </w:p>
    <w:p w14:paraId="731F8764" w14:textId="77777777" w:rsidR="00ED4694" w:rsidRPr="00B15634" w:rsidRDefault="00ED4694" w:rsidP="00ED4694">
      <w:pPr>
        <w:pStyle w:val="Sansinterligne"/>
        <w:jc w:val="both"/>
        <w:rPr>
          <w:rFonts w:ascii="Arial" w:hAnsi="Arial" w:cs="Arial"/>
          <w:sz w:val="20"/>
          <w:szCs w:val="20"/>
          <w:lang w:eastAsia="fr-FR"/>
        </w:rPr>
      </w:pPr>
    </w:p>
    <w:p w14:paraId="1B99FFBE"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Cas clinique enfant :</w:t>
      </w:r>
    </w:p>
    <w:p w14:paraId="7DF4CB99" w14:textId="77777777" w:rsidR="00ED4694" w:rsidRPr="00B15634" w:rsidRDefault="00ED4694" w:rsidP="00ED4694">
      <w:pPr>
        <w:pStyle w:val="Sansinterligne"/>
        <w:numPr>
          <w:ilvl w:val="0"/>
          <w:numId w:val="139"/>
        </w:numPr>
        <w:jc w:val="both"/>
        <w:rPr>
          <w:rFonts w:ascii="Arial" w:hAnsi="Arial" w:cs="Arial"/>
          <w:sz w:val="20"/>
          <w:szCs w:val="20"/>
          <w:lang w:eastAsia="fr-FR"/>
        </w:rPr>
      </w:pPr>
      <w:r w:rsidRPr="00B15634">
        <w:rPr>
          <w:rFonts w:ascii="Arial" w:hAnsi="Arial" w:cs="Arial"/>
          <w:sz w:val="20"/>
          <w:szCs w:val="20"/>
          <w:lang w:eastAsia="fr-FR"/>
        </w:rPr>
        <w:t xml:space="preserve">Enfant de 5 ans consulte le pédiatre pour « fatigue » et douleurs abdominales. Refait pipi la nuit. </w:t>
      </w:r>
    </w:p>
    <w:p w14:paraId="3333B9E6" w14:textId="77777777" w:rsidR="00ED4694" w:rsidRPr="00B15634" w:rsidRDefault="00ED4694" w:rsidP="00ED4694">
      <w:pPr>
        <w:pStyle w:val="Sansinterligne"/>
        <w:numPr>
          <w:ilvl w:val="0"/>
          <w:numId w:val="139"/>
        </w:numPr>
        <w:jc w:val="both"/>
        <w:rPr>
          <w:rFonts w:ascii="Arial" w:hAnsi="Arial" w:cs="Arial"/>
          <w:sz w:val="20"/>
          <w:szCs w:val="20"/>
          <w:lang w:eastAsia="fr-FR"/>
        </w:rPr>
      </w:pPr>
      <w:r w:rsidRPr="00B15634">
        <w:rPr>
          <w:rFonts w:ascii="Arial" w:hAnsi="Arial" w:cs="Arial"/>
          <w:sz w:val="20"/>
          <w:szCs w:val="20"/>
          <w:lang w:eastAsia="fr-FR"/>
        </w:rPr>
        <w:t xml:space="preserve">A l’examen clinique, discrète perte de poids récente. A l’interrogatoire, « elle a soif » et boit plus qu’avant. </w:t>
      </w:r>
    </w:p>
    <w:p w14:paraId="626F7635" w14:textId="77777777" w:rsidR="00ED4694" w:rsidRPr="00B15634" w:rsidRDefault="00ED4694" w:rsidP="00ED4694">
      <w:pPr>
        <w:pStyle w:val="Sansinterligne"/>
        <w:numPr>
          <w:ilvl w:val="0"/>
          <w:numId w:val="139"/>
        </w:numPr>
        <w:jc w:val="both"/>
        <w:rPr>
          <w:rFonts w:ascii="Arial" w:hAnsi="Arial" w:cs="Arial"/>
          <w:sz w:val="20"/>
          <w:szCs w:val="20"/>
          <w:lang w:eastAsia="fr-FR"/>
        </w:rPr>
      </w:pPr>
      <w:r w:rsidRPr="00B15634">
        <w:rPr>
          <w:rFonts w:ascii="Arial" w:hAnsi="Arial" w:cs="Arial"/>
          <w:sz w:val="20"/>
          <w:szCs w:val="20"/>
          <w:lang w:eastAsia="fr-FR"/>
        </w:rPr>
        <w:t xml:space="preserve">BU faite au cabinet: Glucose ++ et Cétonurie +. Hospitalisation pour prise en charge. </w:t>
      </w:r>
    </w:p>
    <w:p w14:paraId="6916BE4C" w14:textId="77777777" w:rsidR="00ED4694" w:rsidRPr="00B15634" w:rsidRDefault="00ED4694" w:rsidP="00ED4694">
      <w:pPr>
        <w:pStyle w:val="Sansinterligne"/>
        <w:jc w:val="both"/>
        <w:rPr>
          <w:rFonts w:ascii="Arial" w:hAnsi="Arial" w:cs="Arial"/>
          <w:sz w:val="20"/>
          <w:szCs w:val="20"/>
          <w:lang w:eastAsia="fr-FR"/>
        </w:rPr>
      </w:pPr>
    </w:p>
    <w:p w14:paraId="288F4ACB" w14:textId="77777777" w:rsidR="00ED4694" w:rsidRPr="00B15634" w:rsidRDefault="00ED4694" w:rsidP="00ED4694">
      <w:pPr>
        <w:pStyle w:val="Sansinterligne"/>
        <w:jc w:val="center"/>
        <w:rPr>
          <w:rFonts w:ascii="Arial" w:hAnsi="Arial" w:cs="Arial"/>
          <w:sz w:val="20"/>
          <w:szCs w:val="20"/>
          <w:lang w:eastAsia="fr-FR"/>
        </w:rPr>
      </w:pPr>
      <w:r w:rsidRPr="00B15634">
        <w:rPr>
          <w:rFonts w:ascii="Arial" w:hAnsi="Arial" w:cs="Arial"/>
          <w:noProof/>
          <w:sz w:val="20"/>
          <w:szCs w:val="20"/>
          <w:lang w:eastAsia="fr-FR"/>
        </w:rPr>
        <w:lastRenderedPageBreak/>
        <w:drawing>
          <wp:inline distT="0" distB="0" distL="0" distR="0" wp14:anchorId="56C9BB06" wp14:editId="1418C427">
            <wp:extent cx="4130883" cy="2790497"/>
            <wp:effectExtent l="0" t="0" r="0" b="3810"/>
            <wp:docPr id="13763707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70730" name=""/>
                    <pic:cNvPicPr/>
                  </pic:nvPicPr>
                  <pic:blipFill>
                    <a:blip r:embed="rId62"/>
                    <a:stretch>
                      <a:fillRect/>
                    </a:stretch>
                  </pic:blipFill>
                  <pic:spPr>
                    <a:xfrm>
                      <a:off x="0" y="0"/>
                      <a:ext cx="4147845" cy="2801955"/>
                    </a:xfrm>
                    <a:prstGeom prst="rect">
                      <a:avLst/>
                    </a:prstGeom>
                  </pic:spPr>
                </pic:pic>
              </a:graphicData>
            </a:graphic>
          </wp:inline>
        </w:drawing>
      </w:r>
    </w:p>
    <w:p w14:paraId="1C3517C7"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Complications chroniques du diabète en général </w:t>
      </w:r>
    </w:p>
    <w:p w14:paraId="3BDDF274" w14:textId="77777777" w:rsidR="00ED4694" w:rsidRPr="00B15634" w:rsidRDefault="00ED4694" w:rsidP="00ED4694">
      <w:pPr>
        <w:pStyle w:val="Sansinterligne"/>
        <w:jc w:val="center"/>
        <w:rPr>
          <w:rFonts w:ascii="Arial" w:hAnsi="Arial" w:cs="Arial"/>
          <w:sz w:val="20"/>
          <w:szCs w:val="20"/>
          <w:lang w:eastAsia="fr-FR"/>
        </w:rPr>
      </w:pPr>
      <w:r w:rsidRPr="00B15634">
        <w:rPr>
          <w:rFonts w:ascii="Arial" w:hAnsi="Arial" w:cs="Arial"/>
          <w:noProof/>
          <w:sz w:val="20"/>
          <w:szCs w:val="20"/>
          <w:lang w:eastAsia="fr-FR"/>
        </w:rPr>
        <w:drawing>
          <wp:anchor distT="0" distB="0" distL="114300" distR="114300" simplePos="0" relativeHeight="251693056" behindDoc="1" locked="0" layoutInCell="1" allowOverlap="1" wp14:anchorId="1529C005" wp14:editId="7DB84DF7">
            <wp:simplePos x="0" y="0"/>
            <wp:positionH relativeFrom="column">
              <wp:posOffset>4009390</wp:posOffset>
            </wp:positionH>
            <wp:positionV relativeFrom="paragraph">
              <wp:posOffset>265339</wp:posOffset>
            </wp:positionV>
            <wp:extent cx="2680335" cy="1862455"/>
            <wp:effectExtent l="0" t="0" r="0" b="4445"/>
            <wp:wrapTight wrapText="bothSides">
              <wp:wrapPolygon edited="0">
                <wp:start x="0" y="0"/>
                <wp:lineTo x="0" y="21504"/>
                <wp:lineTo x="21493" y="21504"/>
                <wp:lineTo x="21493" y="0"/>
                <wp:lineTo x="0" y="0"/>
              </wp:wrapPolygon>
            </wp:wrapTight>
            <wp:docPr id="760498301" name="Image 42" descr="page27image55887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age27image5588744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80335" cy="1862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noProof/>
          <w:sz w:val="20"/>
          <w:szCs w:val="20"/>
          <w:lang w:eastAsia="fr-FR"/>
        </w:rPr>
        <w:drawing>
          <wp:anchor distT="0" distB="0" distL="114300" distR="114300" simplePos="0" relativeHeight="251694080" behindDoc="1" locked="0" layoutInCell="1" allowOverlap="1" wp14:anchorId="2293E7E1" wp14:editId="1F3372D7">
            <wp:simplePos x="0" y="0"/>
            <wp:positionH relativeFrom="column">
              <wp:posOffset>-62654</wp:posOffset>
            </wp:positionH>
            <wp:positionV relativeFrom="paragraph">
              <wp:posOffset>126718</wp:posOffset>
            </wp:positionV>
            <wp:extent cx="3991310" cy="2210361"/>
            <wp:effectExtent l="0" t="0" r="0" b="0"/>
            <wp:wrapTight wrapText="bothSides">
              <wp:wrapPolygon edited="0">
                <wp:start x="0" y="0"/>
                <wp:lineTo x="0" y="21476"/>
                <wp:lineTo x="21514" y="21476"/>
                <wp:lineTo x="21514" y="0"/>
                <wp:lineTo x="0" y="0"/>
              </wp:wrapPolygon>
            </wp:wrapTight>
            <wp:docPr id="16981796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179682"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991310" cy="2210361"/>
                    </a:xfrm>
                    <a:prstGeom prst="rect">
                      <a:avLst/>
                    </a:prstGeom>
                  </pic:spPr>
                </pic:pic>
              </a:graphicData>
            </a:graphic>
            <wp14:sizeRelH relativeFrom="page">
              <wp14:pctWidth>0</wp14:pctWidth>
            </wp14:sizeRelH>
            <wp14:sizeRelV relativeFrom="page">
              <wp14:pctHeight>0</wp14:pctHeight>
            </wp14:sizeRelV>
          </wp:anchor>
        </w:drawing>
      </w:r>
    </w:p>
    <w:p w14:paraId="4CAB18B8"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fldChar w:fldCharType="begin"/>
      </w:r>
      <w:r w:rsidRPr="00B15634">
        <w:rPr>
          <w:rFonts w:ascii="Arial" w:hAnsi="Arial" w:cs="Arial"/>
          <w:sz w:val="20"/>
          <w:szCs w:val="20"/>
          <w:lang w:eastAsia="fr-FR"/>
        </w:rPr>
        <w:instrText xml:space="preserve"> INCLUDEPICTURE "/Users/alienorprudhomme/Library/Group Containers/UBF8T346G9.ms/WebArchiveCopyPasteTempFiles/com.microsoft.Word/page27image558874416" \* MERGEFORMATINET </w:instrText>
      </w:r>
      <w:r w:rsidRPr="00B15634">
        <w:rPr>
          <w:rFonts w:ascii="Arial" w:hAnsi="Arial" w:cs="Arial"/>
          <w:sz w:val="20"/>
          <w:szCs w:val="20"/>
          <w:lang w:eastAsia="fr-FR"/>
        </w:rPr>
        <w:fldChar w:fldCharType="separate"/>
      </w:r>
      <w:r w:rsidRPr="00B15634">
        <w:rPr>
          <w:rFonts w:ascii="Arial" w:hAnsi="Arial" w:cs="Arial"/>
          <w:sz w:val="20"/>
          <w:szCs w:val="20"/>
          <w:lang w:eastAsia="fr-FR"/>
        </w:rPr>
        <w:fldChar w:fldCharType="end"/>
      </w:r>
    </w:p>
    <w:p w14:paraId="5AE016BF"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La gastroparésie diabétique : </w:t>
      </w:r>
    </w:p>
    <w:p w14:paraId="61D5774D"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la satiété précoce conduisant à la limite de la prise alimentaire orale (60%) </w:t>
      </w:r>
    </w:p>
    <w:p w14:paraId="554E9D9D"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les sensations de dilatation ou de ballonnement de l'estomac (75%) </w:t>
      </w:r>
    </w:p>
    <w:p w14:paraId="4401654E"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le reflux gastro-oesophagien pouvant se compliquer d’oesophagite (46%) </w:t>
      </w:r>
    </w:p>
    <w:p w14:paraId="04982FF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les nausées (92%) et les vomissements postprandiaux (84%) </w:t>
      </w:r>
    </w:p>
    <w:p w14:paraId="5D73D26B" w14:textId="77777777" w:rsidR="00ED4694" w:rsidRPr="00B15634" w:rsidRDefault="00ED4694" w:rsidP="00ED4694">
      <w:pPr>
        <w:pStyle w:val="Sansinterligne"/>
        <w:jc w:val="both"/>
        <w:rPr>
          <w:rFonts w:ascii="Arial" w:hAnsi="Arial" w:cs="Arial"/>
          <w:sz w:val="20"/>
          <w:szCs w:val="20"/>
          <w:lang w:eastAsia="fr-FR"/>
        </w:rPr>
      </w:pPr>
    </w:p>
    <w:p w14:paraId="3F5C309B"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3 complications à long terme : </w:t>
      </w:r>
    </w:p>
    <w:p w14:paraId="4EC18D10" w14:textId="77777777" w:rsidR="00ED4694" w:rsidRPr="00B15634" w:rsidRDefault="00ED4694" w:rsidP="00ED4694">
      <w:pPr>
        <w:pStyle w:val="Sansinterligne"/>
        <w:numPr>
          <w:ilvl w:val="0"/>
          <w:numId w:val="139"/>
        </w:numPr>
        <w:jc w:val="both"/>
        <w:rPr>
          <w:rFonts w:ascii="Arial" w:hAnsi="Arial" w:cs="Arial"/>
          <w:b/>
          <w:bCs/>
          <w:sz w:val="20"/>
          <w:szCs w:val="20"/>
          <w:lang w:eastAsia="fr-FR"/>
        </w:rPr>
      </w:pPr>
      <w:r w:rsidRPr="00B15634">
        <w:rPr>
          <w:rFonts w:ascii="Arial" w:hAnsi="Arial" w:cs="Arial"/>
          <w:b/>
          <w:bCs/>
          <w:sz w:val="20"/>
          <w:szCs w:val="20"/>
          <w:lang w:eastAsia="fr-FR"/>
        </w:rPr>
        <w:t>Neuropathie</w:t>
      </w:r>
      <w:r w:rsidRPr="00B15634">
        <w:rPr>
          <w:rFonts w:ascii="Arial" w:hAnsi="Arial" w:cs="Arial"/>
          <w:sz w:val="20"/>
          <w:szCs w:val="20"/>
          <w:lang w:eastAsia="fr-FR"/>
        </w:rPr>
        <w:t xml:space="preserve"> : complication fréquente (55%) du DT1 et 2 : </w:t>
      </w:r>
      <w:r w:rsidRPr="00B15634">
        <w:rPr>
          <w:rFonts w:ascii="Arial" w:hAnsi="Arial" w:cs="Arial"/>
          <w:b/>
          <w:bCs/>
          <w:sz w:val="20"/>
          <w:szCs w:val="20"/>
          <w:lang w:eastAsia="fr-FR"/>
        </w:rPr>
        <w:t xml:space="preserve">perte de sensibilité au chaud/froid, au toucher, à la douleur et perte de sensibilité profonde à l'origine de zones de pressions anormales </w:t>
      </w:r>
    </w:p>
    <w:p w14:paraId="724D8816" w14:textId="77777777" w:rsidR="00ED4694" w:rsidRPr="00B15634" w:rsidRDefault="00ED4694" w:rsidP="00ED4694">
      <w:pPr>
        <w:pStyle w:val="Sansinterligne"/>
        <w:numPr>
          <w:ilvl w:val="0"/>
          <w:numId w:val="139"/>
        </w:numPr>
        <w:jc w:val="both"/>
        <w:rPr>
          <w:rFonts w:ascii="Arial" w:hAnsi="Arial" w:cs="Arial"/>
          <w:b/>
          <w:bCs/>
          <w:sz w:val="20"/>
          <w:szCs w:val="20"/>
          <w:lang w:eastAsia="fr-FR"/>
        </w:rPr>
      </w:pPr>
      <w:r w:rsidRPr="00B15634">
        <w:rPr>
          <w:rFonts w:ascii="Arial" w:hAnsi="Arial" w:cs="Arial"/>
          <w:b/>
          <w:bCs/>
          <w:sz w:val="20"/>
          <w:szCs w:val="20"/>
          <w:lang w:eastAsia="fr-FR"/>
        </w:rPr>
        <w:t>Rétinopathie :</w:t>
      </w:r>
      <w:r w:rsidRPr="00B15634">
        <w:rPr>
          <w:rFonts w:ascii="Arial" w:hAnsi="Arial" w:cs="Arial"/>
          <w:sz w:val="20"/>
          <w:szCs w:val="20"/>
          <w:lang w:eastAsia="fr-FR"/>
        </w:rPr>
        <w:t xml:space="preserve"> peut conduire </w:t>
      </w:r>
      <w:r w:rsidRPr="00B15634">
        <w:rPr>
          <w:rFonts w:ascii="Arial" w:hAnsi="Arial" w:cs="Arial"/>
          <w:b/>
          <w:bCs/>
          <w:sz w:val="20"/>
          <w:szCs w:val="20"/>
          <w:lang w:eastAsia="fr-FR"/>
        </w:rPr>
        <w:t>cécité</w:t>
      </w:r>
      <w:r w:rsidRPr="00B15634">
        <w:rPr>
          <w:rFonts w:ascii="Arial" w:hAnsi="Arial" w:cs="Arial"/>
          <w:sz w:val="20"/>
          <w:szCs w:val="20"/>
          <w:lang w:eastAsia="fr-FR"/>
        </w:rPr>
        <w:t xml:space="preserve">. Diagnostic par un fond de l’œil que seul un ophtalmo peut réaliser. </w:t>
      </w:r>
    </w:p>
    <w:p w14:paraId="236A95B3" w14:textId="77777777" w:rsidR="00ED4694" w:rsidRPr="00B15634" w:rsidRDefault="00ED4694" w:rsidP="00ED4694">
      <w:pPr>
        <w:pStyle w:val="Sansinterligne"/>
        <w:jc w:val="center"/>
        <w:rPr>
          <w:rFonts w:ascii="Arial" w:hAnsi="Arial" w:cs="Arial"/>
          <w:b/>
          <w:bCs/>
          <w:sz w:val="20"/>
          <w:szCs w:val="20"/>
          <w:lang w:eastAsia="fr-FR"/>
        </w:rPr>
      </w:pPr>
      <w:r w:rsidRPr="00B15634">
        <w:rPr>
          <w:rFonts w:ascii="Arial" w:hAnsi="Arial" w:cs="Arial"/>
          <w:noProof/>
          <w:sz w:val="20"/>
          <w:szCs w:val="20"/>
          <w:lang w:eastAsia="fr-FR"/>
        </w:rPr>
        <w:drawing>
          <wp:inline distT="0" distB="0" distL="0" distR="0" wp14:anchorId="13C95C41" wp14:editId="2EE4DB4B">
            <wp:extent cx="2865374" cy="1696070"/>
            <wp:effectExtent l="0" t="0" r="5080" b="6350"/>
            <wp:docPr id="10960038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03823" name=""/>
                    <pic:cNvPicPr/>
                  </pic:nvPicPr>
                  <pic:blipFill>
                    <a:blip r:embed="rId65"/>
                    <a:stretch>
                      <a:fillRect/>
                    </a:stretch>
                  </pic:blipFill>
                  <pic:spPr>
                    <a:xfrm>
                      <a:off x="0" y="0"/>
                      <a:ext cx="2896927" cy="1714747"/>
                    </a:xfrm>
                    <a:prstGeom prst="rect">
                      <a:avLst/>
                    </a:prstGeom>
                  </pic:spPr>
                </pic:pic>
              </a:graphicData>
            </a:graphic>
          </wp:inline>
        </w:drawing>
      </w:r>
    </w:p>
    <w:p w14:paraId="4AFDC879" w14:textId="77777777" w:rsidR="00ED4694" w:rsidRPr="00B15634" w:rsidRDefault="00ED4694" w:rsidP="00ED4694">
      <w:pPr>
        <w:pStyle w:val="Sansinterligne"/>
        <w:jc w:val="both"/>
        <w:rPr>
          <w:rFonts w:ascii="Arial" w:hAnsi="Arial" w:cs="Arial"/>
          <w:b/>
          <w:bCs/>
          <w:sz w:val="20"/>
          <w:szCs w:val="20"/>
          <w:lang w:eastAsia="fr-FR"/>
        </w:rPr>
      </w:pPr>
    </w:p>
    <w:p w14:paraId="050098A3" w14:textId="77777777" w:rsidR="00ED4694" w:rsidRPr="00B15634" w:rsidRDefault="00ED4694" w:rsidP="00ED4694">
      <w:pPr>
        <w:pStyle w:val="Sansinterligne"/>
        <w:numPr>
          <w:ilvl w:val="0"/>
          <w:numId w:val="139"/>
        </w:numPr>
        <w:jc w:val="both"/>
        <w:rPr>
          <w:rFonts w:ascii="Arial" w:hAnsi="Arial" w:cs="Arial"/>
          <w:b/>
          <w:bCs/>
          <w:sz w:val="20"/>
          <w:szCs w:val="20"/>
          <w:lang w:eastAsia="fr-FR"/>
        </w:rPr>
      </w:pPr>
      <w:r w:rsidRPr="00B15634">
        <w:rPr>
          <w:rFonts w:ascii="Arial" w:hAnsi="Arial" w:cs="Arial"/>
          <w:b/>
          <w:bCs/>
          <w:sz w:val="20"/>
          <w:szCs w:val="20"/>
          <w:lang w:eastAsia="fr-FR"/>
        </w:rPr>
        <w:t>Pied diabétique</w:t>
      </w:r>
      <w:r w:rsidRPr="00B15634">
        <w:rPr>
          <w:rFonts w:ascii="Arial" w:hAnsi="Arial" w:cs="Arial"/>
          <w:sz w:val="20"/>
          <w:szCs w:val="20"/>
          <w:lang w:eastAsia="fr-FR"/>
        </w:rPr>
        <w:t xml:space="preserve"> : conséquences de </w:t>
      </w:r>
      <w:r w:rsidRPr="00B15634">
        <w:rPr>
          <w:rFonts w:ascii="Arial" w:hAnsi="Arial" w:cs="Arial"/>
          <w:b/>
          <w:bCs/>
          <w:sz w:val="20"/>
          <w:szCs w:val="20"/>
          <w:lang w:eastAsia="fr-FR"/>
        </w:rPr>
        <w:t>neuropathie, macro-angiopathie et micro-angiopathie</w:t>
      </w:r>
      <w:r w:rsidRPr="00B15634">
        <w:rPr>
          <w:rFonts w:ascii="Arial" w:hAnsi="Arial" w:cs="Arial"/>
          <w:sz w:val="20"/>
          <w:szCs w:val="20"/>
          <w:lang w:eastAsia="fr-FR"/>
        </w:rPr>
        <w:t xml:space="preserve">. Ces plaies peuvent être aggravées par </w:t>
      </w:r>
      <w:r w:rsidRPr="00B15634">
        <w:rPr>
          <w:rFonts w:ascii="Arial" w:hAnsi="Arial" w:cs="Arial"/>
          <w:b/>
          <w:bCs/>
          <w:sz w:val="20"/>
          <w:szCs w:val="20"/>
          <w:lang w:eastAsia="fr-FR"/>
        </w:rPr>
        <w:t>l’infection et l’appui</w:t>
      </w:r>
      <w:r w:rsidRPr="00B15634">
        <w:rPr>
          <w:rFonts w:ascii="Arial" w:hAnsi="Arial" w:cs="Arial"/>
          <w:sz w:val="20"/>
          <w:szCs w:val="20"/>
          <w:lang w:eastAsia="fr-FR"/>
        </w:rPr>
        <w:t xml:space="preserve">. Tous les ans, 10.000 à 15.000 diabétiques doivent subir une </w:t>
      </w:r>
      <w:r w:rsidRPr="00B15634">
        <w:rPr>
          <w:rFonts w:ascii="Arial" w:hAnsi="Arial" w:cs="Arial"/>
          <w:b/>
          <w:bCs/>
          <w:sz w:val="20"/>
          <w:szCs w:val="20"/>
          <w:lang w:eastAsia="fr-FR"/>
        </w:rPr>
        <w:t>amputation</w:t>
      </w:r>
      <w:r w:rsidRPr="00B15634">
        <w:rPr>
          <w:rFonts w:ascii="Arial" w:hAnsi="Arial" w:cs="Arial"/>
          <w:sz w:val="20"/>
          <w:szCs w:val="20"/>
          <w:lang w:eastAsia="fr-FR"/>
        </w:rPr>
        <w:t xml:space="preserve"> d’un orteil, du pied voire de la jambe soit un risque d’amputation des membres inférieurs</w:t>
      </w:r>
      <w:r w:rsidRPr="00B15634">
        <w:rPr>
          <w:rFonts w:ascii="Arial" w:hAnsi="Arial" w:cs="Arial"/>
          <w:b/>
          <w:bCs/>
          <w:sz w:val="20"/>
          <w:szCs w:val="20"/>
          <w:lang w:eastAsia="fr-FR"/>
        </w:rPr>
        <w:t xml:space="preserve"> </w:t>
      </w:r>
      <w:r w:rsidRPr="00B15634">
        <w:rPr>
          <w:rFonts w:ascii="Arial" w:hAnsi="Arial" w:cs="Arial"/>
          <w:sz w:val="20"/>
          <w:szCs w:val="20"/>
          <w:lang w:eastAsia="fr-FR"/>
        </w:rPr>
        <w:t xml:space="preserve">10 à 15 fois plus élevé que chez un sujet non diabétique. </w:t>
      </w:r>
    </w:p>
    <w:p w14:paraId="02EC4E0E" w14:textId="77777777" w:rsidR="00ED4694" w:rsidRPr="00B15634" w:rsidRDefault="00ED4694" w:rsidP="00ED4694">
      <w:pPr>
        <w:pStyle w:val="Sansinterligne"/>
        <w:jc w:val="center"/>
        <w:rPr>
          <w:rFonts w:ascii="Arial" w:hAnsi="Arial" w:cs="Arial"/>
          <w:b/>
          <w:bCs/>
          <w:sz w:val="20"/>
          <w:szCs w:val="20"/>
          <w:lang w:eastAsia="fr-FR"/>
        </w:rPr>
      </w:pPr>
      <w:r w:rsidRPr="00B15634">
        <w:rPr>
          <w:rFonts w:ascii="Arial" w:hAnsi="Arial" w:cs="Arial"/>
          <w:b/>
          <w:bCs/>
          <w:noProof/>
          <w:sz w:val="20"/>
          <w:szCs w:val="20"/>
          <w:lang w:eastAsia="fr-FR"/>
        </w:rPr>
        <w:lastRenderedPageBreak/>
        <w:drawing>
          <wp:inline distT="0" distB="0" distL="0" distR="0" wp14:anchorId="1CBD9022" wp14:editId="2F4F318F">
            <wp:extent cx="2249703" cy="1750742"/>
            <wp:effectExtent l="0" t="0" r="0" b="1905"/>
            <wp:docPr id="20935985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98571" name=""/>
                    <pic:cNvPicPr/>
                  </pic:nvPicPr>
                  <pic:blipFill>
                    <a:blip r:embed="rId66"/>
                    <a:stretch>
                      <a:fillRect/>
                    </a:stretch>
                  </pic:blipFill>
                  <pic:spPr>
                    <a:xfrm>
                      <a:off x="0" y="0"/>
                      <a:ext cx="2274918" cy="1770365"/>
                    </a:xfrm>
                    <a:prstGeom prst="rect">
                      <a:avLst/>
                    </a:prstGeom>
                  </pic:spPr>
                </pic:pic>
              </a:graphicData>
            </a:graphic>
          </wp:inline>
        </w:drawing>
      </w:r>
    </w:p>
    <w:p w14:paraId="3E7B2256" w14:textId="77777777" w:rsidR="00ED4694" w:rsidRPr="00B15634" w:rsidRDefault="00ED4694" w:rsidP="00ED4694">
      <w:pPr>
        <w:pStyle w:val="Sansinterligne"/>
        <w:jc w:val="both"/>
        <w:rPr>
          <w:rFonts w:ascii="Arial" w:hAnsi="Arial" w:cs="Arial"/>
          <w:b/>
          <w:bCs/>
          <w:sz w:val="20"/>
          <w:szCs w:val="20"/>
          <w:lang w:eastAsia="fr-FR"/>
        </w:rPr>
      </w:pPr>
    </w:p>
    <w:p w14:paraId="14E12061" w14:textId="77777777" w:rsidR="00ED4694" w:rsidRPr="00B15634" w:rsidRDefault="00ED4694" w:rsidP="00ED4694">
      <w:pPr>
        <w:pStyle w:val="Sansinterligne"/>
        <w:jc w:val="center"/>
        <w:rPr>
          <w:rFonts w:ascii="Arial" w:hAnsi="Arial" w:cs="Arial"/>
          <w:sz w:val="20"/>
          <w:szCs w:val="20"/>
          <w:lang w:eastAsia="fr-FR"/>
        </w:rPr>
      </w:pPr>
      <w:r w:rsidRPr="00B15634">
        <w:rPr>
          <w:rFonts w:ascii="Arial" w:hAnsi="Arial" w:cs="Arial"/>
          <w:sz w:val="20"/>
          <w:szCs w:val="20"/>
          <w:lang w:eastAsia="fr-FR"/>
        </w:rPr>
        <w:fldChar w:fldCharType="begin"/>
      </w:r>
      <w:r w:rsidRPr="00B15634">
        <w:rPr>
          <w:rFonts w:ascii="Arial" w:hAnsi="Arial" w:cs="Arial"/>
          <w:sz w:val="20"/>
          <w:szCs w:val="20"/>
          <w:lang w:eastAsia="fr-FR"/>
        </w:rPr>
        <w:instrText xml:space="preserve"> INCLUDEPICTURE "/Users/alienorprudhomme/Library/Group Containers/UBF8T346G9.ms/WebArchiveCopyPasteTempFiles/com.microsoft.Word/page31image546007088" \* MERGEFORMATINET </w:instrText>
      </w:r>
      <w:r w:rsidRPr="00B15634">
        <w:rPr>
          <w:rFonts w:ascii="Arial" w:hAnsi="Arial" w:cs="Arial"/>
          <w:sz w:val="20"/>
          <w:szCs w:val="20"/>
          <w:lang w:eastAsia="fr-FR"/>
        </w:rPr>
        <w:fldChar w:fldCharType="separate"/>
      </w:r>
      <w:r w:rsidRPr="00B15634">
        <w:rPr>
          <w:rFonts w:ascii="Arial" w:hAnsi="Arial" w:cs="Arial"/>
          <w:noProof/>
          <w:sz w:val="20"/>
          <w:szCs w:val="20"/>
          <w:lang w:eastAsia="fr-FR"/>
        </w:rPr>
        <w:drawing>
          <wp:inline distT="0" distB="0" distL="0" distR="0" wp14:anchorId="0C2D0030" wp14:editId="356CDE9F">
            <wp:extent cx="3607874" cy="1984917"/>
            <wp:effectExtent l="0" t="0" r="0" b="0"/>
            <wp:docPr id="857885818" name="Image 31" descr="page31image546007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age31image54600708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36855" cy="2000861"/>
                    </a:xfrm>
                    <a:prstGeom prst="rect">
                      <a:avLst/>
                    </a:prstGeom>
                    <a:noFill/>
                    <a:ln>
                      <a:noFill/>
                    </a:ln>
                  </pic:spPr>
                </pic:pic>
              </a:graphicData>
            </a:graphic>
          </wp:inline>
        </w:drawing>
      </w:r>
      <w:r w:rsidRPr="00B15634">
        <w:rPr>
          <w:rFonts w:ascii="Arial" w:hAnsi="Arial" w:cs="Arial"/>
          <w:sz w:val="20"/>
          <w:szCs w:val="20"/>
          <w:lang w:eastAsia="fr-FR"/>
        </w:rPr>
        <w:fldChar w:fldCharType="end"/>
      </w:r>
    </w:p>
    <w:p w14:paraId="1BA3D945" w14:textId="77777777" w:rsidR="00ED4694" w:rsidRPr="00B15634" w:rsidRDefault="00ED4694" w:rsidP="00ED4694">
      <w:pPr>
        <w:pStyle w:val="Sansinterligne"/>
        <w:jc w:val="both"/>
        <w:rPr>
          <w:rFonts w:ascii="Arial" w:hAnsi="Arial" w:cs="Arial"/>
          <w:sz w:val="20"/>
          <w:szCs w:val="20"/>
          <w:shd w:val="clear" w:color="auto" w:fill="FF0000"/>
          <w:lang w:eastAsia="fr-FR"/>
        </w:rPr>
      </w:pPr>
    </w:p>
    <w:p w14:paraId="77D2F019" w14:textId="77777777" w:rsidR="00ED4694" w:rsidRPr="00B15634" w:rsidRDefault="00ED4694" w:rsidP="00ED4694">
      <w:pPr>
        <w:pStyle w:val="Sansinterligne"/>
        <w:jc w:val="both"/>
        <w:rPr>
          <w:rFonts w:ascii="Arial" w:hAnsi="Arial" w:cs="Arial"/>
          <w:sz w:val="20"/>
          <w:szCs w:val="20"/>
        </w:rPr>
      </w:pPr>
      <w:r w:rsidRPr="00B15634">
        <w:rPr>
          <w:rFonts w:ascii="Arial" w:hAnsi="Arial" w:cs="Arial"/>
          <w:sz w:val="20"/>
          <w:szCs w:val="20"/>
        </w:rPr>
        <w:t xml:space="preserve">Suivi du diabète : </w:t>
      </w:r>
    </w:p>
    <w:p w14:paraId="7251EC96"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b/>
          <w:bCs/>
          <w:sz w:val="20"/>
          <w:szCs w:val="20"/>
          <w:lang w:eastAsia="fr-FR"/>
        </w:rPr>
        <w:t xml:space="preserve">L'HbA1c </w:t>
      </w:r>
      <w:r w:rsidRPr="00B15634">
        <w:rPr>
          <w:rFonts w:ascii="Arial" w:hAnsi="Arial" w:cs="Arial"/>
          <w:sz w:val="20"/>
          <w:szCs w:val="20"/>
          <w:lang w:eastAsia="fr-FR"/>
        </w:rPr>
        <w:t>(une prise de sang qui consiste à mesurer la moyenne des glycémies sur une longue période) est à réaliser au moins tous les 3 mois.</w:t>
      </w:r>
    </w:p>
    <w:p w14:paraId="4BEE19EC"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b/>
          <w:bCs/>
          <w:sz w:val="20"/>
          <w:szCs w:val="20"/>
          <w:lang w:eastAsia="fr-FR"/>
        </w:rPr>
        <w:t xml:space="preserve">Au moins une fois par an : </w:t>
      </w:r>
    </w:p>
    <w:p w14:paraId="08654E13"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u w:val="single"/>
          <w:lang w:eastAsia="fr-FR"/>
        </w:rPr>
        <w:t xml:space="preserve">Evaluation de la </w:t>
      </w:r>
      <w:r w:rsidRPr="00EA28DF">
        <w:rPr>
          <w:rFonts w:ascii="Arial" w:hAnsi="Arial" w:cs="Arial"/>
          <w:b/>
          <w:bCs/>
          <w:sz w:val="20"/>
          <w:szCs w:val="20"/>
          <w:u w:val="single"/>
          <w:lang w:eastAsia="fr-FR"/>
        </w:rPr>
        <w:t>fonction rénale</w:t>
      </w:r>
      <w:r w:rsidRPr="00B15634">
        <w:rPr>
          <w:rFonts w:ascii="Arial" w:hAnsi="Arial" w:cs="Arial"/>
          <w:sz w:val="20"/>
          <w:szCs w:val="20"/>
          <w:lang w:eastAsia="fr-FR"/>
        </w:rPr>
        <w:t xml:space="preserve"> : taux de créatininémie et de microalbuminurie. Elle permet de vérifier l’absence de complications rénales </w:t>
      </w:r>
    </w:p>
    <w:p w14:paraId="3170F27D"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u w:val="single"/>
          <w:lang w:eastAsia="fr-FR"/>
        </w:rPr>
        <w:t>Bilan lipidique</w:t>
      </w:r>
      <w:r w:rsidRPr="00B15634">
        <w:rPr>
          <w:rFonts w:ascii="Arial" w:hAnsi="Arial" w:cs="Arial"/>
          <w:sz w:val="20"/>
          <w:szCs w:val="20"/>
          <w:lang w:eastAsia="fr-FR"/>
        </w:rPr>
        <w:t xml:space="preserve"> : mesure des </w:t>
      </w:r>
      <w:r w:rsidRPr="00EA28DF">
        <w:rPr>
          <w:rFonts w:ascii="Arial" w:hAnsi="Arial" w:cs="Arial"/>
          <w:b/>
          <w:bCs/>
          <w:sz w:val="20"/>
          <w:szCs w:val="20"/>
          <w:lang w:eastAsia="fr-FR"/>
        </w:rPr>
        <w:t>graisses du sang</w:t>
      </w:r>
      <w:r w:rsidRPr="00B15634">
        <w:rPr>
          <w:rFonts w:ascii="Arial" w:hAnsi="Arial" w:cs="Arial"/>
          <w:sz w:val="20"/>
          <w:szCs w:val="20"/>
          <w:lang w:eastAsia="fr-FR"/>
        </w:rPr>
        <w:t xml:space="preserve"> (par un dosage du cholestérol et des triglycérides), ce bilan évalue le risque de complications cardio-vasculaires. En savoir plus sur les atteintes cardiaques et vasculaires. </w:t>
      </w:r>
    </w:p>
    <w:p w14:paraId="5513791B"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u w:val="single"/>
          <w:lang w:eastAsia="fr-FR"/>
        </w:rPr>
        <w:t>Bilan cardiologique :</w:t>
      </w:r>
      <w:r w:rsidRPr="00B15634">
        <w:rPr>
          <w:rFonts w:ascii="Arial" w:hAnsi="Arial" w:cs="Arial"/>
          <w:sz w:val="20"/>
          <w:szCs w:val="20"/>
          <w:lang w:eastAsia="fr-FR"/>
        </w:rPr>
        <w:t xml:space="preserve"> l’examen réalisé est un </w:t>
      </w:r>
      <w:r w:rsidRPr="00EA28DF">
        <w:rPr>
          <w:rFonts w:ascii="Arial" w:hAnsi="Arial" w:cs="Arial"/>
          <w:b/>
          <w:bCs/>
          <w:sz w:val="20"/>
          <w:szCs w:val="20"/>
          <w:lang w:eastAsia="fr-FR"/>
        </w:rPr>
        <w:t>ECG</w:t>
      </w:r>
      <w:r w:rsidRPr="00B15634">
        <w:rPr>
          <w:rFonts w:ascii="Arial" w:hAnsi="Arial" w:cs="Arial"/>
          <w:sz w:val="20"/>
          <w:szCs w:val="20"/>
          <w:lang w:eastAsia="fr-FR"/>
        </w:rPr>
        <w:t xml:space="preserve"> pratiqué au repos. Il dépiste d’éventuelles maladies cardiaques. Un bilan plus approfondi comme un test à l’effort peut être réalisé tous les 3 ans, en fonction des résultats des lipides sanguin et du tabagisme. </w:t>
      </w:r>
    </w:p>
    <w:p w14:paraId="6719D686"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u w:val="single"/>
          <w:lang w:eastAsia="fr-FR"/>
        </w:rPr>
        <w:t>Examen des yeux et de la rétine</w:t>
      </w:r>
      <w:r w:rsidRPr="00B15634">
        <w:rPr>
          <w:rFonts w:ascii="Arial" w:hAnsi="Arial" w:cs="Arial"/>
          <w:sz w:val="20"/>
          <w:szCs w:val="20"/>
          <w:lang w:eastAsia="fr-FR"/>
        </w:rPr>
        <w:t xml:space="preserve">  : examen approfondi des yeux, l'ophtalmologue procède à un bilan de </w:t>
      </w:r>
      <w:r w:rsidRPr="00EA28DF">
        <w:rPr>
          <w:rFonts w:ascii="Arial" w:hAnsi="Arial" w:cs="Arial"/>
          <w:b/>
          <w:bCs/>
          <w:sz w:val="20"/>
          <w:szCs w:val="20"/>
          <w:lang w:eastAsia="fr-FR"/>
        </w:rPr>
        <w:t>fond d'œil</w:t>
      </w:r>
      <w:r w:rsidRPr="00B15634">
        <w:rPr>
          <w:rFonts w:ascii="Arial" w:hAnsi="Arial" w:cs="Arial"/>
          <w:sz w:val="20"/>
          <w:szCs w:val="20"/>
          <w:lang w:eastAsia="fr-FR"/>
        </w:rPr>
        <w:t xml:space="preserve"> ou à une rétinographie (une photographie du fond d’œil, réalisée pour les patients de moins de 70 ans sans antécédent de rétinopathie) afin de dépister d’éventuelles atteintes de la rétine. </w:t>
      </w:r>
    </w:p>
    <w:p w14:paraId="6547CB16"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u w:val="single"/>
          <w:lang w:eastAsia="fr-FR"/>
        </w:rPr>
        <w:t>Bilan dentaire</w:t>
      </w:r>
      <w:r w:rsidRPr="00B15634">
        <w:rPr>
          <w:rFonts w:ascii="Arial" w:hAnsi="Arial" w:cs="Arial"/>
          <w:sz w:val="20"/>
          <w:szCs w:val="20"/>
          <w:lang w:eastAsia="fr-FR"/>
        </w:rPr>
        <w:t xml:space="preserve"> : même si pas de problèmes dentaires =&gt; suivi annuel chez le dentiste. Objectif : dépister </w:t>
      </w:r>
      <w:r w:rsidRPr="00EA28DF">
        <w:rPr>
          <w:rFonts w:ascii="Arial" w:hAnsi="Arial" w:cs="Arial"/>
          <w:b/>
          <w:bCs/>
          <w:sz w:val="20"/>
          <w:szCs w:val="20"/>
          <w:lang w:eastAsia="fr-FR"/>
        </w:rPr>
        <w:t>d’éventuelles lésions</w:t>
      </w:r>
      <w:r w:rsidRPr="00B15634">
        <w:rPr>
          <w:rFonts w:ascii="Arial" w:hAnsi="Arial" w:cs="Arial"/>
          <w:sz w:val="20"/>
          <w:szCs w:val="20"/>
          <w:lang w:eastAsia="fr-FR"/>
        </w:rPr>
        <w:t xml:space="preserve"> des dents et des gencives (gingivite, parodontite) </w:t>
      </w:r>
    </w:p>
    <w:p w14:paraId="0E47073A"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u w:val="single"/>
          <w:lang w:eastAsia="fr-FR"/>
        </w:rPr>
        <w:t>Examen des pieds</w:t>
      </w:r>
      <w:r w:rsidRPr="00B15634">
        <w:rPr>
          <w:rFonts w:ascii="Arial" w:hAnsi="Arial" w:cs="Arial"/>
          <w:sz w:val="20"/>
          <w:szCs w:val="20"/>
          <w:lang w:eastAsia="fr-FR"/>
        </w:rPr>
        <w:t xml:space="preserve"> : chaque année, faites vérifier la </w:t>
      </w:r>
      <w:r w:rsidRPr="00712005">
        <w:rPr>
          <w:rFonts w:ascii="Arial" w:hAnsi="Arial" w:cs="Arial"/>
          <w:b/>
          <w:bCs/>
          <w:sz w:val="20"/>
          <w:szCs w:val="20"/>
          <w:lang w:eastAsia="fr-FR"/>
        </w:rPr>
        <w:t>sensibilité</w:t>
      </w:r>
      <w:r w:rsidRPr="00B15634">
        <w:rPr>
          <w:rFonts w:ascii="Arial" w:hAnsi="Arial" w:cs="Arial"/>
          <w:sz w:val="20"/>
          <w:szCs w:val="20"/>
          <w:lang w:eastAsia="fr-FR"/>
        </w:rPr>
        <w:t xml:space="preserve"> et </w:t>
      </w:r>
      <w:r w:rsidRPr="00712005">
        <w:rPr>
          <w:rFonts w:ascii="Arial" w:hAnsi="Arial" w:cs="Arial"/>
          <w:b/>
          <w:bCs/>
          <w:sz w:val="20"/>
          <w:szCs w:val="20"/>
          <w:lang w:eastAsia="fr-FR"/>
        </w:rPr>
        <w:t>l’état de vos pieds</w:t>
      </w:r>
      <w:r w:rsidRPr="00B15634">
        <w:rPr>
          <w:rFonts w:ascii="Arial" w:hAnsi="Arial" w:cs="Arial"/>
          <w:sz w:val="20"/>
          <w:szCs w:val="20"/>
          <w:lang w:eastAsia="fr-FR"/>
        </w:rPr>
        <w:t xml:space="preserve"> pour dépister d’éventuelles lésions ou plaies (neuropathie diabétique, artérite...) </w:t>
      </w:r>
    </w:p>
    <w:p w14:paraId="55ECF5B0" w14:textId="77777777" w:rsidR="00ED4694" w:rsidRPr="00B15634" w:rsidRDefault="00ED4694" w:rsidP="00ED4694">
      <w:pPr>
        <w:pStyle w:val="Sansinterligne"/>
        <w:jc w:val="both"/>
        <w:rPr>
          <w:rFonts w:ascii="Arial" w:hAnsi="Arial" w:cs="Arial"/>
          <w:sz w:val="20"/>
          <w:szCs w:val="20"/>
          <w:lang w:eastAsia="fr-FR"/>
        </w:rPr>
      </w:pPr>
    </w:p>
    <w:p w14:paraId="7E9A54EC" w14:textId="77777777" w:rsidR="00ED4694" w:rsidRPr="00B15634" w:rsidRDefault="00ED4694" w:rsidP="00ED4694">
      <w:pPr>
        <w:pStyle w:val="Sansinterligne"/>
        <w:numPr>
          <w:ilvl w:val="0"/>
          <w:numId w:val="132"/>
        </w:numPr>
        <w:jc w:val="both"/>
        <w:rPr>
          <w:rFonts w:ascii="Arial" w:hAnsi="Arial" w:cs="Arial"/>
          <w:b/>
          <w:bCs/>
          <w:color w:val="00B0F0"/>
          <w:sz w:val="20"/>
          <w:szCs w:val="20"/>
          <w:u w:val="single"/>
          <w:lang w:eastAsia="fr-FR"/>
        </w:rPr>
      </w:pPr>
      <w:r w:rsidRPr="00B15634">
        <w:rPr>
          <w:rFonts w:ascii="Arial" w:hAnsi="Arial" w:cs="Arial"/>
          <w:b/>
          <w:bCs/>
          <w:color w:val="00B0F0"/>
          <w:sz w:val="20"/>
          <w:szCs w:val="20"/>
          <w:u w:val="single"/>
          <w:lang w:eastAsia="fr-FR"/>
        </w:rPr>
        <w:t xml:space="preserve">Obésité </w:t>
      </w:r>
    </w:p>
    <w:p w14:paraId="01B8E8D6" w14:textId="77777777" w:rsidR="00ED4694" w:rsidRPr="00B15634" w:rsidRDefault="00ED4694" w:rsidP="00ED4694">
      <w:pPr>
        <w:pStyle w:val="Sansinterligne"/>
        <w:jc w:val="both"/>
        <w:rPr>
          <w:rFonts w:ascii="Arial" w:hAnsi="Arial" w:cs="Arial"/>
          <w:sz w:val="20"/>
          <w:szCs w:val="20"/>
          <w:lang w:eastAsia="fr-FR"/>
        </w:rPr>
      </w:pPr>
    </w:p>
    <w:p w14:paraId="2DC8FA0A"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b/>
          <w:bCs/>
          <w:sz w:val="20"/>
          <w:szCs w:val="20"/>
          <w:lang w:eastAsia="fr-FR"/>
        </w:rPr>
        <w:t>39 % des adultes dans le monde sont en surpoids et 13% sont obèses</w:t>
      </w:r>
      <w:r w:rsidRPr="00B15634">
        <w:rPr>
          <w:rFonts w:ascii="Arial" w:hAnsi="Arial" w:cs="Arial"/>
          <w:sz w:val="20"/>
          <w:szCs w:val="20"/>
          <w:lang w:eastAsia="fr-FR"/>
        </w:rPr>
        <w:t xml:space="preserve">. Maladie de civilisation comme l’allergie et les maladies CV </w:t>
      </w:r>
    </w:p>
    <w:p w14:paraId="122D102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En France, la </w:t>
      </w:r>
      <w:r w:rsidRPr="00B15634">
        <w:rPr>
          <w:rFonts w:ascii="Arial" w:hAnsi="Arial" w:cs="Arial"/>
          <w:b/>
          <w:bCs/>
          <w:sz w:val="20"/>
          <w:szCs w:val="20"/>
          <w:lang w:eastAsia="fr-FR"/>
        </w:rPr>
        <w:t>prévalence = 17 %</w:t>
      </w:r>
      <w:r w:rsidRPr="00B15634">
        <w:rPr>
          <w:rFonts w:ascii="Arial" w:hAnsi="Arial" w:cs="Arial"/>
          <w:sz w:val="20"/>
          <w:szCs w:val="20"/>
          <w:lang w:eastAsia="fr-FR"/>
        </w:rPr>
        <w:t xml:space="preserve"> de la population adulte et enfant. L’augmentation de la prévalence de l’obésité concerne particulièrement les populations </w:t>
      </w:r>
      <w:r w:rsidRPr="00B15634">
        <w:rPr>
          <w:rFonts w:ascii="Arial" w:hAnsi="Arial" w:cs="Arial"/>
          <w:b/>
          <w:bCs/>
          <w:sz w:val="20"/>
          <w:szCs w:val="20"/>
          <w:lang w:eastAsia="fr-FR"/>
        </w:rPr>
        <w:t>défavorisées et les formes graves</w:t>
      </w:r>
      <w:r w:rsidRPr="00B15634">
        <w:rPr>
          <w:rFonts w:ascii="Arial" w:hAnsi="Arial" w:cs="Arial"/>
          <w:sz w:val="20"/>
          <w:szCs w:val="20"/>
          <w:lang w:eastAsia="fr-FR"/>
        </w:rPr>
        <w:t xml:space="preserve"> </w:t>
      </w:r>
    </w:p>
    <w:p w14:paraId="65D078D5" w14:textId="77777777" w:rsidR="00ED4694" w:rsidRPr="00B15634" w:rsidRDefault="00ED4694" w:rsidP="00ED4694">
      <w:pPr>
        <w:pStyle w:val="Sansinterligne"/>
        <w:jc w:val="both"/>
        <w:rPr>
          <w:rFonts w:ascii="Arial" w:hAnsi="Arial" w:cs="Arial"/>
          <w:b/>
          <w:bCs/>
          <w:sz w:val="20"/>
          <w:szCs w:val="20"/>
          <w:lang w:eastAsia="fr-FR"/>
        </w:rPr>
      </w:pPr>
      <w:r w:rsidRPr="00B15634">
        <w:rPr>
          <w:rFonts w:ascii="Arial" w:hAnsi="Arial" w:cs="Arial"/>
          <w:sz w:val="20"/>
          <w:szCs w:val="20"/>
          <w:lang w:eastAsia="fr-FR"/>
        </w:rPr>
        <w:t xml:space="preserve">En fonction du revenu des personnes : </w:t>
      </w:r>
      <w:r w:rsidRPr="00B15634">
        <w:rPr>
          <w:rFonts w:ascii="Arial" w:hAnsi="Arial" w:cs="Arial"/>
          <w:b/>
          <w:bCs/>
          <w:sz w:val="20"/>
          <w:szCs w:val="20"/>
          <w:lang w:eastAsia="fr-FR"/>
        </w:rPr>
        <w:t xml:space="preserve">+ on est riche, + on est mince. </w:t>
      </w:r>
    </w:p>
    <w:p w14:paraId="09B88216" w14:textId="77777777" w:rsidR="00ED4694" w:rsidRPr="00B15634" w:rsidRDefault="00ED4694" w:rsidP="00ED4694">
      <w:pPr>
        <w:pStyle w:val="Sansinterligne"/>
        <w:jc w:val="both"/>
        <w:rPr>
          <w:rFonts w:ascii="Arial" w:hAnsi="Arial" w:cs="Arial"/>
          <w:sz w:val="20"/>
          <w:szCs w:val="20"/>
          <w:lang w:eastAsia="fr-FR"/>
        </w:rPr>
      </w:pPr>
    </w:p>
    <w:p w14:paraId="06633F64"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Causes de l’obésité : </w:t>
      </w:r>
    </w:p>
    <w:p w14:paraId="2883980D" w14:textId="77777777" w:rsidR="00ED4694" w:rsidRPr="00B15634" w:rsidRDefault="00ED4694" w:rsidP="00ED4694">
      <w:pPr>
        <w:pStyle w:val="Sansinterligne"/>
        <w:numPr>
          <w:ilvl w:val="0"/>
          <w:numId w:val="140"/>
        </w:numPr>
        <w:jc w:val="both"/>
        <w:rPr>
          <w:rFonts w:ascii="Arial" w:hAnsi="Arial" w:cs="Arial"/>
          <w:b/>
          <w:bCs/>
          <w:sz w:val="20"/>
          <w:szCs w:val="20"/>
          <w:lang w:eastAsia="fr-FR"/>
        </w:rPr>
      </w:pPr>
      <w:r w:rsidRPr="00B15634">
        <w:rPr>
          <w:rFonts w:ascii="Arial" w:hAnsi="Arial" w:cs="Arial"/>
          <w:b/>
          <w:bCs/>
          <w:sz w:val="20"/>
          <w:szCs w:val="20"/>
          <w:lang w:eastAsia="fr-FR"/>
        </w:rPr>
        <w:t>Modifications de l’alimentation et la réduction de l’activité physique</w:t>
      </w:r>
      <w:r w:rsidRPr="00B15634">
        <w:rPr>
          <w:rFonts w:ascii="Arial" w:hAnsi="Arial" w:cs="Arial"/>
          <w:sz w:val="20"/>
          <w:szCs w:val="20"/>
          <w:lang w:eastAsia="fr-FR"/>
        </w:rPr>
        <w:t xml:space="preserve"> </w:t>
      </w:r>
    </w:p>
    <w:p w14:paraId="5B6CF174" w14:textId="77777777" w:rsidR="00ED4694" w:rsidRPr="00B15634" w:rsidRDefault="00ED4694" w:rsidP="00ED4694">
      <w:pPr>
        <w:pStyle w:val="Sansinterligne"/>
        <w:numPr>
          <w:ilvl w:val="0"/>
          <w:numId w:val="140"/>
        </w:numPr>
        <w:jc w:val="both"/>
        <w:rPr>
          <w:rFonts w:ascii="Arial" w:hAnsi="Arial" w:cs="Arial"/>
          <w:b/>
          <w:bCs/>
          <w:sz w:val="20"/>
          <w:szCs w:val="20"/>
          <w:lang w:eastAsia="fr-FR"/>
        </w:rPr>
      </w:pPr>
      <w:r w:rsidRPr="00B15634">
        <w:rPr>
          <w:rFonts w:ascii="Arial" w:hAnsi="Arial" w:cs="Arial"/>
          <w:b/>
          <w:bCs/>
          <w:sz w:val="20"/>
          <w:szCs w:val="20"/>
          <w:lang w:eastAsia="fr-FR"/>
        </w:rPr>
        <w:t xml:space="preserve">L’augmentation de la taille des portions, la plus grande densité énergétique, la disponibilité de l’alimentation, et l’évolution des prix alimentaires </w:t>
      </w:r>
      <w:r w:rsidRPr="00B15634">
        <w:rPr>
          <w:rFonts w:ascii="Arial" w:hAnsi="Arial" w:cs="Arial"/>
          <w:b/>
          <w:bCs/>
          <w:sz w:val="20"/>
          <w:szCs w:val="20"/>
          <w:lang w:eastAsia="fr-FR"/>
        </w:rPr>
        <w:sym w:font="Wingdings" w:char="F0E0"/>
      </w:r>
      <w:r w:rsidRPr="00B15634">
        <w:rPr>
          <w:rFonts w:ascii="Arial" w:hAnsi="Arial" w:cs="Arial"/>
          <w:b/>
          <w:bCs/>
          <w:sz w:val="20"/>
          <w:szCs w:val="20"/>
          <w:lang w:eastAsia="fr-FR"/>
        </w:rPr>
        <w:t xml:space="preserve"> favorisent les consommations caloriques excessive </w:t>
      </w:r>
    </w:p>
    <w:p w14:paraId="7D77DAF6" w14:textId="77777777" w:rsidR="00ED4694" w:rsidRPr="00B15634" w:rsidRDefault="00ED4694" w:rsidP="00ED4694">
      <w:pPr>
        <w:pStyle w:val="Sansinterligne"/>
        <w:numPr>
          <w:ilvl w:val="0"/>
          <w:numId w:val="140"/>
        </w:numPr>
        <w:jc w:val="both"/>
        <w:rPr>
          <w:rFonts w:ascii="Arial" w:hAnsi="Arial" w:cs="Arial"/>
          <w:b/>
          <w:bCs/>
          <w:sz w:val="20"/>
          <w:szCs w:val="20"/>
          <w:lang w:eastAsia="fr-FR"/>
        </w:rPr>
      </w:pPr>
      <w:r w:rsidRPr="00B15634">
        <w:rPr>
          <w:rFonts w:ascii="Arial" w:hAnsi="Arial" w:cs="Arial"/>
          <w:b/>
          <w:bCs/>
          <w:sz w:val="20"/>
          <w:szCs w:val="20"/>
          <w:lang w:eastAsia="fr-FR"/>
        </w:rPr>
        <w:t xml:space="preserve">Les loisirs tels que la télévision ou les jeux vidéo, l’utilisation de la voiture et des transports en commun dans les déplacements du quotidien </w:t>
      </w:r>
      <w:r w:rsidRPr="00B15634">
        <w:rPr>
          <w:rFonts w:ascii="Arial" w:hAnsi="Arial" w:cs="Arial"/>
          <w:b/>
          <w:bCs/>
          <w:sz w:val="20"/>
          <w:szCs w:val="20"/>
          <w:lang w:eastAsia="fr-FR"/>
        </w:rPr>
        <w:sym w:font="Wingdings" w:char="F0E0"/>
      </w:r>
      <w:r w:rsidRPr="00B15634">
        <w:rPr>
          <w:rFonts w:ascii="Arial" w:hAnsi="Arial" w:cs="Arial"/>
          <w:b/>
          <w:bCs/>
          <w:sz w:val="20"/>
          <w:szCs w:val="20"/>
          <w:lang w:eastAsia="fr-FR"/>
        </w:rPr>
        <w:t xml:space="preserve"> diminution des dépenses énergétiques </w:t>
      </w:r>
    </w:p>
    <w:p w14:paraId="7A17F7D0" w14:textId="77777777" w:rsidR="00ED4694" w:rsidRPr="00B15634" w:rsidRDefault="00ED4694" w:rsidP="00ED4694">
      <w:pPr>
        <w:pStyle w:val="Sansinterligne"/>
        <w:jc w:val="both"/>
        <w:rPr>
          <w:rFonts w:ascii="Arial" w:hAnsi="Arial" w:cs="Arial"/>
          <w:color w:val="FF0000"/>
          <w:sz w:val="20"/>
          <w:szCs w:val="20"/>
          <w:lang w:eastAsia="fr-FR"/>
        </w:rPr>
      </w:pPr>
    </w:p>
    <w:p w14:paraId="048AEEDC"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Mais ces facteurs influençant le bilan d’énergie, et donc le statut nutritionnel, ne suffisent pas pour expliquer l’augmentation de la fréquence de l’obésité, ni "l’inégalité" des individus vis-à-vis de la prise de poids : certaines personnes prennent en effet plus de poids que d’autres, alors qu’elles ont les mêmes modes de vie </w:t>
      </w:r>
    </w:p>
    <w:p w14:paraId="60FA30FB"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Différence entre individus pour la notion de faim et de satiété </w:t>
      </w:r>
    </w:p>
    <w:p w14:paraId="7935FCD3" w14:textId="77777777" w:rsidR="00ED4694" w:rsidRPr="00B15634" w:rsidRDefault="00ED4694" w:rsidP="00ED4694">
      <w:pPr>
        <w:pStyle w:val="Sansinterligne"/>
        <w:jc w:val="both"/>
        <w:rPr>
          <w:rFonts w:ascii="Arial" w:hAnsi="Arial" w:cs="Arial"/>
          <w:sz w:val="20"/>
          <w:szCs w:val="20"/>
          <w:lang w:eastAsia="fr-FR"/>
        </w:rPr>
      </w:pPr>
    </w:p>
    <w:p w14:paraId="27311D38"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lastRenderedPageBreak/>
        <w:t xml:space="preserve">Facteus de risque : </w:t>
      </w:r>
    </w:p>
    <w:p w14:paraId="223ABCD8" w14:textId="77777777" w:rsidR="00ED4694" w:rsidRPr="00B15634" w:rsidRDefault="00ED4694" w:rsidP="00ED4694">
      <w:pPr>
        <w:pStyle w:val="Sansinterligne"/>
        <w:numPr>
          <w:ilvl w:val="0"/>
          <w:numId w:val="140"/>
        </w:numPr>
        <w:jc w:val="both"/>
        <w:rPr>
          <w:rFonts w:ascii="Arial" w:hAnsi="Arial" w:cs="Arial"/>
          <w:sz w:val="20"/>
          <w:szCs w:val="20"/>
          <w:u w:val="single"/>
          <w:lang w:eastAsia="fr-FR"/>
        </w:rPr>
      </w:pPr>
      <w:r w:rsidRPr="00B15634">
        <w:rPr>
          <w:rFonts w:ascii="Arial" w:hAnsi="Arial" w:cs="Arial"/>
          <w:b/>
          <w:bCs/>
          <w:sz w:val="20"/>
          <w:szCs w:val="20"/>
          <w:lang w:eastAsia="fr-FR"/>
        </w:rPr>
        <w:t>Environnement</w:t>
      </w:r>
      <w:r w:rsidRPr="00B15634">
        <w:rPr>
          <w:rFonts w:ascii="Arial" w:hAnsi="Arial" w:cs="Arial"/>
          <w:sz w:val="20"/>
          <w:szCs w:val="20"/>
          <w:lang w:eastAsia="fr-FR"/>
        </w:rPr>
        <w:t xml:space="preserve"> : stress, sommeil, médicaments, virus, composition de la flore intestinale, exposition à des polluants </w:t>
      </w:r>
    </w:p>
    <w:p w14:paraId="426B7998" w14:textId="77777777" w:rsidR="00ED4694" w:rsidRPr="00B15634" w:rsidRDefault="00ED4694" w:rsidP="00ED4694">
      <w:pPr>
        <w:pStyle w:val="Sansinterligne"/>
        <w:numPr>
          <w:ilvl w:val="0"/>
          <w:numId w:val="140"/>
        </w:numPr>
        <w:jc w:val="both"/>
        <w:rPr>
          <w:rFonts w:ascii="Arial" w:hAnsi="Arial" w:cs="Arial"/>
          <w:sz w:val="20"/>
          <w:szCs w:val="20"/>
          <w:u w:val="single"/>
          <w:lang w:eastAsia="fr-FR"/>
        </w:rPr>
      </w:pPr>
      <w:r w:rsidRPr="00B15634">
        <w:rPr>
          <w:rFonts w:ascii="Arial" w:hAnsi="Arial" w:cs="Arial"/>
          <w:b/>
          <w:bCs/>
          <w:sz w:val="20"/>
          <w:szCs w:val="20"/>
          <w:lang w:eastAsia="fr-FR"/>
        </w:rPr>
        <w:t>Expositions</w:t>
      </w:r>
      <w:r w:rsidRPr="00B15634">
        <w:rPr>
          <w:rFonts w:ascii="Arial" w:hAnsi="Arial" w:cs="Arial"/>
          <w:sz w:val="20"/>
          <w:szCs w:val="20"/>
          <w:lang w:eastAsia="fr-FR"/>
        </w:rPr>
        <w:t xml:space="preserve"> et des </w:t>
      </w:r>
      <w:r w:rsidRPr="00B15634">
        <w:rPr>
          <w:rFonts w:ascii="Arial" w:hAnsi="Arial" w:cs="Arial"/>
          <w:b/>
          <w:bCs/>
          <w:sz w:val="20"/>
          <w:szCs w:val="20"/>
          <w:lang w:eastAsia="fr-FR"/>
        </w:rPr>
        <w:t>événements précoces</w:t>
      </w:r>
      <w:r w:rsidRPr="00B15634">
        <w:rPr>
          <w:rFonts w:ascii="Arial" w:hAnsi="Arial" w:cs="Arial"/>
          <w:sz w:val="20"/>
          <w:szCs w:val="20"/>
          <w:lang w:eastAsia="fr-FR"/>
        </w:rPr>
        <w:t xml:space="preserve"> avec l’alimentation maternelle (allaitement maternel protecteur) </w:t>
      </w:r>
    </w:p>
    <w:p w14:paraId="30248EDE"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b/>
          <w:bCs/>
          <w:sz w:val="20"/>
          <w:szCs w:val="20"/>
          <w:lang w:eastAsia="fr-FR"/>
        </w:rPr>
        <w:t>Prédisposition génétique</w:t>
      </w:r>
      <w:r w:rsidRPr="00B15634">
        <w:rPr>
          <w:rFonts w:ascii="Arial" w:hAnsi="Arial" w:cs="Arial"/>
          <w:sz w:val="20"/>
          <w:szCs w:val="20"/>
          <w:lang w:eastAsia="fr-FR"/>
        </w:rPr>
        <w:t xml:space="preserve"> +++</w:t>
      </w:r>
    </w:p>
    <w:p w14:paraId="05899B8A" w14:textId="77777777" w:rsidR="00ED4694" w:rsidRPr="00B15634" w:rsidRDefault="00ED4694" w:rsidP="00ED4694">
      <w:pPr>
        <w:pStyle w:val="Sansinterligne"/>
        <w:jc w:val="both"/>
        <w:rPr>
          <w:rFonts w:ascii="Arial" w:hAnsi="Arial" w:cs="Arial"/>
          <w:sz w:val="20"/>
          <w:szCs w:val="20"/>
          <w:lang w:eastAsia="fr-FR"/>
        </w:rPr>
      </w:pPr>
    </w:p>
    <w:p w14:paraId="0B20BC27"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Autres facteurs de risque : </w:t>
      </w:r>
    </w:p>
    <w:p w14:paraId="01DECE6F"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Environnement : obésité = maladie de l’adaptation </w:t>
      </w:r>
    </w:p>
    <w:p w14:paraId="5BA21685"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xml:space="preserve">Modif environnementales : Chasseur cueilleur -&gt; ordinateur. Notion de génotype économe </w:t>
      </w:r>
    </w:p>
    <w:p w14:paraId="7446CDDF"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xml:space="preserve">Modernisation de l’alimentation : avant: « Commensalisme »: repas structuré (tradition). Actuellement : vagabondage: fractionnement, individualisme. Industrialisation. Lobbying </w:t>
      </w:r>
    </w:p>
    <w:p w14:paraId="5B54E7E2"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xml:space="preserve">Modernisation du style de vie : maladie de l’écran, transport, moyens de communication </w:t>
      </w:r>
    </w:p>
    <w:p w14:paraId="6350BD50"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Obésité monogénique : la moins fréquente (5%) </w:t>
      </w:r>
    </w:p>
    <w:p w14:paraId="2B7B9BB4"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Défaut primaire de la régulation de l’appétit et de la satiété </w:t>
      </w:r>
    </w:p>
    <w:p w14:paraId="4011029C"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Mutations de la leptine = hormone de la satiété </w:t>
      </w:r>
    </w:p>
    <w:p w14:paraId="679DF9AE"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La ghréline = hormone de la faim </w:t>
      </w:r>
    </w:p>
    <w:p w14:paraId="32806E57" w14:textId="77777777" w:rsidR="00ED4694" w:rsidRPr="00B15634" w:rsidRDefault="00ED4694" w:rsidP="00ED4694">
      <w:pPr>
        <w:pStyle w:val="Sansinterligne"/>
        <w:ind w:left="360"/>
        <w:jc w:val="both"/>
        <w:rPr>
          <w:rFonts w:ascii="Arial" w:hAnsi="Arial" w:cs="Arial"/>
          <w:sz w:val="20"/>
          <w:szCs w:val="20"/>
          <w:lang w:eastAsia="fr-FR"/>
        </w:rPr>
      </w:pPr>
    </w:p>
    <w:p w14:paraId="0415C930"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Obésité secondaire : </w:t>
      </w:r>
    </w:p>
    <w:p w14:paraId="52D3F826"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Les obésités </w:t>
      </w:r>
      <w:r w:rsidRPr="00B15634">
        <w:rPr>
          <w:rFonts w:ascii="Arial" w:hAnsi="Arial" w:cs="Arial"/>
          <w:b/>
          <w:bCs/>
          <w:sz w:val="20"/>
          <w:szCs w:val="20"/>
          <w:lang w:eastAsia="fr-FR"/>
        </w:rPr>
        <w:t>syndromiques</w:t>
      </w:r>
      <w:r w:rsidRPr="00B15634">
        <w:rPr>
          <w:rFonts w:ascii="Arial" w:hAnsi="Arial" w:cs="Arial"/>
          <w:sz w:val="20"/>
          <w:szCs w:val="20"/>
          <w:lang w:eastAsia="fr-FR"/>
        </w:rPr>
        <w:t xml:space="preserve"> (Syndrome de </w:t>
      </w:r>
      <w:r w:rsidRPr="00B15634">
        <w:rPr>
          <w:rFonts w:ascii="Arial" w:hAnsi="Arial" w:cs="Arial"/>
          <w:b/>
          <w:bCs/>
          <w:sz w:val="20"/>
          <w:szCs w:val="20"/>
          <w:lang w:eastAsia="fr-FR"/>
        </w:rPr>
        <w:t>Prader-Willi</w:t>
      </w:r>
      <w:r w:rsidRPr="00B15634">
        <w:rPr>
          <w:rFonts w:ascii="Arial" w:hAnsi="Arial" w:cs="Arial"/>
          <w:sz w:val="20"/>
          <w:szCs w:val="20"/>
          <w:lang w:eastAsia="fr-FR"/>
        </w:rPr>
        <w:t xml:space="preserve"> par exemple) sont habituellement reconnues par leur profil spécifique (obésité précoce sévère) ou par leur association à des signes: neurologiques, ophtalmologiques, rénaux, </w:t>
      </w:r>
    </w:p>
    <w:p w14:paraId="28E3AF1C"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Des signes </w:t>
      </w:r>
      <w:r w:rsidRPr="00B15634">
        <w:rPr>
          <w:rFonts w:ascii="Arial" w:hAnsi="Arial" w:cs="Arial"/>
          <w:b/>
          <w:bCs/>
          <w:sz w:val="20"/>
          <w:szCs w:val="20"/>
          <w:lang w:eastAsia="fr-FR"/>
        </w:rPr>
        <w:t>d’hypothyroïdie</w:t>
      </w:r>
      <w:r w:rsidRPr="00B15634">
        <w:rPr>
          <w:rFonts w:ascii="Arial" w:hAnsi="Arial" w:cs="Arial"/>
          <w:sz w:val="20"/>
          <w:szCs w:val="20"/>
          <w:lang w:eastAsia="fr-FR"/>
        </w:rPr>
        <w:t xml:space="preserve"> profonde</w:t>
      </w:r>
    </w:p>
    <w:p w14:paraId="41C18ED4"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Un </w:t>
      </w:r>
      <w:r w:rsidRPr="00B15634">
        <w:rPr>
          <w:rFonts w:ascii="Arial" w:hAnsi="Arial" w:cs="Arial"/>
          <w:b/>
          <w:bCs/>
          <w:sz w:val="20"/>
          <w:szCs w:val="20"/>
          <w:lang w:eastAsia="fr-FR"/>
        </w:rPr>
        <w:t>hypercortisolisme</w:t>
      </w:r>
      <w:r w:rsidRPr="00B15634">
        <w:rPr>
          <w:rFonts w:ascii="Arial" w:hAnsi="Arial" w:cs="Arial"/>
          <w:sz w:val="20"/>
          <w:szCs w:val="20"/>
          <w:lang w:eastAsia="fr-FR"/>
        </w:rPr>
        <w:t xml:space="preserve"> pourra être évoqué cliniquement sur l'association d'une obésité facio-tronculaire à une HTA et à des signes de catabolisme tissulaire (syndrome de Cushing) </w:t>
      </w:r>
    </w:p>
    <w:p w14:paraId="399123B2"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Une </w:t>
      </w:r>
      <w:r w:rsidRPr="00B15634">
        <w:rPr>
          <w:rFonts w:ascii="Arial" w:hAnsi="Arial" w:cs="Arial"/>
          <w:b/>
          <w:bCs/>
          <w:sz w:val="20"/>
          <w:szCs w:val="20"/>
          <w:lang w:eastAsia="fr-FR"/>
        </w:rPr>
        <w:t>lésion tumorale</w:t>
      </w:r>
      <w:r w:rsidRPr="00B15634">
        <w:rPr>
          <w:rFonts w:ascii="Arial" w:hAnsi="Arial" w:cs="Arial"/>
          <w:sz w:val="20"/>
          <w:szCs w:val="20"/>
          <w:lang w:eastAsia="fr-FR"/>
        </w:rPr>
        <w:t xml:space="preserve"> de la région hypothalamo-hypophysaire pourra être suspectée devant des troubles de la soif (syndrome polyuro- polydipsique) ou des troubles de la thermorégulation </w:t>
      </w:r>
    </w:p>
    <w:p w14:paraId="101344D9"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noProof/>
          <w:sz w:val="20"/>
          <w:szCs w:val="20"/>
          <w:lang w:eastAsia="fr-FR"/>
        </w:rPr>
        <w:drawing>
          <wp:anchor distT="0" distB="0" distL="114300" distR="114300" simplePos="0" relativeHeight="251692032" behindDoc="1" locked="0" layoutInCell="1" allowOverlap="1" wp14:anchorId="2CA5418B" wp14:editId="5AD04BC9">
            <wp:simplePos x="0" y="0"/>
            <wp:positionH relativeFrom="column">
              <wp:posOffset>5727700</wp:posOffset>
            </wp:positionH>
            <wp:positionV relativeFrom="paragraph">
              <wp:posOffset>149225</wp:posOffset>
            </wp:positionV>
            <wp:extent cx="1007745" cy="1022350"/>
            <wp:effectExtent l="0" t="0" r="0" b="6350"/>
            <wp:wrapTight wrapText="bothSides">
              <wp:wrapPolygon edited="0">
                <wp:start x="0" y="0"/>
                <wp:lineTo x="0" y="21466"/>
                <wp:lineTo x="21233" y="21466"/>
                <wp:lineTo x="21233" y="0"/>
                <wp:lineTo x="0" y="0"/>
              </wp:wrapPolygon>
            </wp:wrapTight>
            <wp:docPr id="1173256681" name="Image 19" descr="page44image557417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age44image5574176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07745" cy="1022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sz w:val="20"/>
          <w:szCs w:val="20"/>
          <w:lang w:eastAsia="fr-FR"/>
        </w:rPr>
        <w:t xml:space="preserve">- La prescription de </w:t>
      </w:r>
      <w:r w:rsidRPr="00B15634">
        <w:rPr>
          <w:rFonts w:ascii="Arial" w:hAnsi="Arial" w:cs="Arial"/>
          <w:b/>
          <w:bCs/>
          <w:sz w:val="20"/>
          <w:szCs w:val="20"/>
          <w:lang w:eastAsia="fr-FR"/>
        </w:rPr>
        <w:t>médicaments</w:t>
      </w:r>
      <w:r w:rsidRPr="00B15634">
        <w:rPr>
          <w:rFonts w:ascii="Arial" w:hAnsi="Arial" w:cs="Arial"/>
          <w:sz w:val="20"/>
          <w:szCs w:val="20"/>
          <w:lang w:eastAsia="fr-FR"/>
        </w:rPr>
        <w:t xml:space="preserve"> favorisant l’obésité (</w:t>
      </w:r>
      <w:r w:rsidRPr="00B15634">
        <w:rPr>
          <w:rFonts w:ascii="Arial" w:hAnsi="Arial" w:cs="Arial"/>
          <w:b/>
          <w:bCs/>
          <w:sz w:val="20"/>
          <w:szCs w:val="20"/>
          <w:lang w:eastAsia="fr-FR"/>
        </w:rPr>
        <w:t>antidépresseurs</w:t>
      </w:r>
      <w:r w:rsidRPr="00B15634">
        <w:rPr>
          <w:rFonts w:ascii="Arial" w:hAnsi="Arial" w:cs="Arial"/>
          <w:sz w:val="20"/>
          <w:szCs w:val="20"/>
          <w:lang w:eastAsia="fr-FR"/>
        </w:rPr>
        <w:t xml:space="preserve">, </w:t>
      </w:r>
      <w:r w:rsidRPr="00B15634">
        <w:rPr>
          <w:rFonts w:ascii="Arial" w:hAnsi="Arial" w:cs="Arial"/>
          <w:b/>
          <w:bCs/>
          <w:sz w:val="20"/>
          <w:szCs w:val="20"/>
          <w:lang w:eastAsia="fr-FR"/>
        </w:rPr>
        <w:t>neuroleptiques</w:t>
      </w:r>
      <w:r w:rsidRPr="00B15634">
        <w:rPr>
          <w:rFonts w:ascii="Arial" w:hAnsi="Arial" w:cs="Arial"/>
          <w:sz w:val="20"/>
          <w:szCs w:val="20"/>
          <w:lang w:eastAsia="fr-FR"/>
        </w:rPr>
        <w:t xml:space="preserve">, etc...) </w:t>
      </w:r>
    </w:p>
    <w:p w14:paraId="4E4502DC" w14:textId="77777777" w:rsidR="00ED4694" w:rsidRPr="00B15634" w:rsidRDefault="00ED4694" w:rsidP="00ED4694">
      <w:pPr>
        <w:pStyle w:val="Sansinterligne"/>
        <w:jc w:val="both"/>
        <w:rPr>
          <w:rFonts w:ascii="Arial" w:hAnsi="Arial" w:cs="Arial"/>
          <w:sz w:val="20"/>
          <w:szCs w:val="20"/>
          <w:lang w:eastAsia="fr-FR"/>
        </w:rPr>
      </w:pPr>
    </w:p>
    <w:p w14:paraId="488B9D72"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Syndrome de Prader Willi : </w:t>
      </w:r>
      <w:r w:rsidRPr="00B15634">
        <w:rPr>
          <w:rFonts w:ascii="Arial" w:hAnsi="Arial" w:cs="Arial"/>
          <w:sz w:val="20"/>
          <w:szCs w:val="20"/>
          <w:lang w:eastAsia="fr-FR"/>
        </w:rPr>
        <w:t>Fréquence : 1/15 000. Clinique </w:t>
      </w:r>
      <w:r w:rsidRPr="00B15634">
        <w:rPr>
          <w:rFonts w:ascii="Arial" w:hAnsi="Arial" w:cs="Arial"/>
          <w:color w:val="9BAD82"/>
          <w:sz w:val="20"/>
          <w:szCs w:val="20"/>
          <w:lang w:eastAsia="fr-FR"/>
        </w:rPr>
        <w:t xml:space="preserve">: </w:t>
      </w:r>
    </w:p>
    <w:p w14:paraId="2F23EAFE"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Naissance : hypotonie, hypotrophie, difficulté pour s’alimenter, trouble succion, dysmorphie faciale, Hypogonadisme, micropénis, cryptorchidie </w:t>
      </w:r>
    </w:p>
    <w:p w14:paraId="0FFADE2E"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Après :</w:t>
      </w:r>
      <w:r w:rsidRPr="00B15634">
        <w:rPr>
          <w:rFonts w:ascii="Arial" w:hAnsi="Arial" w:cs="Arial"/>
          <w:color w:val="E0D8B7"/>
          <w:sz w:val="20"/>
          <w:szCs w:val="20"/>
          <w:lang w:eastAsia="fr-FR"/>
        </w:rPr>
        <w:t xml:space="preserve"> </w:t>
      </w:r>
      <w:r w:rsidRPr="00B15634">
        <w:rPr>
          <w:rFonts w:ascii="Arial" w:hAnsi="Arial" w:cs="Arial"/>
          <w:sz w:val="20"/>
          <w:szCs w:val="20"/>
          <w:lang w:eastAsia="fr-FR"/>
        </w:rPr>
        <w:t xml:space="preserve">retard pubertaire, hyperphagie, recherche agressive de nourriture, retard psychomoteur </w:t>
      </w:r>
    </w:p>
    <w:p w14:paraId="262A3E43"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fldChar w:fldCharType="begin"/>
      </w:r>
      <w:r w:rsidRPr="00B15634">
        <w:rPr>
          <w:rFonts w:ascii="Arial" w:hAnsi="Arial" w:cs="Arial"/>
          <w:sz w:val="20"/>
          <w:szCs w:val="20"/>
          <w:lang w:eastAsia="fr-FR"/>
        </w:rPr>
        <w:instrText xml:space="preserve"> INCLUDEPICTURE "/Users/alienorprudhomme/Library/Group Containers/UBF8T346G9.ms/WebArchiveCopyPasteTempFiles/com.microsoft.Word/page44image557417680" \* MERGEFORMATINET </w:instrText>
      </w:r>
      <w:r w:rsidRPr="00B15634">
        <w:rPr>
          <w:rFonts w:ascii="Arial" w:hAnsi="Arial" w:cs="Arial"/>
          <w:sz w:val="20"/>
          <w:szCs w:val="20"/>
          <w:lang w:eastAsia="fr-FR"/>
        </w:rPr>
        <w:fldChar w:fldCharType="separate"/>
      </w:r>
      <w:r w:rsidRPr="00B15634">
        <w:rPr>
          <w:rFonts w:ascii="Arial" w:hAnsi="Arial" w:cs="Arial"/>
          <w:sz w:val="20"/>
          <w:szCs w:val="20"/>
          <w:lang w:eastAsia="fr-FR"/>
        </w:rPr>
        <w:fldChar w:fldCharType="end"/>
      </w:r>
    </w:p>
    <w:p w14:paraId="3DA368FB"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FFFFFF"/>
          <w:sz w:val="20"/>
          <w:szCs w:val="20"/>
          <w:lang w:eastAsia="fr-FR"/>
        </w:rPr>
        <w:t xml:space="preserve">45 </w:t>
      </w:r>
    </w:p>
    <w:p w14:paraId="40FF3A74" w14:textId="77777777" w:rsidR="00ED4694" w:rsidRPr="00B15634" w:rsidRDefault="00ED4694" w:rsidP="00ED4694">
      <w:pPr>
        <w:pStyle w:val="Sansinterligne"/>
        <w:keepNext/>
        <w:jc w:val="both"/>
        <w:rPr>
          <w:rFonts w:ascii="Arial" w:hAnsi="Arial" w:cs="Arial"/>
        </w:rPr>
      </w:pPr>
      <w:r w:rsidRPr="00B15634">
        <w:rPr>
          <w:rFonts w:ascii="Arial" w:hAnsi="Arial" w:cs="Arial"/>
          <w:noProof/>
          <w:sz w:val="20"/>
          <w:szCs w:val="20"/>
          <w:lang w:eastAsia="fr-FR"/>
        </w:rPr>
        <w:drawing>
          <wp:inline distT="0" distB="0" distL="0" distR="0" wp14:anchorId="03F83324" wp14:editId="63CEACBD">
            <wp:extent cx="3269470" cy="2380322"/>
            <wp:effectExtent l="0" t="0" r="0" b="0"/>
            <wp:docPr id="3592490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249076" name=""/>
                    <pic:cNvPicPr/>
                  </pic:nvPicPr>
                  <pic:blipFill>
                    <a:blip r:embed="rId69"/>
                    <a:stretch>
                      <a:fillRect/>
                    </a:stretch>
                  </pic:blipFill>
                  <pic:spPr>
                    <a:xfrm>
                      <a:off x="0" y="0"/>
                      <a:ext cx="3281113" cy="2388798"/>
                    </a:xfrm>
                    <a:prstGeom prst="rect">
                      <a:avLst/>
                    </a:prstGeom>
                  </pic:spPr>
                </pic:pic>
              </a:graphicData>
            </a:graphic>
          </wp:inline>
        </w:drawing>
      </w:r>
      <w:r w:rsidRPr="00B15634">
        <w:rPr>
          <w:rFonts w:ascii="Arial" w:hAnsi="Arial" w:cs="Arial"/>
          <w:noProof/>
        </w:rPr>
        <w:t xml:space="preserve"> </w:t>
      </w:r>
      <w:r w:rsidRPr="00B15634">
        <w:rPr>
          <w:rFonts w:ascii="Arial" w:hAnsi="Arial" w:cs="Arial"/>
          <w:noProof/>
        </w:rPr>
        <w:drawing>
          <wp:inline distT="0" distB="0" distL="0" distR="0" wp14:anchorId="0AC5C580" wp14:editId="6036761F">
            <wp:extent cx="3282543" cy="1613043"/>
            <wp:effectExtent l="0" t="0" r="0" b="0"/>
            <wp:docPr id="14294651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65143" name=""/>
                    <pic:cNvPicPr/>
                  </pic:nvPicPr>
                  <pic:blipFill>
                    <a:blip r:embed="rId70"/>
                    <a:stretch>
                      <a:fillRect/>
                    </a:stretch>
                  </pic:blipFill>
                  <pic:spPr>
                    <a:xfrm>
                      <a:off x="0" y="0"/>
                      <a:ext cx="3307448" cy="1625281"/>
                    </a:xfrm>
                    <a:prstGeom prst="rect">
                      <a:avLst/>
                    </a:prstGeom>
                  </pic:spPr>
                </pic:pic>
              </a:graphicData>
            </a:graphic>
          </wp:inline>
        </w:drawing>
      </w:r>
    </w:p>
    <w:p w14:paraId="1A7242BE" w14:textId="77777777" w:rsidR="00ED4694" w:rsidRPr="00B15634" w:rsidRDefault="00ED4694" w:rsidP="00ED4694">
      <w:pPr>
        <w:pStyle w:val="Lgende"/>
        <w:jc w:val="both"/>
        <w:rPr>
          <w:rFonts w:ascii="Arial" w:hAnsi="Arial" w:cs="Arial"/>
          <w:sz w:val="20"/>
          <w:szCs w:val="20"/>
        </w:rPr>
      </w:pPr>
      <w:r w:rsidRPr="00B15634">
        <w:rPr>
          <w:rFonts w:ascii="Arial" w:hAnsi="Arial" w:cs="Arial"/>
        </w:rPr>
        <w:t xml:space="preserve">Hypothyroïdie </w:t>
      </w:r>
    </w:p>
    <w:p w14:paraId="2C773B4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color w:val="FFFFFF"/>
          <w:sz w:val="20"/>
          <w:szCs w:val="20"/>
          <w:lang w:eastAsia="fr-FR"/>
        </w:rPr>
        <w:t xml:space="preserve">46 </w:t>
      </w:r>
    </w:p>
    <w:p w14:paraId="75290A58"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IMC (Index de Masse Corporelle) : </w:t>
      </w:r>
    </w:p>
    <w:p w14:paraId="427EDB16"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Mesure de l’IMC ou indice de Quetelet, en kg/m2: IMC = P/T^2 </w:t>
      </w:r>
    </w:p>
    <w:p w14:paraId="17A7C46B"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L’impact de l’IMC sur la mortalité permet de définir plusieurs classes de risque par - rapport aux sujets qui ont le risque de mortalité le moins élevé: IMC compris entre 20 et 25.</w:t>
      </w:r>
    </w:p>
    <w:p w14:paraId="1A270627"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IMC est &lt;20 : maigreur, </w:t>
      </w:r>
    </w:p>
    <w:p w14:paraId="6623D25E"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- 25 eà 30 : surpoids, </w:t>
      </w:r>
    </w:p>
    <w:p w14:paraId="074A55F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au-delà de 30 vont s’échelonner les divers grades d’obésité; Grade I : 30 à 35, Grade II : 35 à 40 et Grade III &gt; 40. </w:t>
      </w:r>
    </w:p>
    <w:p w14:paraId="49CFA058" w14:textId="77777777" w:rsidR="00ED4694" w:rsidRPr="00B15634" w:rsidRDefault="00ED4694" w:rsidP="00ED4694">
      <w:pPr>
        <w:pStyle w:val="Sansinterligne"/>
        <w:jc w:val="both"/>
        <w:rPr>
          <w:rFonts w:ascii="Arial" w:hAnsi="Arial" w:cs="Arial"/>
          <w:sz w:val="20"/>
          <w:szCs w:val="20"/>
          <w:lang w:eastAsia="fr-FR"/>
        </w:rPr>
      </w:pPr>
    </w:p>
    <w:p w14:paraId="3D4726BC"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Rebond d’adiposité </w:t>
      </w:r>
    </w:p>
    <w:p w14:paraId="6DA5E12C"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Au cours de la croissance, la corpulence varie de manière physiologique. En moyenne, elle augmente la première année de la vie, puis diminue jusqu’à l’âge de 6 ans, et croît à nouveau jusqu’à la fin de la croissance </w:t>
      </w:r>
    </w:p>
    <w:p w14:paraId="0FBC3DE3"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La remontée de la courbe de l'IMC observée en moyenne à l’âge de 6 ans est appelée rebond d’adiposité. </w:t>
      </w:r>
    </w:p>
    <w:p w14:paraId="439EEC54"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Les études montrent que l’âge au rebond d’adiposité est corrélé à l’adiposité à l’âge adulte : plus il est précoce, plus le risque de devenir obèse est élev</w:t>
      </w:r>
      <w:r>
        <w:rPr>
          <w:rFonts w:ascii="Arial" w:hAnsi="Arial" w:cs="Arial"/>
          <w:sz w:val="20"/>
          <w:szCs w:val="20"/>
          <w:lang w:eastAsia="fr-FR"/>
        </w:rPr>
        <w:t>é</w:t>
      </w:r>
      <w:r w:rsidRPr="00B15634">
        <w:rPr>
          <w:rFonts w:ascii="Arial" w:hAnsi="Arial" w:cs="Arial"/>
          <w:sz w:val="20"/>
          <w:szCs w:val="20"/>
          <w:lang w:eastAsia="fr-FR"/>
        </w:rPr>
        <w:t>.</w:t>
      </w:r>
    </w:p>
    <w:p w14:paraId="42DD3B9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noProof/>
          <w:sz w:val="20"/>
          <w:szCs w:val="20"/>
          <w:lang w:eastAsia="fr-FR"/>
        </w:rPr>
        <w:lastRenderedPageBreak/>
        <w:drawing>
          <wp:anchor distT="0" distB="0" distL="114300" distR="114300" simplePos="0" relativeHeight="251691008" behindDoc="1" locked="0" layoutInCell="1" allowOverlap="1" wp14:anchorId="245E6D10" wp14:editId="558AC492">
            <wp:simplePos x="0" y="0"/>
            <wp:positionH relativeFrom="column">
              <wp:posOffset>5849620</wp:posOffset>
            </wp:positionH>
            <wp:positionV relativeFrom="paragraph">
              <wp:posOffset>97861</wp:posOffset>
            </wp:positionV>
            <wp:extent cx="877570" cy="1027430"/>
            <wp:effectExtent l="0" t="0" r="0" b="1270"/>
            <wp:wrapTight wrapText="bothSides">
              <wp:wrapPolygon edited="0">
                <wp:start x="0" y="0"/>
                <wp:lineTo x="0" y="21360"/>
                <wp:lineTo x="21256" y="21360"/>
                <wp:lineTo x="21256" y="0"/>
                <wp:lineTo x="0" y="0"/>
              </wp:wrapPolygon>
            </wp:wrapTight>
            <wp:docPr id="1754723897" name="Image 10" descr="page50image583239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age50image58323976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77570" cy="1027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42F67A"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Obésité androïde</w:t>
      </w:r>
      <w:r w:rsidRPr="00B15634">
        <w:rPr>
          <w:rFonts w:ascii="Arial" w:hAnsi="Arial" w:cs="Arial"/>
          <w:sz w:val="20"/>
          <w:szCs w:val="20"/>
          <w:lang w:eastAsia="fr-FR"/>
        </w:rPr>
        <w:t xml:space="preserve"> : accumulation de graisse au niveau du </w:t>
      </w:r>
      <w:r w:rsidRPr="00B15634">
        <w:rPr>
          <w:rFonts w:ascii="Arial" w:hAnsi="Arial" w:cs="Arial"/>
          <w:b/>
          <w:bCs/>
          <w:sz w:val="20"/>
          <w:szCs w:val="20"/>
          <w:lang w:eastAsia="fr-FR"/>
        </w:rPr>
        <w:t>ventre</w:t>
      </w:r>
      <w:r w:rsidRPr="00B15634">
        <w:rPr>
          <w:rFonts w:ascii="Arial" w:hAnsi="Arial" w:cs="Arial"/>
          <w:sz w:val="20"/>
          <w:szCs w:val="20"/>
          <w:lang w:eastAsia="fr-FR"/>
        </w:rPr>
        <w:t xml:space="preserve"> : augmentation TA viscérale, clé du sd métabolique, hypertrophie adipocytaire </w:t>
      </w:r>
    </w:p>
    <w:p w14:paraId="6FF68720"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Obésité gynoide</w:t>
      </w:r>
      <w:r w:rsidRPr="00B15634">
        <w:rPr>
          <w:rFonts w:ascii="Arial" w:hAnsi="Arial" w:cs="Arial"/>
          <w:sz w:val="20"/>
          <w:szCs w:val="20"/>
          <w:lang w:eastAsia="fr-FR"/>
        </w:rPr>
        <w:t xml:space="preserve"> : accumulation de graisse au niveau </w:t>
      </w:r>
      <w:r w:rsidRPr="00B15634">
        <w:rPr>
          <w:rFonts w:ascii="Arial" w:hAnsi="Arial" w:cs="Arial"/>
          <w:b/>
          <w:bCs/>
          <w:sz w:val="20"/>
          <w:szCs w:val="20"/>
          <w:lang w:eastAsia="fr-FR"/>
        </w:rPr>
        <w:t>inférieur du</w:t>
      </w:r>
      <w:r w:rsidRPr="00B15634">
        <w:rPr>
          <w:rFonts w:ascii="Arial" w:hAnsi="Arial" w:cs="Arial"/>
          <w:sz w:val="20"/>
          <w:szCs w:val="20"/>
          <w:lang w:eastAsia="fr-FR"/>
        </w:rPr>
        <w:t xml:space="preserve"> </w:t>
      </w:r>
      <w:r w:rsidRPr="00B15634">
        <w:rPr>
          <w:rFonts w:ascii="Arial" w:hAnsi="Arial" w:cs="Arial"/>
          <w:b/>
          <w:bCs/>
          <w:sz w:val="20"/>
          <w:szCs w:val="20"/>
          <w:lang w:eastAsia="fr-FR"/>
        </w:rPr>
        <w:t>coups</w:t>
      </w:r>
      <w:r w:rsidRPr="00B15634">
        <w:rPr>
          <w:rFonts w:ascii="Arial" w:hAnsi="Arial" w:cs="Arial"/>
          <w:sz w:val="20"/>
          <w:szCs w:val="20"/>
          <w:lang w:eastAsia="fr-FR"/>
        </w:rPr>
        <w:t xml:space="preserve"> (trochanters) : augmentation du tour de hanche, hyperplasie adipocytaire </w:t>
      </w:r>
    </w:p>
    <w:p w14:paraId="5FAACA8A"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fldChar w:fldCharType="begin"/>
      </w:r>
      <w:r w:rsidRPr="00B15634">
        <w:rPr>
          <w:rFonts w:ascii="Arial" w:hAnsi="Arial" w:cs="Arial"/>
          <w:sz w:val="20"/>
          <w:szCs w:val="20"/>
          <w:lang w:eastAsia="fr-FR"/>
        </w:rPr>
        <w:instrText xml:space="preserve"> INCLUDEPICTURE "/Users/alienorprudhomme/Library/Group Containers/UBF8T346G9.ms/WebArchiveCopyPasteTempFiles/com.microsoft.Word/page50image583239760" \* MERGEFORMATINET </w:instrText>
      </w:r>
      <w:r w:rsidRPr="00B15634">
        <w:rPr>
          <w:rFonts w:ascii="Arial" w:hAnsi="Arial" w:cs="Arial"/>
          <w:sz w:val="20"/>
          <w:szCs w:val="20"/>
          <w:lang w:eastAsia="fr-FR"/>
        </w:rPr>
        <w:fldChar w:fldCharType="separate"/>
      </w:r>
      <w:r w:rsidRPr="00B15634">
        <w:rPr>
          <w:rFonts w:ascii="Arial" w:hAnsi="Arial" w:cs="Arial"/>
          <w:sz w:val="20"/>
          <w:szCs w:val="20"/>
          <w:lang w:eastAsia="fr-FR"/>
        </w:rPr>
        <w:fldChar w:fldCharType="end"/>
      </w:r>
    </w:p>
    <w:p w14:paraId="3628E9F9" w14:textId="77777777" w:rsidR="00ED4694" w:rsidRPr="00B15634" w:rsidRDefault="00ED4694" w:rsidP="00ED4694">
      <w:pPr>
        <w:pStyle w:val="Sansinterligne"/>
        <w:jc w:val="both"/>
        <w:rPr>
          <w:rFonts w:ascii="Arial" w:hAnsi="Arial" w:cs="Arial"/>
          <w:sz w:val="20"/>
          <w:szCs w:val="20"/>
          <w:shd w:val="clear" w:color="auto" w:fill="7F7F7F"/>
          <w:lang w:eastAsia="fr-FR"/>
        </w:rPr>
      </w:pPr>
    </w:p>
    <w:p w14:paraId="5AA4C72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Le tour de taille</w:t>
      </w:r>
      <w:r w:rsidRPr="00B15634">
        <w:rPr>
          <w:rFonts w:ascii="Arial" w:hAnsi="Arial" w:cs="Arial"/>
          <w:sz w:val="20"/>
          <w:szCs w:val="20"/>
          <w:lang w:eastAsia="fr-FR"/>
        </w:rPr>
        <w:t xml:space="preserve"> : l’excès de masse grasse localisé au niveau abdominal associé à un risque accru de diabète et de maladies cardiovasculaires, indépendamment de l’IMC. </w:t>
      </w:r>
    </w:p>
    <w:p w14:paraId="7E781660"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sym w:font="Wingdings" w:char="F0E0"/>
      </w:r>
      <w:r w:rsidRPr="00B15634">
        <w:rPr>
          <w:rFonts w:ascii="Arial" w:hAnsi="Arial" w:cs="Arial"/>
          <w:sz w:val="20"/>
          <w:szCs w:val="20"/>
          <w:lang w:eastAsia="fr-FR"/>
        </w:rPr>
        <w:t xml:space="preserve"> </w:t>
      </w:r>
      <w:r w:rsidRPr="00B15634">
        <w:rPr>
          <w:rFonts w:ascii="Arial" w:hAnsi="Arial" w:cs="Arial"/>
          <w:b/>
          <w:bCs/>
          <w:sz w:val="20"/>
          <w:szCs w:val="20"/>
          <w:lang w:eastAsia="fr-FR"/>
        </w:rPr>
        <w:t>Obésité abdominale si &gt; 100 cm chez l’homme et &gt; 88 cm chez la femme</w:t>
      </w:r>
      <w:r w:rsidRPr="00B15634">
        <w:rPr>
          <w:rFonts w:ascii="Arial" w:hAnsi="Arial" w:cs="Arial"/>
          <w:sz w:val="20"/>
          <w:szCs w:val="20"/>
          <w:lang w:eastAsia="fr-FR"/>
        </w:rPr>
        <w:t xml:space="preserve"> (en dehors de la grossesse).</w:t>
      </w:r>
    </w:p>
    <w:p w14:paraId="5FFF5576"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Tour de taille (périmètre abdominal) « Obésité centrale » </w:t>
      </w:r>
    </w:p>
    <w:p w14:paraId="617E81FB" w14:textId="77777777" w:rsidR="00ED4694" w:rsidRPr="00B15634" w:rsidRDefault="00ED4694" w:rsidP="00ED4694">
      <w:pPr>
        <w:pStyle w:val="Sansinterligne"/>
        <w:jc w:val="both"/>
        <w:rPr>
          <w:rFonts w:ascii="Arial" w:hAnsi="Arial" w:cs="Arial"/>
          <w:sz w:val="20"/>
          <w:szCs w:val="20"/>
          <w:lang w:eastAsia="fr-FR"/>
        </w:rPr>
      </w:pPr>
    </w:p>
    <w:p w14:paraId="4D4D6C86"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Conséquences</w:t>
      </w:r>
      <w:r w:rsidRPr="00B15634">
        <w:rPr>
          <w:rFonts w:ascii="Arial" w:hAnsi="Arial" w:cs="Arial"/>
          <w:sz w:val="20"/>
          <w:szCs w:val="20"/>
          <w:lang w:eastAsia="fr-FR"/>
        </w:rPr>
        <w:t xml:space="preserve"> de l’obésité : </w:t>
      </w:r>
    </w:p>
    <w:p w14:paraId="2E493190"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lang w:eastAsia="fr-FR"/>
        </w:rPr>
      </w:pPr>
      <w:r w:rsidRPr="00B15634">
        <w:rPr>
          <w:rFonts w:ascii="Arial" w:hAnsi="Arial" w:cs="Arial"/>
          <w:b/>
          <w:bCs/>
          <w:sz w:val="20"/>
          <w:szCs w:val="20"/>
          <w:lang w:eastAsia="fr-FR"/>
        </w:rPr>
        <w:t>DT2</w:t>
      </w:r>
      <w:r w:rsidRPr="00B15634">
        <w:rPr>
          <w:rFonts w:ascii="Arial" w:hAnsi="Arial" w:cs="Arial"/>
          <w:color w:val="009999"/>
          <w:sz w:val="20"/>
          <w:szCs w:val="20"/>
          <w:lang w:eastAsia="fr-FR"/>
        </w:rPr>
        <w:t xml:space="preserve"> </w:t>
      </w:r>
      <w:r w:rsidRPr="00B15634">
        <w:rPr>
          <w:rFonts w:ascii="Arial" w:hAnsi="Arial" w:cs="Arial"/>
          <w:sz w:val="20"/>
          <w:szCs w:val="20"/>
          <w:lang w:eastAsia="fr-FR"/>
        </w:rPr>
        <w:t>(dans 80 % des cas, la maladie est associée à une obésité</w:t>
      </w:r>
      <w:r w:rsidRPr="00B15634">
        <w:rPr>
          <w:rFonts w:ascii="Arial" w:hAnsi="Arial" w:cs="Arial"/>
          <w:color w:val="000000" w:themeColor="text1"/>
          <w:sz w:val="20"/>
          <w:szCs w:val="20"/>
          <w:lang w:eastAsia="fr-FR"/>
        </w:rPr>
        <w:t xml:space="preserve">), </w:t>
      </w:r>
    </w:p>
    <w:p w14:paraId="48FF35D5"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lang w:eastAsia="fr-FR"/>
        </w:rPr>
      </w:pPr>
      <w:r w:rsidRPr="00B15634">
        <w:rPr>
          <w:rFonts w:ascii="Arial" w:hAnsi="Arial" w:cs="Arial"/>
          <w:b/>
          <w:bCs/>
          <w:color w:val="000000" w:themeColor="text1"/>
          <w:sz w:val="20"/>
          <w:szCs w:val="20"/>
          <w:lang w:eastAsia="fr-FR"/>
        </w:rPr>
        <w:t>HTA, atteintes cardiovasculaires</w:t>
      </w:r>
    </w:p>
    <w:p w14:paraId="01C10207"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lang w:eastAsia="fr-FR"/>
        </w:rPr>
      </w:pPr>
      <w:r w:rsidRPr="00B15634">
        <w:rPr>
          <w:rFonts w:ascii="Arial" w:hAnsi="Arial" w:cs="Arial"/>
          <w:b/>
          <w:bCs/>
          <w:color w:val="000000" w:themeColor="text1"/>
          <w:sz w:val="20"/>
          <w:szCs w:val="20"/>
          <w:lang w:eastAsia="fr-FR"/>
        </w:rPr>
        <w:t>dyslipidémie</w:t>
      </w:r>
      <w:r w:rsidRPr="00B15634">
        <w:rPr>
          <w:rFonts w:ascii="Arial" w:hAnsi="Arial" w:cs="Arial"/>
          <w:color w:val="000000" w:themeColor="text1"/>
          <w:sz w:val="20"/>
          <w:szCs w:val="20"/>
          <w:lang w:eastAsia="fr-FR"/>
        </w:rPr>
        <w:t xml:space="preserve"> (excès de lipides dans le sang), </w:t>
      </w:r>
    </w:p>
    <w:p w14:paraId="64776B42"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lang w:eastAsia="fr-FR"/>
        </w:rPr>
      </w:pPr>
      <w:r w:rsidRPr="00B15634">
        <w:rPr>
          <w:rFonts w:ascii="Arial" w:hAnsi="Arial" w:cs="Arial"/>
          <w:b/>
          <w:bCs/>
          <w:color w:val="000000" w:themeColor="text1"/>
          <w:sz w:val="20"/>
          <w:szCs w:val="20"/>
          <w:lang w:eastAsia="fr-FR"/>
        </w:rPr>
        <w:t>Syndrome d’apnée du sommeil et d’autres maladies respiratoires</w:t>
      </w:r>
      <w:r w:rsidRPr="00B15634">
        <w:rPr>
          <w:rFonts w:ascii="Arial" w:hAnsi="Arial" w:cs="Arial"/>
          <w:color w:val="000000" w:themeColor="text1"/>
          <w:sz w:val="20"/>
          <w:szCs w:val="20"/>
          <w:lang w:eastAsia="fr-FR"/>
        </w:rPr>
        <w:t xml:space="preserve">, </w:t>
      </w:r>
    </w:p>
    <w:p w14:paraId="545A9CF8"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Maladies articulaires telles que l’arthrose. </w:t>
      </w:r>
    </w:p>
    <w:p w14:paraId="3344A658"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Associée à un </w:t>
      </w:r>
      <w:r w:rsidRPr="00B15634">
        <w:rPr>
          <w:rFonts w:ascii="Arial" w:hAnsi="Arial" w:cs="Arial"/>
          <w:b/>
          <w:bCs/>
          <w:color w:val="000000" w:themeColor="text1"/>
          <w:sz w:val="20"/>
          <w:szCs w:val="20"/>
          <w:lang w:eastAsia="fr-FR"/>
        </w:rPr>
        <w:t>risque accru de certains cancers</w:t>
      </w:r>
      <w:r w:rsidRPr="00B15634">
        <w:rPr>
          <w:rFonts w:ascii="Arial" w:hAnsi="Arial" w:cs="Arial"/>
          <w:color w:val="000000" w:themeColor="text1"/>
          <w:sz w:val="20"/>
          <w:szCs w:val="20"/>
          <w:lang w:eastAsia="fr-FR"/>
        </w:rPr>
        <w:t xml:space="preserve">, en particulier de cancer de l’endomètre (utérus). </w:t>
      </w:r>
    </w:p>
    <w:p w14:paraId="6BAE460C"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Retentissement psychologique et social de la maladie, qui conduit de nombreux patients à venir consulter. </w:t>
      </w:r>
    </w:p>
    <w:p w14:paraId="17C23086" w14:textId="77777777" w:rsidR="00ED4694" w:rsidRPr="00B15634" w:rsidRDefault="00ED4694" w:rsidP="00ED4694">
      <w:pPr>
        <w:pStyle w:val="Sansinterligne"/>
        <w:jc w:val="both"/>
        <w:rPr>
          <w:rFonts w:ascii="Arial" w:hAnsi="Arial" w:cs="Arial"/>
          <w:sz w:val="20"/>
          <w:szCs w:val="20"/>
          <w:lang w:eastAsia="fr-FR"/>
        </w:rPr>
      </w:pPr>
    </w:p>
    <w:p w14:paraId="0FCC4964"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Complications médicales de l’obésité : </w:t>
      </w:r>
    </w:p>
    <w:p w14:paraId="2B284A76" w14:textId="77777777" w:rsidR="00ED4694" w:rsidRPr="00B15634" w:rsidRDefault="00ED4694" w:rsidP="00ED4694">
      <w:pPr>
        <w:pStyle w:val="Sansinterligne"/>
        <w:jc w:val="center"/>
        <w:rPr>
          <w:rFonts w:ascii="Arial" w:hAnsi="Arial" w:cs="Arial"/>
          <w:sz w:val="20"/>
          <w:szCs w:val="20"/>
          <w:lang w:eastAsia="fr-FR"/>
        </w:rPr>
      </w:pPr>
      <w:r w:rsidRPr="00B15634">
        <w:rPr>
          <w:rFonts w:ascii="Arial" w:hAnsi="Arial" w:cs="Arial"/>
          <w:noProof/>
          <w:sz w:val="20"/>
          <w:szCs w:val="20"/>
          <w:lang w:eastAsia="fr-FR"/>
        </w:rPr>
        <w:drawing>
          <wp:inline distT="0" distB="0" distL="0" distR="0" wp14:anchorId="47A3F300" wp14:editId="77AE184B">
            <wp:extent cx="4072466" cy="2665226"/>
            <wp:effectExtent l="0" t="0" r="4445" b="1905"/>
            <wp:docPr id="17490174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17462" name=""/>
                    <pic:cNvPicPr/>
                  </pic:nvPicPr>
                  <pic:blipFill>
                    <a:blip r:embed="rId72"/>
                    <a:stretch>
                      <a:fillRect/>
                    </a:stretch>
                  </pic:blipFill>
                  <pic:spPr>
                    <a:xfrm>
                      <a:off x="0" y="0"/>
                      <a:ext cx="4085966" cy="2674061"/>
                    </a:xfrm>
                    <a:prstGeom prst="rect">
                      <a:avLst/>
                    </a:prstGeom>
                  </pic:spPr>
                </pic:pic>
              </a:graphicData>
            </a:graphic>
          </wp:inline>
        </w:drawing>
      </w:r>
    </w:p>
    <w:p w14:paraId="43BD4F22" w14:textId="77777777" w:rsidR="00ED4694" w:rsidRPr="00B15634" w:rsidRDefault="00ED4694" w:rsidP="00ED4694">
      <w:pPr>
        <w:pStyle w:val="Sansinterligne"/>
        <w:jc w:val="both"/>
        <w:rPr>
          <w:rFonts w:ascii="Arial" w:hAnsi="Arial" w:cs="Arial"/>
          <w:sz w:val="20"/>
          <w:szCs w:val="20"/>
          <w:lang w:eastAsia="fr-FR"/>
        </w:rPr>
      </w:pPr>
    </w:p>
    <w:p w14:paraId="5091A304" w14:textId="77777777" w:rsidR="00ED4694" w:rsidRPr="00B15634" w:rsidRDefault="00ED4694" w:rsidP="00ED4694">
      <w:pPr>
        <w:pStyle w:val="Sansinterligne"/>
        <w:rPr>
          <w:rFonts w:ascii="Arial" w:hAnsi="Arial" w:cs="Arial"/>
          <w:sz w:val="20"/>
          <w:szCs w:val="20"/>
          <w:lang w:eastAsia="fr-FR"/>
        </w:rPr>
      </w:pPr>
    </w:p>
    <w:p w14:paraId="7E27BE38"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sz w:val="20"/>
          <w:szCs w:val="20"/>
          <w:u w:val="single"/>
          <w:lang w:eastAsia="fr-FR"/>
        </w:rPr>
        <w:t>Syndrome métabolique</w:t>
      </w:r>
      <w:r w:rsidRPr="00B15634">
        <w:rPr>
          <w:rFonts w:ascii="Arial" w:hAnsi="Arial" w:cs="Arial"/>
          <w:sz w:val="20"/>
          <w:szCs w:val="20"/>
          <w:lang w:eastAsia="fr-FR"/>
        </w:rPr>
        <w:t xml:space="preserve"> : aussi appelé syndrome X, n’est </w:t>
      </w:r>
      <w:r w:rsidRPr="00B15634">
        <w:rPr>
          <w:rFonts w:ascii="Arial" w:hAnsi="Arial" w:cs="Arial"/>
          <w:b/>
          <w:bCs/>
          <w:sz w:val="20"/>
          <w:szCs w:val="20"/>
          <w:lang w:eastAsia="fr-FR"/>
        </w:rPr>
        <w:t>pas une maladie</w:t>
      </w:r>
      <w:r w:rsidRPr="00B15634">
        <w:rPr>
          <w:rFonts w:ascii="Arial" w:hAnsi="Arial" w:cs="Arial"/>
          <w:sz w:val="20"/>
          <w:szCs w:val="20"/>
          <w:lang w:eastAsia="fr-FR"/>
        </w:rPr>
        <w:t xml:space="preserve">. Il désigne la </w:t>
      </w:r>
      <w:r w:rsidRPr="00B15634">
        <w:rPr>
          <w:rFonts w:ascii="Arial" w:hAnsi="Arial" w:cs="Arial"/>
          <w:b/>
          <w:bCs/>
          <w:sz w:val="20"/>
          <w:szCs w:val="20"/>
          <w:lang w:eastAsia="fr-FR"/>
        </w:rPr>
        <w:t>présence d’un ensemble de signes physiologiques qui accroissent le risque de diabète de type 2, de maladies cardiaques et d’AVC</w:t>
      </w:r>
      <w:r w:rsidRPr="00B15634">
        <w:rPr>
          <w:rFonts w:ascii="Arial" w:hAnsi="Arial" w:cs="Arial"/>
          <w:sz w:val="20"/>
          <w:szCs w:val="20"/>
          <w:lang w:eastAsia="fr-FR"/>
        </w:rPr>
        <w:t>.</w:t>
      </w:r>
    </w:p>
    <w:p w14:paraId="55B96E8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5D1A7AD"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anchor distT="0" distB="0" distL="114300" distR="114300" simplePos="0" relativeHeight="251695104" behindDoc="1" locked="0" layoutInCell="1" allowOverlap="1" wp14:anchorId="6CE6F885" wp14:editId="73D8E925">
            <wp:simplePos x="0" y="0"/>
            <wp:positionH relativeFrom="column">
              <wp:posOffset>0</wp:posOffset>
            </wp:positionH>
            <wp:positionV relativeFrom="paragraph">
              <wp:posOffset>5080</wp:posOffset>
            </wp:positionV>
            <wp:extent cx="3180266" cy="1884842"/>
            <wp:effectExtent l="0" t="0" r="0" b="0"/>
            <wp:wrapTight wrapText="bothSides">
              <wp:wrapPolygon edited="0">
                <wp:start x="0" y="0"/>
                <wp:lineTo x="0" y="21396"/>
                <wp:lineTo x="21479" y="21396"/>
                <wp:lineTo x="21479" y="0"/>
                <wp:lineTo x="0" y="0"/>
              </wp:wrapPolygon>
            </wp:wrapTight>
            <wp:docPr id="2337474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47454"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180266" cy="1884842"/>
                    </a:xfrm>
                    <a:prstGeom prst="rect">
                      <a:avLst/>
                    </a:prstGeom>
                  </pic:spPr>
                </pic:pic>
              </a:graphicData>
            </a:graphic>
            <wp14:sizeRelH relativeFrom="page">
              <wp14:pctWidth>0</wp14:pctWidth>
            </wp14:sizeRelH>
            <wp14:sizeRelV relativeFrom="page">
              <wp14:pctHeight>0</wp14:pctHeight>
            </wp14:sizeRelV>
          </wp:anchor>
        </w:drawing>
      </w:r>
    </w:p>
    <w:p w14:paraId="171A7D0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E3A4B1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Tour de taille &gt; 94 cm (H), ou &gt; 80 cm (F)</w:t>
      </w:r>
    </w:p>
    <w:p w14:paraId="4D5F358D"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PA </w:t>
      </w:r>
      <m:oMath>
        <m:r>
          <w:rPr>
            <w:rFonts w:ascii="Cambria Math" w:hAnsi="Cambria Math" w:cs="Arial"/>
            <w:color w:val="000000" w:themeColor="text1"/>
            <w:sz w:val="20"/>
            <w:szCs w:val="20"/>
            <w:lang w:eastAsia="fr-FR"/>
          </w:rPr>
          <m:t>≥</m:t>
        </m:r>
      </m:oMath>
      <w:r w:rsidRPr="00B15634">
        <w:rPr>
          <w:rFonts w:ascii="Arial" w:hAnsi="Arial" w:cs="Arial"/>
          <w:color w:val="000000" w:themeColor="text1"/>
          <w:sz w:val="20"/>
          <w:szCs w:val="20"/>
          <w:lang w:eastAsia="fr-FR"/>
        </w:rPr>
        <w:t xml:space="preserve"> 130/85 mmHg</w:t>
      </w:r>
    </w:p>
    <w:p w14:paraId="589642A7"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HDL (bon cholestérol) &lt; 0,40 g/L (H), &lt; 0,5 g/L (F)</w:t>
      </w:r>
    </w:p>
    <w:p w14:paraId="1787F81B"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TG (triglycérides) </w:t>
      </w:r>
      <m:oMath>
        <m:r>
          <w:rPr>
            <w:rFonts w:ascii="Cambria Math" w:hAnsi="Cambria Math" w:cs="Arial"/>
            <w:color w:val="000000" w:themeColor="text1"/>
            <w:sz w:val="20"/>
            <w:szCs w:val="20"/>
            <w:lang w:eastAsia="fr-FR"/>
          </w:rPr>
          <m:t>≥</m:t>
        </m:r>
      </m:oMath>
      <w:r w:rsidRPr="00B15634">
        <w:rPr>
          <w:rFonts w:ascii="Arial" w:hAnsi="Arial" w:cs="Arial"/>
          <w:color w:val="000000" w:themeColor="text1"/>
          <w:sz w:val="20"/>
          <w:szCs w:val="20"/>
          <w:lang w:eastAsia="fr-FR"/>
        </w:rPr>
        <w:t xml:space="preserve"> 1,5 g/L</w:t>
      </w:r>
    </w:p>
    <w:p w14:paraId="5645EBD0"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 GAJ (glycémie à jeun) </w:t>
      </w:r>
      <m:oMath>
        <m:r>
          <w:rPr>
            <w:rFonts w:ascii="Cambria Math" w:hAnsi="Cambria Math" w:cs="Arial"/>
            <w:color w:val="000000" w:themeColor="text1"/>
            <w:sz w:val="20"/>
            <w:szCs w:val="20"/>
            <w:lang w:eastAsia="fr-FR"/>
          </w:rPr>
          <m:t>≥</m:t>
        </m:r>
      </m:oMath>
      <w:r w:rsidRPr="00B15634">
        <w:rPr>
          <w:rFonts w:ascii="Arial" w:hAnsi="Arial" w:cs="Arial"/>
          <w:color w:val="000000" w:themeColor="text1"/>
          <w:sz w:val="20"/>
          <w:szCs w:val="20"/>
          <w:lang w:eastAsia="fr-FR"/>
        </w:rPr>
        <w:t xml:space="preserve"> 1,0 g/L</w:t>
      </w:r>
    </w:p>
    <w:p w14:paraId="537479C1"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66FD03C"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A944F95"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6BDF36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02F7C06"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8B5E892"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15A7DC38"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3B8062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5D07CF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A56695E"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01514FC"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73D2FF94"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0A3D0AC"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7890C5C"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FABEFE7" w14:textId="77777777" w:rsidR="00ED4694" w:rsidRPr="00B15634" w:rsidRDefault="00ED4694" w:rsidP="00ED4694">
      <w:pPr>
        <w:pStyle w:val="Sansinterligne"/>
        <w:jc w:val="both"/>
        <w:rPr>
          <w:rFonts w:ascii="Arial" w:hAnsi="Arial" w:cs="Arial"/>
          <w:b/>
          <w:bCs/>
          <w:color w:val="000000" w:themeColor="text1"/>
          <w:sz w:val="20"/>
          <w:szCs w:val="20"/>
          <w:u w:val="single"/>
          <w:lang w:eastAsia="fr-FR"/>
        </w:rPr>
      </w:pPr>
      <w:r w:rsidRPr="00B15634">
        <w:rPr>
          <w:rFonts w:ascii="Arial" w:hAnsi="Arial" w:cs="Arial"/>
          <w:b/>
          <w:bCs/>
          <w:color w:val="000000" w:themeColor="text1"/>
          <w:sz w:val="20"/>
          <w:szCs w:val="20"/>
          <w:highlight w:val="yellow"/>
          <w:u w:val="single"/>
          <w:lang w:eastAsia="fr-FR"/>
        </w:rPr>
        <w:lastRenderedPageBreak/>
        <w:t>CM8</w:t>
      </w:r>
      <w:r w:rsidRPr="00B15634">
        <w:rPr>
          <w:rFonts w:ascii="Arial" w:hAnsi="Arial" w:cs="Arial"/>
          <w:b/>
          <w:bCs/>
          <w:color w:val="000000" w:themeColor="text1"/>
          <w:sz w:val="20"/>
          <w:szCs w:val="20"/>
          <w:u w:val="single"/>
          <w:lang w:eastAsia="fr-FR"/>
        </w:rPr>
        <w:t xml:space="preserve"> – Insulino-résistance : un problème de santé publique majeur </w:t>
      </w:r>
    </w:p>
    <w:p w14:paraId="121F450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54A7E014" w14:textId="77777777" w:rsidR="00ED4694" w:rsidRPr="00B15634" w:rsidRDefault="00ED4694" w:rsidP="00ED4694">
      <w:pPr>
        <w:pStyle w:val="Sansinterligne"/>
        <w:numPr>
          <w:ilvl w:val="0"/>
          <w:numId w:val="142"/>
        </w:numPr>
        <w:jc w:val="both"/>
        <w:rPr>
          <w:rFonts w:ascii="Arial" w:hAnsi="Arial" w:cs="Arial"/>
          <w:b/>
          <w:bCs/>
          <w:color w:val="00B0F0"/>
          <w:sz w:val="20"/>
          <w:szCs w:val="20"/>
          <w:u w:val="single"/>
          <w:lang w:eastAsia="fr-FR"/>
        </w:rPr>
      </w:pPr>
      <w:r w:rsidRPr="00B15634">
        <w:rPr>
          <w:rFonts w:ascii="Arial" w:hAnsi="Arial" w:cs="Arial"/>
          <w:b/>
          <w:bCs/>
          <w:color w:val="00B0F0"/>
          <w:sz w:val="20"/>
          <w:szCs w:val="20"/>
          <w:u w:val="single"/>
          <w:lang w:eastAsia="fr-FR"/>
        </w:rPr>
        <w:t>Introduction</w:t>
      </w:r>
    </w:p>
    <w:p w14:paraId="474C447E"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Insulino-résistance</w:t>
      </w:r>
      <w:r w:rsidRPr="00B15634">
        <w:rPr>
          <w:rFonts w:ascii="Arial" w:hAnsi="Arial" w:cs="Arial"/>
          <w:color w:val="000000" w:themeColor="text1"/>
          <w:sz w:val="20"/>
          <w:szCs w:val="20"/>
          <w:lang w:eastAsia="fr-FR"/>
        </w:rPr>
        <w:t xml:space="preserve"> : Pandémie qui résulte d’un changement de mode de vie : </w:t>
      </w:r>
      <w:r w:rsidRPr="00DD18E1">
        <w:rPr>
          <w:rFonts w:ascii="Arial" w:hAnsi="Arial" w:cs="Arial"/>
          <w:b/>
          <w:bCs/>
          <w:color w:val="000000" w:themeColor="text1"/>
          <w:sz w:val="20"/>
          <w:szCs w:val="20"/>
          <w:lang w:eastAsia="fr-FR"/>
        </w:rPr>
        <w:t>augmentation de la sédentarité</w:t>
      </w:r>
      <w:r w:rsidRPr="00B15634">
        <w:rPr>
          <w:rFonts w:ascii="Arial" w:hAnsi="Arial" w:cs="Arial"/>
          <w:color w:val="000000" w:themeColor="text1"/>
          <w:sz w:val="20"/>
          <w:szCs w:val="20"/>
          <w:lang w:eastAsia="fr-FR"/>
        </w:rPr>
        <w:t xml:space="preserve"> et de la </w:t>
      </w:r>
      <w:r w:rsidRPr="00DD18E1">
        <w:rPr>
          <w:rFonts w:ascii="Arial" w:hAnsi="Arial" w:cs="Arial"/>
          <w:b/>
          <w:bCs/>
          <w:color w:val="000000" w:themeColor="text1"/>
          <w:sz w:val="20"/>
          <w:szCs w:val="20"/>
          <w:lang w:eastAsia="fr-FR"/>
        </w:rPr>
        <w:t>consommation d’aliments densément caloriques</w:t>
      </w:r>
      <w:r w:rsidRPr="00B15634">
        <w:rPr>
          <w:rFonts w:ascii="Arial" w:hAnsi="Arial" w:cs="Arial"/>
          <w:color w:val="000000" w:themeColor="text1"/>
          <w:sz w:val="20"/>
          <w:szCs w:val="20"/>
          <w:lang w:eastAsia="fr-FR"/>
        </w:rPr>
        <w:t xml:space="preserve"> : riches en lipides et en sucre </w:t>
      </w:r>
    </w:p>
    <w:p w14:paraId="53EC7ED2"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Culturel : « Opulence des chairs »</w:t>
      </w:r>
    </w:p>
    <w:p w14:paraId="32CA317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Elle se traduit par une réponse inadaptée des cellules cibles de l’insuline dans les différents tissus (diminution de l’action métabolique de l’insuline sur ses tissus cibles = diminution de sensibilité à l’insuline et se traduit au niveau de l’organisme entier par une diminution de son action hypoglycémiante).</w:t>
      </w:r>
    </w:p>
    <w:p w14:paraId="11D80FF3"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8E8AAD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u w:val="single"/>
          <w:lang w:eastAsia="fr-FR"/>
        </w:rPr>
        <w:t>Clinique :</w:t>
      </w:r>
      <w:r w:rsidRPr="00B15634">
        <w:rPr>
          <w:rFonts w:ascii="Arial" w:hAnsi="Arial" w:cs="Arial"/>
          <w:color w:val="000000" w:themeColor="text1"/>
          <w:sz w:val="20"/>
          <w:szCs w:val="20"/>
          <w:lang w:eastAsia="fr-FR"/>
        </w:rPr>
        <w:t xml:space="preserve"> présence de </w:t>
      </w:r>
      <w:r w:rsidRPr="00D67733">
        <w:rPr>
          <w:rFonts w:ascii="Arial" w:hAnsi="Arial" w:cs="Arial"/>
          <w:b/>
          <w:bCs/>
          <w:color w:val="000000" w:themeColor="text1"/>
          <w:sz w:val="20"/>
          <w:szCs w:val="20"/>
          <w:lang w:eastAsia="fr-FR"/>
        </w:rPr>
        <w:t>lipides hors des adipocytes</w:t>
      </w:r>
      <w:r w:rsidRPr="00B15634">
        <w:rPr>
          <w:rFonts w:ascii="Arial" w:hAnsi="Arial" w:cs="Arial"/>
          <w:color w:val="000000" w:themeColor="text1"/>
          <w:sz w:val="20"/>
          <w:szCs w:val="20"/>
          <w:lang w:eastAsia="fr-FR"/>
        </w:rPr>
        <w:t xml:space="preserve"> directement dans les tissus cibles de l’insuline (« lipides ectopiques ») avec accumulation de tissu adipeux tronculaire abdominal et viscéral/surpoids. </w:t>
      </w:r>
    </w:p>
    <w:p w14:paraId="00EE60C9"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C’est un état réversible, témoin d’une souffrance métabolique.</w:t>
      </w:r>
    </w:p>
    <w:p w14:paraId="5403A35C"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Rôle central dans le développement de l’obésité et du DT2, des pathologies métaboliques</w:t>
      </w:r>
    </w:p>
    <w:p w14:paraId="2A9EDDE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Présence de lipide ectopique – abdominale </w:t>
      </w:r>
    </w:p>
    <w:p w14:paraId="2BB4F324"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Etat réversible </w:t>
      </w:r>
    </w:p>
    <w:p w14:paraId="57E07355" w14:textId="32AA687E" w:rsidR="00ED4694" w:rsidRPr="00B15634" w:rsidRDefault="00ED4694" w:rsidP="00ED4694">
      <w:pPr>
        <w:pStyle w:val="Sansinterligne"/>
        <w:numPr>
          <w:ilvl w:val="0"/>
          <w:numId w:val="14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Aucun médoc AMM pour l’insulinorésistance mais l’avenir</w:t>
      </w:r>
    </w:p>
    <w:p w14:paraId="58B57A1D"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451A9C80"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C3BA8">
        <w:rPr>
          <w:rFonts w:ascii="Arial" w:hAnsi="Arial" w:cs="Arial"/>
          <w:color w:val="000000" w:themeColor="text1"/>
          <w:sz w:val="20"/>
          <w:szCs w:val="20"/>
          <w:u w:val="single"/>
          <w:lang w:eastAsia="fr-FR"/>
        </w:rPr>
        <w:t>Étiologies</w:t>
      </w:r>
      <w:r w:rsidRPr="00B15634">
        <w:rPr>
          <w:rFonts w:ascii="Arial" w:hAnsi="Arial" w:cs="Arial"/>
          <w:color w:val="000000" w:themeColor="text1"/>
          <w:sz w:val="20"/>
          <w:szCs w:val="20"/>
          <w:lang w:eastAsia="fr-FR"/>
        </w:rPr>
        <w:t xml:space="preserve"> : </w:t>
      </w:r>
    </w:p>
    <w:p w14:paraId="28F2BEE8"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Ethnie : certaines ethnies sont à la recherche d’une certaine opulence</w:t>
      </w:r>
    </w:p>
    <w:p w14:paraId="03928D0C"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Génétique : GWAS zones génomes / variants (certains variants sont assimilés à l’insulino-résistance)</w:t>
      </w:r>
    </w:p>
    <w:p w14:paraId="2839B2C5"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Vieillissement de la population </w:t>
      </w:r>
    </w:p>
    <w:p w14:paraId="488BE5E4"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Épigénétique : facteurs environnementaux – mode de vie</w:t>
      </w:r>
    </w:p>
    <w:p w14:paraId="39FF29C1" w14:textId="77777777" w:rsidR="00ED4694" w:rsidRPr="00B15634" w:rsidRDefault="00ED4694" w:rsidP="00ED4694">
      <w:pPr>
        <w:pStyle w:val="Sansinterligne"/>
        <w:jc w:val="both"/>
        <w:rPr>
          <w:rFonts w:ascii="Arial" w:hAnsi="Arial" w:cs="Arial"/>
          <w:b/>
          <w:bCs/>
          <w:color w:val="00B0F0"/>
          <w:sz w:val="20"/>
          <w:szCs w:val="20"/>
          <w:u w:val="single"/>
          <w:lang w:eastAsia="fr-FR"/>
        </w:rPr>
      </w:pPr>
    </w:p>
    <w:p w14:paraId="0CF1A75C" w14:textId="77777777" w:rsidR="00ED4694" w:rsidRPr="00B15634" w:rsidRDefault="00ED4694" w:rsidP="00ED4694">
      <w:pPr>
        <w:pStyle w:val="Sansinterligne"/>
        <w:numPr>
          <w:ilvl w:val="0"/>
          <w:numId w:val="142"/>
        </w:numPr>
        <w:jc w:val="both"/>
        <w:rPr>
          <w:rFonts w:ascii="Arial" w:hAnsi="Arial" w:cs="Arial"/>
          <w:b/>
          <w:bCs/>
          <w:color w:val="00B0F0"/>
          <w:sz w:val="20"/>
          <w:szCs w:val="20"/>
          <w:u w:val="single"/>
          <w:lang w:eastAsia="fr-FR"/>
        </w:rPr>
      </w:pPr>
      <w:r w:rsidRPr="00B15634">
        <w:rPr>
          <w:rFonts w:ascii="Arial" w:hAnsi="Arial" w:cs="Arial"/>
          <w:b/>
          <w:bCs/>
          <w:color w:val="00B0F0"/>
          <w:sz w:val="20"/>
          <w:szCs w:val="20"/>
          <w:u w:val="single"/>
          <w:lang w:eastAsia="fr-FR"/>
        </w:rPr>
        <w:t xml:space="preserve">Rappels métabolisme énergétique : âge, culturel, épigénétique, hypothèses récentes : </w:t>
      </w:r>
    </w:p>
    <w:p w14:paraId="2DAE2A86"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anchor distT="0" distB="0" distL="114300" distR="114300" simplePos="0" relativeHeight="251696128" behindDoc="1" locked="0" layoutInCell="1" allowOverlap="1" wp14:anchorId="637520C2" wp14:editId="1F76971C">
            <wp:simplePos x="0" y="0"/>
            <wp:positionH relativeFrom="column">
              <wp:posOffset>3013075</wp:posOffset>
            </wp:positionH>
            <wp:positionV relativeFrom="paragraph">
              <wp:posOffset>99695</wp:posOffset>
            </wp:positionV>
            <wp:extent cx="3787140" cy="2075815"/>
            <wp:effectExtent l="0" t="0" r="0" b="0"/>
            <wp:wrapTight wrapText="bothSides">
              <wp:wrapPolygon edited="0">
                <wp:start x="0" y="0"/>
                <wp:lineTo x="0" y="21408"/>
                <wp:lineTo x="21513" y="21408"/>
                <wp:lineTo x="21513" y="0"/>
                <wp:lineTo x="0" y="0"/>
              </wp:wrapPolygon>
            </wp:wrapTight>
            <wp:docPr id="17924623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62320" name=""/>
                    <pic:cNvPicPr/>
                  </pic:nvPicPr>
                  <pic:blipFill>
                    <a:blip r:embed="rId74">
                      <a:extLst>
                        <a:ext uri="{28A0092B-C50C-407E-A947-70E740481C1C}">
                          <a14:useLocalDpi xmlns:a14="http://schemas.microsoft.com/office/drawing/2010/main" val="0"/>
                        </a:ext>
                      </a:extLst>
                    </a:blip>
                    <a:stretch>
                      <a:fillRect/>
                    </a:stretch>
                  </pic:blipFill>
                  <pic:spPr>
                    <a:xfrm>
                      <a:off x="0" y="0"/>
                      <a:ext cx="3787140" cy="2075815"/>
                    </a:xfrm>
                    <a:prstGeom prst="rect">
                      <a:avLst/>
                    </a:prstGeom>
                  </pic:spPr>
                </pic:pic>
              </a:graphicData>
            </a:graphic>
            <wp14:sizeRelH relativeFrom="page">
              <wp14:pctWidth>0</wp14:pctWidth>
            </wp14:sizeRelH>
            <wp14:sizeRelV relativeFrom="page">
              <wp14:pctHeight>0</wp14:pctHeight>
            </wp14:sizeRelV>
          </wp:anchor>
        </w:drawing>
      </w:r>
    </w:p>
    <w:p w14:paraId="0DA20FB4" w14:textId="77777777" w:rsidR="00ED4694" w:rsidRPr="00B15634" w:rsidRDefault="00ED4694" w:rsidP="00ED4694">
      <w:pPr>
        <w:pStyle w:val="Sansinterligne"/>
        <w:rPr>
          <w:rFonts w:ascii="Arial" w:hAnsi="Arial" w:cs="Arial"/>
          <w:color w:val="000000" w:themeColor="text1"/>
          <w:sz w:val="20"/>
          <w:szCs w:val="20"/>
          <w:lang w:eastAsia="fr-FR"/>
        </w:rPr>
      </w:pPr>
    </w:p>
    <w:p w14:paraId="1D4128A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Les glucides, lipides et protéines sont absorbés sous différentes formes. </w:t>
      </w:r>
    </w:p>
    <w:p w14:paraId="67C0AA30"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Au niveau sanguin, on parlera de glucose, AG et AA. Ces aliments et nutriments sont nécessaires à la production d’énergie. </w:t>
      </w:r>
    </w:p>
    <w:p w14:paraId="654DDD62"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Les </w:t>
      </w:r>
      <w:r w:rsidRPr="00937D39">
        <w:rPr>
          <w:rFonts w:ascii="Arial" w:hAnsi="Arial" w:cs="Arial"/>
          <w:b/>
          <w:bCs/>
          <w:color w:val="000000" w:themeColor="text1"/>
          <w:sz w:val="20"/>
          <w:szCs w:val="20"/>
          <w:lang w:eastAsia="fr-FR"/>
        </w:rPr>
        <w:t>apports glucidiques</w:t>
      </w:r>
      <w:r w:rsidRPr="00B15634">
        <w:rPr>
          <w:rFonts w:ascii="Arial" w:hAnsi="Arial" w:cs="Arial"/>
          <w:color w:val="000000" w:themeColor="text1"/>
          <w:sz w:val="20"/>
          <w:szCs w:val="20"/>
          <w:lang w:eastAsia="fr-FR"/>
        </w:rPr>
        <w:t xml:space="preserve"> sont de 50-55% de l’apport énergétique, 30-40% pour les apports lipidiques et 10-15% pour les apports protéiques. </w:t>
      </w:r>
    </w:p>
    <w:p w14:paraId="7732F2A8" w14:textId="77777777" w:rsidR="00ED4694" w:rsidRPr="00B15634" w:rsidRDefault="00ED4694" w:rsidP="00ED4694">
      <w:pPr>
        <w:pStyle w:val="Sansinterligne"/>
        <w:rPr>
          <w:rFonts w:ascii="Arial" w:hAnsi="Arial" w:cs="Arial"/>
          <w:color w:val="000000" w:themeColor="text1"/>
          <w:sz w:val="20"/>
          <w:szCs w:val="20"/>
          <w:lang w:eastAsia="fr-FR"/>
        </w:rPr>
      </w:pPr>
    </w:p>
    <w:p w14:paraId="7894131C" w14:textId="77777777" w:rsidR="00ED4694" w:rsidRPr="00B15634" w:rsidRDefault="00ED4694" w:rsidP="00ED4694">
      <w:pPr>
        <w:pStyle w:val="Sansinterligne"/>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Phase post-prandiale : constitution de réservés </w:t>
      </w:r>
    </w:p>
    <w:p w14:paraId="63AE1194" w14:textId="77777777" w:rsidR="00ED4694" w:rsidRPr="00B15634" w:rsidRDefault="00ED4694" w:rsidP="00ED4694">
      <w:pPr>
        <w:pStyle w:val="Sansinterligne"/>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Phase de jeune : consommation des réserves </w:t>
      </w:r>
    </w:p>
    <w:p w14:paraId="27E55713" w14:textId="77777777" w:rsidR="00ED4694" w:rsidRPr="00B15634" w:rsidRDefault="00ED4694" w:rsidP="00ED4694">
      <w:pPr>
        <w:pStyle w:val="Sansinterligne"/>
        <w:rPr>
          <w:rFonts w:ascii="Arial" w:hAnsi="Arial" w:cs="Arial"/>
          <w:color w:val="000000" w:themeColor="text1"/>
          <w:sz w:val="20"/>
          <w:szCs w:val="20"/>
          <w:lang w:eastAsia="fr-FR"/>
        </w:rPr>
      </w:pPr>
    </w:p>
    <w:p w14:paraId="244A347E"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anchor distT="0" distB="0" distL="114300" distR="114300" simplePos="0" relativeHeight="251697152" behindDoc="1" locked="0" layoutInCell="1" allowOverlap="1" wp14:anchorId="238FBE7A" wp14:editId="5C8B15BA">
            <wp:simplePos x="0" y="0"/>
            <wp:positionH relativeFrom="column">
              <wp:posOffset>-137795</wp:posOffset>
            </wp:positionH>
            <wp:positionV relativeFrom="paragraph">
              <wp:posOffset>179230</wp:posOffset>
            </wp:positionV>
            <wp:extent cx="4043045" cy="1707515"/>
            <wp:effectExtent l="0" t="0" r="0" b="0"/>
            <wp:wrapTight wrapText="bothSides">
              <wp:wrapPolygon edited="0">
                <wp:start x="0" y="0"/>
                <wp:lineTo x="0" y="21367"/>
                <wp:lineTo x="21508" y="21367"/>
                <wp:lineTo x="21508" y="0"/>
                <wp:lineTo x="0" y="0"/>
              </wp:wrapPolygon>
            </wp:wrapTight>
            <wp:docPr id="10148373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837326" name=""/>
                    <pic:cNvPicPr/>
                  </pic:nvPicPr>
                  <pic:blipFill rotWithShape="1">
                    <a:blip r:embed="rId75">
                      <a:extLst>
                        <a:ext uri="{28A0092B-C50C-407E-A947-70E740481C1C}">
                          <a14:useLocalDpi xmlns:a14="http://schemas.microsoft.com/office/drawing/2010/main" val="0"/>
                        </a:ext>
                      </a:extLst>
                    </a:blip>
                    <a:srcRect r="6885"/>
                    <a:stretch/>
                  </pic:blipFill>
                  <pic:spPr bwMode="auto">
                    <a:xfrm>
                      <a:off x="0" y="0"/>
                      <a:ext cx="4043045" cy="1707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CC8F47" w14:textId="77777777" w:rsidR="00ED4694" w:rsidRPr="00B15634" w:rsidRDefault="00ED4694" w:rsidP="00ED4694">
      <w:pPr>
        <w:pStyle w:val="Sansinterligne"/>
        <w:jc w:val="center"/>
        <w:rPr>
          <w:rFonts w:ascii="Arial" w:hAnsi="Arial" w:cs="Arial"/>
          <w:color w:val="000000" w:themeColor="text1"/>
          <w:sz w:val="20"/>
          <w:szCs w:val="20"/>
          <w:lang w:eastAsia="fr-FR"/>
        </w:rPr>
      </w:pPr>
    </w:p>
    <w:p w14:paraId="3BA177E7"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3C819BFB"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Post-prandial : </w:t>
      </w:r>
      <w:r w:rsidRPr="00937D39">
        <w:rPr>
          <w:rFonts w:ascii="Arial" w:hAnsi="Arial" w:cs="Arial"/>
          <w:b/>
          <w:bCs/>
          <w:color w:val="000000" w:themeColor="text1"/>
          <w:sz w:val="20"/>
          <w:szCs w:val="20"/>
          <w:lang w:eastAsia="fr-FR"/>
        </w:rPr>
        <w:t>constitution de réserves dans les 4h qui suivent le repas</w:t>
      </w:r>
      <w:r w:rsidRPr="00B15634">
        <w:rPr>
          <w:rFonts w:ascii="Arial" w:hAnsi="Arial" w:cs="Arial"/>
          <w:color w:val="000000" w:themeColor="text1"/>
          <w:sz w:val="20"/>
          <w:szCs w:val="20"/>
          <w:lang w:eastAsia="fr-FR"/>
        </w:rPr>
        <w:t xml:space="preserve">. </w:t>
      </w:r>
    </w:p>
    <w:p w14:paraId="5349B576"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Au-delà de 4h, on est dans un </w:t>
      </w:r>
      <w:r w:rsidRPr="00937D39">
        <w:rPr>
          <w:rFonts w:ascii="Arial" w:hAnsi="Arial" w:cs="Arial"/>
          <w:b/>
          <w:bCs/>
          <w:color w:val="000000" w:themeColor="text1"/>
          <w:sz w:val="20"/>
          <w:szCs w:val="20"/>
          <w:lang w:eastAsia="fr-FR"/>
        </w:rPr>
        <w:t>jeûne physiologique</w:t>
      </w:r>
      <w:r w:rsidRPr="00B15634">
        <w:rPr>
          <w:rFonts w:ascii="Arial" w:hAnsi="Arial" w:cs="Arial"/>
          <w:color w:val="000000" w:themeColor="text1"/>
          <w:sz w:val="20"/>
          <w:szCs w:val="20"/>
          <w:lang w:eastAsia="fr-FR"/>
        </w:rPr>
        <w:t xml:space="preserve"> puis jeûne prolongé au-delà de 12h. </w:t>
      </w:r>
    </w:p>
    <w:p w14:paraId="4DC3626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Balance régulée par des hormones : production d’insuline juste après le repas. Insulinémie diminue jusqu’à H12, avec un relai d’hormones hyperglycémiantes (glucagon, cortisol, GH)</w:t>
      </w:r>
    </w:p>
    <w:p w14:paraId="5BA40BBF" w14:textId="77777777" w:rsidR="00ED4694" w:rsidRPr="00B15634" w:rsidRDefault="00ED4694" w:rsidP="00ED4694">
      <w:pPr>
        <w:pStyle w:val="Sansinterligne"/>
        <w:rPr>
          <w:rFonts w:ascii="Arial" w:hAnsi="Arial" w:cs="Arial"/>
          <w:color w:val="000000" w:themeColor="text1"/>
          <w:sz w:val="20"/>
          <w:szCs w:val="20"/>
          <w:lang w:eastAsia="fr-FR"/>
        </w:rPr>
      </w:pPr>
    </w:p>
    <w:p w14:paraId="3F638CE8"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6921770C" w14:textId="77777777" w:rsidR="00ED4694" w:rsidRPr="00B15634" w:rsidRDefault="00ED4694" w:rsidP="00ED4694">
      <w:pPr>
        <w:pStyle w:val="Sansinterligne"/>
        <w:jc w:val="both"/>
        <w:rPr>
          <w:rFonts w:ascii="Arial" w:eastAsiaTheme="minorEastAsia" w:hAnsi="Arial" w:cs="Arial"/>
          <w:color w:val="000000" w:themeColor="text1"/>
          <w:sz w:val="20"/>
          <w:szCs w:val="20"/>
          <w:lang w:eastAsia="fr-FR"/>
        </w:rPr>
      </w:pPr>
      <w:r w:rsidRPr="00B15634">
        <w:rPr>
          <w:rFonts w:ascii="Arial" w:hAnsi="Arial" w:cs="Arial"/>
          <w:color w:val="000000" w:themeColor="text1"/>
          <w:sz w:val="20"/>
          <w:szCs w:val="20"/>
          <w:u w:val="single"/>
          <w:lang w:eastAsia="fr-FR"/>
        </w:rPr>
        <w:t>L’insuline</w:t>
      </w:r>
      <w:r w:rsidRPr="00B15634">
        <w:rPr>
          <w:rFonts w:ascii="Arial" w:hAnsi="Arial" w:cs="Arial"/>
          <w:color w:val="000000" w:themeColor="text1"/>
          <w:sz w:val="20"/>
          <w:szCs w:val="20"/>
          <w:lang w:eastAsia="fr-FR"/>
        </w:rPr>
        <w:t xml:space="preserve"> : synthétisée par C </w:t>
      </w:r>
      <m:oMath>
        <m:r>
          <w:rPr>
            <w:rFonts w:ascii="Cambria Math" w:hAnsi="Cambria Math" w:cs="Arial"/>
            <w:color w:val="000000" w:themeColor="text1"/>
            <w:sz w:val="20"/>
            <w:szCs w:val="20"/>
            <w:lang w:eastAsia="fr-FR"/>
          </w:rPr>
          <m:t>β</m:t>
        </m:r>
      </m:oMath>
      <w:r w:rsidRPr="00B15634">
        <w:rPr>
          <w:rFonts w:ascii="Arial" w:eastAsiaTheme="minorEastAsia" w:hAnsi="Arial" w:cs="Arial"/>
          <w:color w:val="000000" w:themeColor="text1"/>
          <w:sz w:val="20"/>
          <w:szCs w:val="20"/>
          <w:lang w:eastAsia="fr-FR"/>
        </w:rPr>
        <w:t xml:space="preserve"> des ilots de Langerhans : prépro insuline – pro insuline – insuline. Stockée dans des vésicules des </w:t>
      </w:r>
      <w:r w:rsidRPr="00B15634">
        <w:rPr>
          <w:rFonts w:ascii="Arial" w:hAnsi="Arial" w:cs="Arial"/>
          <w:color w:val="000000" w:themeColor="text1"/>
          <w:sz w:val="20"/>
          <w:szCs w:val="20"/>
          <w:lang w:eastAsia="fr-FR"/>
        </w:rPr>
        <w:t xml:space="preserve">C </w:t>
      </w:r>
      <m:oMath>
        <m:r>
          <w:rPr>
            <w:rFonts w:ascii="Cambria Math" w:hAnsi="Cambria Math" w:cs="Arial"/>
            <w:color w:val="000000" w:themeColor="text1"/>
            <w:sz w:val="20"/>
            <w:szCs w:val="20"/>
            <w:lang w:eastAsia="fr-FR"/>
          </w:rPr>
          <m:t>β</m:t>
        </m:r>
      </m:oMath>
      <w:r w:rsidRPr="00B15634">
        <w:rPr>
          <w:rFonts w:ascii="Arial" w:eastAsiaTheme="minorEastAsia" w:hAnsi="Arial" w:cs="Arial"/>
          <w:color w:val="000000" w:themeColor="text1"/>
          <w:sz w:val="20"/>
          <w:szCs w:val="20"/>
          <w:lang w:eastAsia="fr-FR"/>
        </w:rPr>
        <w:t xml:space="preserve"> des ilots de Langerhans. </w:t>
      </w:r>
      <w:r w:rsidRPr="00716434">
        <w:rPr>
          <w:rFonts w:ascii="Arial" w:eastAsiaTheme="minorEastAsia" w:hAnsi="Arial" w:cs="Arial"/>
          <w:b/>
          <w:bCs/>
          <w:color w:val="000000" w:themeColor="text1"/>
          <w:sz w:val="20"/>
          <w:szCs w:val="20"/>
          <w:lang w:eastAsia="fr-FR"/>
        </w:rPr>
        <w:t>Seule hormone hypoglycémiante</w:t>
      </w:r>
      <w:r w:rsidRPr="00B15634">
        <w:rPr>
          <w:rFonts w:ascii="Arial" w:eastAsiaTheme="minorEastAsia" w:hAnsi="Arial" w:cs="Arial"/>
          <w:color w:val="000000" w:themeColor="text1"/>
          <w:sz w:val="20"/>
          <w:szCs w:val="20"/>
          <w:lang w:eastAsia="fr-FR"/>
        </w:rPr>
        <w:t xml:space="preserve">. </w:t>
      </w:r>
    </w:p>
    <w:p w14:paraId="43E0EE3C" w14:textId="77777777" w:rsidR="00ED4694" w:rsidRPr="00B15634" w:rsidRDefault="00ED4694" w:rsidP="00ED4694">
      <w:pPr>
        <w:pStyle w:val="Sansinterligne"/>
        <w:jc w:val="both"/>
        <w:rPr>
          <w:rFonts w:ascii="Arial" w:eastAsiaTheme="minorEastAsia" w:hAnsi="Arial" w:cs="Arial"/>
          <w:color w:val="000000" w:themeColor="text1"/>
          <w:sz w:val="20"/>
          <w:szCs w:val="20"/>
          <w:lang w:eastAsia="fr-FR"/>
        </w:rPr>
      </w:pPr>
      <w:r w:rsidRPr="00B15634">
        <w:rPr>
          <w:rFonts w:ascii="Arial" w:eastAsiaTheme="minorEastAsia" w:hAnsi="Arial" w:cs="Arial"/>
          <w:color w:val="000000" w:themeColor="text1"/>
          <w:sz w:val="20"/>
          <w:szCs w:val="20"/>
          <w:lang w:eastAsia="fr-FR"/>
        </w:rPr>
        <w:t>Toute hyperglycémie stimule la sécrétion d’insuline stockée dans les vésicules et augmente la synthèse de l’insuline.</w:t>
      </w:r>
    </w:p>
    <w:p w14:paraId="27205CB3" w14:textId="77777777" w:rsidR="00ED4694" w:rsidRPr="00B15634" w:rsidRDefault="00ED4694" w:rsidP="00ED4694">
      <w:pPr>
        <w:pStyle w:val="Sansinterligne"/>
        <w:jc w:val="both"/>
        <w:rPr>
          <w:rFonts w:ascii="Arial" w:eastAsiaTheme="minorEastAsia" w:hAnsi="Arial" w:cs="Arial"/>
          <w:color w:val="000000" w:themeColor="text1"/>
          <w:sz w:val="20"/>
          <w:szCs w:val="20"/>
          <w:lang w:eastAsia="fr-FR"/>
        </w:rPr>
      </w:pPr>
      <w:r w:rsidRPr="00B15634">
        <w:rPr>
          <w:rFonts w:ascii="Arial" w:eastAsiaTheme="minorEastAsia" w:hAnsi="Arial" w:cs="Arial"/>
          <w:color w:val="000000" w:themeColor="text1"/>
          <w:sz w:val="20"/>
          <w:szCs w:val="20"/>
          <w:lang w:eastAsia="fr-FR"/>
        </w:rPr>
        <w:t xml:space="preserve">Fixation insuline sur son R </w:t>
      </w:r>
      <w:r w:rsidRPr="00B15634">
        <w:rPr>
          <w:rFonts w:ascii="Arial" w:eastAsiaTheme="minorEastAsia" w:hAnsi="Arial" w:cs="Arial"/>
          <w:color w:val="000000" w:themeColor="text1"/>
          <w:sz w:val="20"/>
          <w:szCs w:val="20"/>
          <w:lang w:eastAsia="fr-FR"/>
        </w:rPr>
        <w:sym w:font="Wingdings" w:char="F0E0"/>
      </w:r>
      <w:r w:rsidRPr="00B15634">
        <w:rPr>
          <w:rFonts w:ascii="Arial" w:eastAsiaTheme="minorEastAsia" w:hAnsi="Arial" w:cs="Arial"/>
          <w:color w:val="000000" w:themeColor="text1"/>
          <w:sz w:val="20"/>
          <w:szCs w:val="20"/>
          <w:lang w:eastAsia="fr-FR"/>
        </w:rPr>
        <w:t xml:space="preserve"> activations protéines IRS et kinases </w:t>
      </w:r>
      <w:r w:rsidRPr="00B15634">
        <w:rPr>
          <w:rFonts w:ascii="Arial" w:eastAsiaTheme="minorEastAsia" w:hAnsi="Arial" w:cs="Arial"/>
          <w:color w:val="000000" w:themeColor="text1"/>
          <w:sz w:val="20"/>
          <w:szCs w:val="20"/>
          <w:lang w:eastAsia="fr-FR"/>
        </w:rPr>
        <w:sym w:font="Wingdings" w:char="F0E0"/>
      </w:r>
      <w:r w:rsidRPr="00B15634">
        <w:rPr>
          <w:rFonts w:ascii="Arial" w:eastAsiaTheme="minorEastAsia" w:hAnsi="Arial" w:cs="Arial"/>
          <w:color w:val="000000" w:themeColor="text1"/>
          <w:sz w:val="20"/>
          <w:szCs w:val="20"/>
          <w:lang w:eastAsia="fr-FR"/>
        </w:rPr>
        <w:t xml:space="preserve"> phosphorylation Akt </w:t>
      </w:r>
      <w:r w:rsidRPr="00B15634">
        <w:rPr>
          <w:rFonts w:ascii="Arial" w:eastAsiaTheme="minorEastAsia" w:hAnsi="Arial" w:cs="Arial"/>
          <w:color w:val="000000" w:themeColor="text1"/>
          <w:sz w:val="20"/>
          <w:szCs w:val="20"/>
          <w:lang w:eastAsia="fr-FR"/>
        </w:rPr>
        <w:sym w:font="Wingdings" w:char="F0E0"/>
      </w:r>
      <w:r w:rsidRPr="00B15634">
        <w:rPr>
          <w:rFonts w:ascii="Arial" w:eastAsiaTheme="minorEastAsia" w:hAnsi="Arial" w:cs="Arial"/>
          <w:color w:val="000000" w:themeColor="text1"/>
          <w:sz w:val="20"/>
          <w:szCs w:val="20"/>
          <w:lang w:eastAsia="fr-FR"/>
        </w:rPr>
        <w:t xml:space="preserve"> signalisation intracellulaire de l’insuline : </w:t>
      </w:r>
    </w:p>
    <w:p w14:paraId="1F90FDE5" w14:textId="77777777" w:rsidR="00ED4694" w:rsidRPr="00B15634" w:rsidRDefault="00ED4694" w:rsidP="00ED4694">
      <w:pPr>
        <w:pStyle w:val="Sansinterligne"/>
        <w:numPr>
          <w:ilvl w:val="0"/>
          <w:numId w:val="140"/>
        </w:numPr>
        <w:jc w:val="both"/>
        <w:rPr>
          <w:rFonts w:ascii="Arial" w:eastAsiaTheme="minorEastAsia" w:hAnsi="Arial" w:cs="Arial"/>
          <w:color w:val="000000" w:themeColor="text1"/>
          <w:sz w:val="20"/>
          <w:szCs w:val="20"/>
          <w:lang w:eastAsia="fr-FR"/>
        </w:rPr>
      </w:pPr>
      <w:r w:rsidRPr="00B15634">
        <w:rPr>
          <w:rFonts w:ascii="Arial" w:eastAsiaTheme="minorEastAsia" w:hAnsi="Arial" w:cs="Arial"/>
          <w:color w:val="000000" w:themeColor="text1"/>
          <w:sz w:val="20"/>
          <w:szCs w:val="20"/>
          <w:lang w:eastAsia="fr-FR"/>
        </w:rPr>
        <w:t xml:space="preserve">Au niveau du foie : augmentation du glycogène (= glycogénogénèse), de la lipogenèse, diminution production hépatique de glucose (= gluconéogenèse). </w:t>
      </w:r>
    </w:p>
    <w:p w14:paraId="1868FCE1" w14:textId="77777777" w:rsidR="00ED4694" w:rsidRPr="00B15634" w:rsidRDefault="00ED4694" w:rsidP="00ED4694">
      <w:pPr>
        <w:pStyle w:val="Sansinterligne"/>
        <w:numPr>
          <w:ilvl w:val="0"/>
          <w:numId w:val="140"/>
        </w:numPr>
        <w:jc w:val="both"/>
        <w:rPr>
          <w:rFonts w:ascii="Arial" w:eastAsiaTheme="minorEastAsia" w:hAnsi="Arial" w:cs="Arial"/>
          <w:color w:val="000000" w:themeColor="text1"/>
          <w:sz w:val="20"/>
          <w:szCs w:val="20"/>
          <w:lang w:eastAsia="fr-FR"/>
        </w:rPr>
      </w:pPr>
      <w:r w:rsidRPr="00B15634">
        <w:rPr>
          <w:rFonts w:ascii="Arial" w:eastAsiaTheme="minorEastAsia" w:hAnsi="Arial" w:cs="Arial"/>
          <w:color w:val="000000" w:themeColor="text1"/>
          <w:sz w:val="20"/>
          <w:szCs w:val="20"/>
          <w:lang w:eastAsia="fr-FR"/>
        </w:rPr>
        <w:t>Au niveau du muscle : augmentation captage du glucose, de la synthèse du glycogène, de la synthèse protéique</w:t>
      </w:r>
    </w:p>
    <w:p w14:paraId="0EBA108B" w14:textId="77777777" w:rsidR="00ED4694" w:rsidRDefault="00ED4694" w:rsidP="00ED4694">
      <w:pPr>
        <w:pStyle w:val="Sansinterligne"/>
        <w:numPr>
          <w:ilvl w:val="0"/>
          <w:numId w:val="140"/>
        </w:numPr>
        <w:jc w:val="both"/>
        <w:rPr>
          <w:rFonts w:ascii="Arial" w:eastAsiaTheme="minorEastAsia" w:hAnsi="Arial" w:cs="Arial"/>
          <w:color w:val="000000" w:themeColor="text1"/>
          <w:sz w:val="20"/>
          <w:szCs w:val="20"/>
          <w:lang w:eastAsia="fr-FR"/>
        </w:rPr>
      </w:pPr>
      <w:r w:rsidRPr="00B15634">
        <w:rPr>
          <w:rFonts w:ascii="Arial" w:eastAsiaTheme="minorEastAsia" w:hAnsi="Arial" w:cs="Arial"/>
          <w:color w:val="000000" w:themeColor="text1"/>
          <w:sz w:val="20"/>
          <w:szCs w:val="20"/>
          <w:lang w:eastAsia="fr-FR"/>
        </w:rPr>
        <w:t>Au niveau TA : augmentation captage de glucose (= glycolyse), de la lipogenèse, diminution lipolyse</w:t>
      </w:r>
    </w:p>
    <w:p w14:paraId="13195EF1"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4F5C111A" w14:textId="77777777" w:rsidR="00ED4694" w:rsidRPr="00BC3BA8" w:rsidRDefault="00ED4694" w:rsidP="00ED4694">
      <w:pPr>
        <w:pStyle w:val="Sansinterligne"/>
        <w:jc w:val="both"/>
        <w:rPr>
          <w:rFonts w:ascii="Arial" w:eastAsiaTheme="minorEastAsia" w:hAnsi="Arial" w:cs="Arial"/>
          <w:color w:val="000000" w:themeColor="text1"/>
          <w:sz w:val="20"/>
          <w:szCs w:val="20"/>
          <w:u w:val="single"/>
          <w:lang w:eastAsia="fr-FR"/>
        </w:rPr>
      </w:pPr>
      <w:r w:rsidRPr="00BC3BA8">
        <w:rPr>
          <w:rFonts w:ascii="Arial" w:eastAsiaTheme="minorEastAsia" w:hAnsi="Arial" w:cs="Arial"/>
          <w:color w:val="000000" w:themeColor="text1"/>
          <w:sz w:val="20"/>
          <w:szCs w:val="20"/>
          <w:u w:val="single"/>
          <w:lang w:eastAsia="fr-FR"/>
        </w:rPr>
        <w:t xml:space="preserve">Insuline et homéostasie des glucides </w:t>
      </w:r>
    </w:p>
    <w:p w14:paraId="1A08EC36" w14:textId="77777777" w:rsidR="00ED4694" w:rsidRDefault="00ED4694" w:rsidP="00ED4694">
      <w:pPr>
        <w:pStyle w:val="Sansinterligne"/>
        <w:jc w:val="both"/>
        <w:rPr>
          <w:rFonts w:ascii="Arial" w:eastAsiaTheme="minorEastAsia" w:hAnsi="Arial" w:cs="Arial"/>
          <w:color w:val="000000" w:themeColor="text1"/>
          <w:sz w:val="20"/>
          <w:szCs w:val="20"/>
          <w:u w:val="single"/>
          <w:lang w:eastAsia="fr-FR"/>
        </w:rPr>
      </w:pPr>
      <w:r w:rsidRPr="00BC3BA8">
        <w:rPr>
          <w:rFonts w:ascii="Arial" w:eastAsiaTheme="minorEastAsia" w:hAnsi="Arial" w:cs="Arial"/>
          <w:color w:val="000000" w:themeColor="text1"/>
          <w:sz w:val="20"/>
          <w:szCs w:val="20"/>
          <w:u w:val="single"/>
          <w:lang w:eastAsia="fr-FR"/>
        </w:rPr>
        <w:t xml:space="preserve">Étape 1 : </w:t>
      </w:r>
      <w:r w:rsidRPr="002E61F0">
        <w:rPr>
          <w:rFonts w:ascii="Arial" w:eastAsiaTheme="minorEastAsia" w:hAnsi="Arial" w:cs="Arial"/>
          <w:b/>
          <w:bCs/>
          <w:color w:val="000000" w:themeColor="text1"/>
          <w:sz w:val="20"/>
          <w:szCs w:val="20"/>
          <w:u w:val="single"/>
          <w:lang w:eastAsia="fr-FR"/>
        </w:rPr>
        <w:t>Absorption du glucose</w:t>
      </w:r>
      <w:r w:rsidRPr="00BC3BA8">
        <w:rPr>
          <w:rFonts w:ascii="Arial" w:eastAsiaTheme="minorEastAsia" w:hAnsi="Arial" w:cs="Arial"/>
          <w:color w:val="000000" w:themeColor="text1"/>
          <w:sz w:val="20"/>
          <w:szCs w:val="20"/>
          <w:u w:val="single"/>
          <w:lang w:eastAsia="fr-FR"/>
        </w:rPr>
        <w:t xml:space="preserve"> via l’entérocyte </w:t>
      </w:r>
    </w:p>
    <w:p w14:paraId="635A9E52"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26788D4D"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r w:rsidRPr="00E236DE">
        <w:rPr>
          <w:rFonts w:ascii="Arial" w:eastAsiaTheme="minorEastAsia" w:hAnsi="Arial" w:cs="Arial"/>
          <w:noProof/>
          <w:color w:val="000000" w:themeColor="text1"/>
          <w:sz w:val="20"/>
          <w:szCs w:val="20"/>
          <w:lang w:eastAsia="fr-FR"/>
        </w:rPr>
        <w:lastRenderedPageBreak/>
        <w:drawing>
          <wp:anchor distT="0" distB="0" distL="114300" distR="114300" simplePos="0" relativeHeight="251719680" behindDoc="1" locked="0" layoutInCell="1" allowOverlap="1" wp14:anchorId="5ECD5E61" wp14:editId="07AA98F7">
            <wp:simplePos x="0" y="0"/>
            <wp:positionH relativeFrom="column">
              <wp:posOffset>-43252</wp:posOffset>
            </wp:positionH>
            <wp:positionV relativeFrom="paragraph">
              <wp:posOffset>5080</wp:posOffset>
            </wp:positionV>
            <wp:extent cx="3853815" cy="1797685"/>
            <wp:effectExtent l="0" t="0" r="0" b="5715"/>
            <wp:wrapTight wrapText="bothSides">
              <wp:wrapPolygon edited="0">
                <wp:start x="0" y="0"/>
                <wp:lineTo x="0" y="21516"/>
                <wp:lineTo x="21497" y="21516"/>
                <wp:lineTo x="21497" y="0"/>
                <wp:lineTo x="0" y="0"/>
              </wp:wrapPolygon>
            </wp:wrapTight>
            <wp:docPr id="8046463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646357"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853815" cy="1797685"/>
                    </a:xfrm>
                    <a:prstGeom prst="rect">
                      <a:avLst/>
                    </a:prstGeom>
                  </pic:spPr>
                </pic:pic>
              </a:graphicData>
            </a:graphic>
            <wp14:sizeRelH relativeFrom="page">
              <wp14:pctWidth>0</wp14:pctWidth>
            </wp14:sizeRelH>
            <wp14:sizeRelV relativeFrom="page">
              <wp14:pctHeight>0</wp14:pctHeight>
            </wp14:sizeRelV>
          </wp:anchor>
        </w:drawing>
      </w:r>
    </w:p>
    <w:p w14:paraId="79D190D2"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77ADBDEC"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r>
        <w:rPr>
          <w:rFonts w:ascii="Arial" w:eastAsiaTheme="minorEastAsia" w:hAnsi="Arial" w:cs="Arial"/>
          <w:color w:val="000000" w:themeColor="text1"/>
          <w:sz w:val="20"/>
          <w:szCs w:val="20"/>
          <w:lang w:eastAsia="fr-FR"/>
        </w:rPr>
        <w:t xml:space="preserve">Le glucose est absorbé au pôle apical de l’entérocyte par le co-transporteur SGLT1 (Na+-glucose). Le glucose de l’entérocyte passe dans le capillaire par GLUT2. </w:t>
      </w:r>
    </w:p>
    <w:p w14:paraId="5F5C0DD4"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r>
        <w:rPr>
          <w:rFonts w:ascii="Arial" w:eastAsiaTheme="minorEastAsia" w:hAnsi="Arial" w:cs="Arial"/>
          <w:color w:val="000000" w:themeColor="text1"/>
          <w:sz w:val="20"/>
          <w:szCs w:val="20"/>
          <w:lang w:eastAsia="fr-FR"/>
        </w:rPr>
        <w:t xml:space="preserve">Mais, après un repas (hyperglycémie), se produit un recrutement de GLUT2 au pôle apical permettant un maximum d’entrée de glucose pour que la glycémie augmente dans le capillaire. </w:t>
      </w:r>
    </w:p>
    <w:p w14:paraId="698B6B09"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24961D20" w14:textId="77777777" w:rsidR="00ED4694" w:rsidRPr="00BC3BA8" w:rsidRDefault="00ED4694" w:rsidP="00ED4694">
      <w:pPr>
        <w:pStyle w:val="Sansinterligne"/>
        <w:jc w:val="both"/>
        <w:rPr>
          <w:rFonts w:ascii="Arial" w:eastAsiaTheme="minorEastAsia" w:hAnsi="Arial" w:cs="Arial"/>
          <w:color w:val="000000" w:themeColor="text1"/>
          <w:sz w:val="20"/>
          <w:szCs w:val="20"/>
          <w:lang w:eastAsia="fr-FR"/>
        </w:rPr>
      </w:pPr>
    </w:p>
    <w:p w14:paraId="2DE81AD6"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r w:rsidRPr="00B15634">
        <w:rPr>
          <w:rFonts w:ascii="Arial" w:eastAsiaTheme="minorEastAsia" w:hAnsi="Arial" w:cs="Arial"/>
          <w:color w:val="000000" w:themeColor="text1"/>
          <w:sz w:val="20"/>
          <w:szCs w:val="20"/>
          <w:lang w:eastAsia="fr-FR"/>
        </w:rPr>
        <w:t xml:space="preserve"> </w:t>
      </w:r>
    </w:p>
    <w:p w14:paraId="3C5A3EC9"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6D2783F4" w14:textId="77777777" w:rsidR="00ED4694" w:rsidRPr="00E236DE" w:rsidRDefault="00ED4694" w:rsidP="00ED4694">
      <w:pPr>
        <w:pStyle w:val="Sansinterligne"/>
        <w:jc w:val="both"/>
        <w:rPr>
          <w:rFonts w:ascii="Arial" w:eastAsiaTheme="minorEastAsia" w:hAnsi="Arial" w:cs="Arial"/>
          <w:color w:val="000000" w:themeColor="text1"/>
          <w:sz w:val="20"/>
          <w:szCs w:val="20"/>
          <w:u w:val="single"/>
          <w:lang w:eastAsia="fr-FR"/>
        </w:rPr>
      </w:pPr>
      <w:r w:rsidRPr="00E236DE">
        <w:rPr>
          <w:rFonts w:ascii="Arial" w:eastAsiaTheme="minorEastAsia" w:hAnsi="Arial" w:cs="Arial"/>
          <w:color w:val="000000" w:themeColor="text1"/>
          <w:sz w:val="20"/>
          <w:szCs w:val="20"/>
          <w:u w:val="single"/>
          <w:lang w:eastAsia="fr-FR"/>
        </w:rPr>
        <w:t xml:space="preserve">Étape 2 : </w:t>
      </w:r>
      <w:r w:rsidRPr="002E61F0">
        <w:rPr>
          <w:rFonts w:ascii="Arial" w:eastAsiaTheme="minorEastAsia" w:hAnsi="Arial" w:cs="Arial"/>
          <w:b/>
          <w:bCs/>
          <w:color w:val="000000" w:themeColor="text1"/>
          <w:sz w:val="20"/>
          <w:szCs w:val="20"/>
          <w:u w:val="single"/>
          <w:lang w:eastAsia="fr-FR"/>
        </w:rPr>
        <w:t>Entrée du glucose</w:t>
      </w:r>
      <w:r w:rsidRPr="00E236DE">
        <w:rPr>
          <w:rFonts w:ascii="Arial" w:eastAsiaTheme="minorEastAsia" w:hAnsi="Arial" w:cs="Arial"/>
          <w:color w:val="000000" w:themeColor="text1"/>
          <w:sz w:val="20"/>
          <w:szCs w:val="20"/>
          <w:u w:val="single"/>
          <w:lang w:eastAsia="fr-FR"/>
        </w:rPr>
        <w:t xml:space="preserve"> du sang vers les cellules </w:t>
      </w:r>
    </w:p>
    <w:p w14:paraId="1FFE06CD"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r>
        <w:rPr>
          <w:rFonts w:ascii="Arial" w:eastAsiaTheme="minorEastAsia" w:hAnsi="Arial" w:cs="Arial"/>
          <w:color w:val="000000" w:themeColor="text1"/>
          <w:sz w:val="20"/>
          <w:szCs w:val="20"/>
          <w:lang w:eastAsia="fr-FR"/>
        </w:rPr>
        <w:t xml:space="preserve">Les transporteurs permettent de transporter le glucose de l’entérocyte vers le sang. </w:t>
      </w:r>
    </w:p>
    <w:p w14:paraId="6F57B452" w14:textId="77777777" w:rsidR="00ED4694" w:rsidRDefault="00ED4694" w:rsidP="00ED4694">
      <w:pPr>
        <w:pStyle w:val="Sansinterligne"/>
        <w:jc w:val="center"/>
        <w:rPr>
          <w:rFonts w:ascii="Arial" w:eastAsiaTheme="minorEastAsia" w:hAnsi="Arial" w:cs="Arial"/>
          <w:color w:val="000000" w:themeColor="text1"/>
          <w:sz w:val="20"/>
          <w:szCs w:val="20"/>
          <w:lang w:eastAsia="fr-FR"/>
        </w:rPr>
      </w:pPr>
      <w:r w:rsidRPr="00E236DE">
        <w:rPr>
          <w:rFonts w:ascii="Arial" w:eastAsiaTheme="minorEastAsia" w:hAnsi="Arial" w:cs="Arial"/>
          <w:noProof/>
          <w:color w:val="000000" w:themeColor="text1"/>
          <w:sz w:val="20"/>
          <w:szCs w:val="20"/>
          <w:lang w:eastAsia="fr-FR"/>
        </w:rPr>
        <w:drawing>
          <wp:inline distT="0" distB="0" distL="0" distR="0" wp14:anchorId="36BAFA85" wp14:editId="3E29A266">
            <wp:extent cx="4392547" cy="1578060"/>
            <wp:effectExtent l="0" t="0" r="1905" b="0"/>
            <wp:docPr id="89687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8769" name=""/>
                    <pic:cNvPicPr/>
                  </pic:nvPicPr>
                  <pic:blipFill>
                    <a:blip r:embed="rId77"/>
                    <a:stretch>
                      <a:fillRect/>
                    </a:stretch>
                  </pic:blipFill>
                  <pic:spPr>
                    <a:xfrm>
                      <a:off x="0" y="0"/>
                      <a:ext cx="4432957" cy="1592578"/>
                    </a:xfrm>
                    <a:prstGeom prst="rect">
                      <a:avLst/>
                    </a:prstGeom>
                  </pic:spPr>
                </pic:pic>
              </a:graphicData>
            </a:graphic>
          </wp:inline>
        </w:drawing>
      </w:r>
    </w:p>
    <w:p w14:paraId="12ADA36E" w14:textId="77777777" w:rsidR="00ED4694" w:rsidRDefault="00ED4694" w:rsidP="00ED4694">
      <w:pPr>
        <w:pStyle w:val="Sansinterligne"/>
        <w:rPr>
          <w:rFonts w:ascii="Arial" w:eastAsiaTheme="minorEastAsia" w:hAnsi="Arial" w:cs="Arial"/>
          <w:color w:val="000000" w:themeColor="text1"/>
          <w:sz w:val="20"/>
          <w:szCs w:val="20"/>
          <w:lang w:eastAsia="fr-FR"/>
        </w:rPr>
      </w:pPr>
      <w:r w:rsidRPr="00E236DE">
        <w:rPr>
          <w:rFonts w:ascii="Arial" w:eastAsiaTheme="minorEastAsia" w:hAnsi="Arial" w:cs="Arial"/>
          <w:noProof/>
          <w:color w:val="000000" w:themeColor="text1"/>
          <w:sz w:val="20"/>
          <w:szCs w:val="20"/>
          <w:lang w:eastAsia="fr-FR"/>
        </w:rPr>
        <w:drawing>
          <wp:anchor distT="0" distB="0" distL="114300" distR="114300" simplePos="0" relativeHeight="251720704" behindDoc="1" locked="0" layoutInCell="1" allowOverlap="1" wp14:anchorId="5E47F3FA" wp14:editId="09679E42">
            <wp:simplePos x="0" y="0"/>
            <wp:positionH relativeFrom="column">
              <wp:posOffset>4874635</wp:posOffset>
            </wp:positionH>
            <wp:positionV relativeFrom="paragraph">
              <wp:posOffset>124292</wp:posOffset>
            </wp:positionV>
            <wp:extent cx="1806575" cy="1341755"/>
            <wp:effectExtent l="0" t="0" r="0" b="4445"/>
            <wp:wrapTight wrapText="bothSides">
              <wp:wrapPolygon edited="0">
                <wp:start x="0" y="0"/>
                <wp:lineTo x="0" y="21467"/>
                <wp:lineTo x="21410" y="21467"/>
                <wp:lineTo x="21410" y="0"/>
                <wp:lineTo x="0" y="0"/>
              </wp:wrapPolygon>
            </wp:wrapTight>
            <wp:docPr id="15657073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07322"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806575" cy="1341755"/>
                    </a:xfrm>
                    <a:prstGeom prst="rect">
                      <a:avLst/>
                    </a:prstGeom>
                  </pic:spPr>
                </pic:pic>
              </a:graphicData>
            </a:graphic>
            <wp14:sizeRelH relativeFrom="page">
              <wp14:pctWidth>0</wp14:pctWidth>
            </wp14:sizeRelH>
            <wp14:sizeRelV relativeFrom="page">
              <wp14:pctHeight>0</wp14:pctHeight>
            </wp14:sizeRelV>
          </wp:anchor>
        </w:drawing>
      </w:r>
    </w:p>
    <w:p w14:paraId="2A636D55" w14:textId="77777777" w:rsidR="00ED4694" w:rsidRPr="00E236DE" w:rsidRDefault="00ED4694" w:rsidP="00ED4694">
      <w:pPr>
        <w:pStyle w:val="Sansinterligne"/>
        <w:rPr>
          <w:rFonts w:ascii="Arial" w:eastAsiaTheme="minorEastAsia" w:hAnsi="Arial" w:cs="Arial"/>
          <w:color w:val="000000" w:themeColor="text1"/>
          <w:sz w:val="20"/>
          <w:szCs w:val="20"/>
          <w:u w:val="single"/>
          <w:lang w:eastAsia="fr-FR"/>
        </w:rPr>
      </w:pPr>
      <w:r w:rsidRPr="00E236DE">
        <w:rPr>
          <w:rFonts w:ascii="Arial" w:eastAsiaTheme="minorEastAsia" w:hAnsi="Arial" w:cs="Arial"/>
          <w:color w:val="000000" w:themeColor="text1"/>
          <w:sz w:val="20"/>
          <w:szCs w:val="20"/>
          <w:u w:val="single"/>
          <w:lang w:eastAsia="fr-FR"/>
        </w:rPr>
        <w:t xml:space="preserve">Étape 2 bis : Entrée du glucose du sang vers les cellules </w:t>
      </w:r>
    </w:p>
    <w:p w14:paraId="43661C76" w14:textId="77777777" w:rsidR="00ED4694" w:rsidRDefault="00ED4694" w:rsidP="00ED4694">
      <w:pPr>
        <w:pStyle w:val="Sansinterligne"/>
        <w:rPr>
          <w:rFonts w:ascii="Arial" w:eastAsiaTheme="minorEastAsia" w:hAnsi="Arial" w:cs="Arial"/>
          <w:color w:val="000000" w:themeColor="text1"/>
          <w:sz w:val="20"/>
          <w:szCs w:val="20"/>
          <w:lang w:eastAsia="fr-FR"/>
        </w:rPr>
      </w:pPr>
      <w:r>
        <w:rPr>
          <w:rFonts w:ascii="Arial" w:eastAsiaTheme="minorEastAsia" w:hAnsi="Arial" w:cs="Arial"/>
          <w:color w:val="000000" w:themeColor="text1"/>
          <w:sz w:val="20"/>
          <w:szCs w:val="20"/>
          <w:lang w:eastAsia="fr-FR"/>
        </w:rPr>
        <w:t xml:space="preserve">Dans les tissus insulino-sensibles, l’insuline se lie à son R, entraînant une cascade de signalisation, une exocytose et une entrée de glucose possible dans le tissu grâce à un recrutement de GLUT4 à la membrane. </w:t>
      </w:r>
    </w:p>
    <w:p w14:paraId="3F5EB8C1" w14:textId="77777777" w:rsidR="00ED4694" w:rsidRDefault="00ED4694" w:rsidP="00ED4694">
      <w:pPr>
        <w:pStyle w:val="Sansinterligne"/>
        <w:rPr>
          <w:rFonts w:ascii="Arial" w:eastAsiaTheme="minorEastAsia" w:hAnsi="Arial" w:cs="Arial"/>
          <w:color w:val="000000" w:themeColor="text1"/>
          <w:sz w:val="20"/>
          <w:szCs w:val="20"/>
          <w:lang w:eastAsia="fr-FR"/>
        </w:rPr>
      </w:pPr>
    </w:p>
    <w:p w14:paraId="2FE28E72" w14:textId="77777777" w:rsidR="00ED4694" w:rsidRDefault="00ED4694" w:rsidP="00ED4694">
      <w:pPr>
        <w:pStyle w:val="Sansinterligne"/>
        <w:rPr>
          <w:rFonts w:ascii="Arial" w:eastAsiaTheme="minorEastAsia" w:hAnsi="Arial" w:cs="Arial"/>
          <w:color w:val="000000" w:themeColor="text1"/>
          <w:sz w:val="20"/>
          <w:szCs w:val="20"/>
          <w:lang w:eastAsia="fr-FR"/>
        </w:rPr>
      </w:pPr>
    </w:p>
    <w:p w14:paraId="217F6616" w14:textId="4583FD80" w:rsidR="00ED4694" w:rsidRDefault="00ED4694" w:rsidP="00ED4694">
      <w:pPr>
        <w:pStyle w:val="Sansinterligne"/>
        <w:rPr>
          <w:rFonts w:ascii="Arial" w:eastAsiaTheme="minorEastAsia" w:hAnsi="Arial" w:cs="Arial"/>
          <w:color w:val="000000" w:themeColor="text1"/>
          <w:sz w:val="20"/>
          <w:szCs w:val="20"/>
          <w:u w:val="single"/>
          <w:lang w:eastAsia="fr-FR"/>
        </w:rPr>
      </w:pPr>
      <w:r w:rsidRPr="0010045C">
        <w:rPr>
          <w:rFonts w:ascii="Arial" w:eastAsiaTheme="minorEastAsia" w:hAnsi="Arial" w:cs="Arial"/>
          <w:noProof/>
          <w:color w:val="000000" w:themeColor="text1"/>
          <w:sz w:val="20"/>
          <w:szCs w:val="20"/>
          <w:lang w:eastAsia="fr-FR"/>
        </w:rPr>
        <w:drawing>
          <wp:anchor distT="0" distB="0" distL="114300" distR="114300" simplePos="0" relativeHeight="251721728" behindDoc="1" locked="0" layoutInCell="1" allowOverlap="1" wp14:anchorId="672EF4AF" wp14:editId="0F6DCBF2">
            <wp:simplePos x="0" y="0"/>
            <wp:positionH relativeFrom="column">
              <wp:posOffset>421005</wp:posOffset>
            </wp:positionH>
            <wp:positionV relativeFrom="paragraph">
              <wp:posOffset>147955</wp:posOffset>
            </wp:positionV>
            <wp:extent cx="2954655" cy="1685290"/>
            <wp:effectExtent l="0" t="0" r="4445" b="3810"/>
            <wp:wrapTight wrapText="bothSides">
              <wp:wrapPolygon edited="0">
                <wp:start x="0" y="0"/>
                <wp:lineTo x="0" y="21486"/>
                <wp:lineTo x="21540" y="21486"/>
                <wp:lineTo x="21540" y="0"/>
                <wp:lineTo x="0" y="0"/>
              </wp:wrapPolygon>
            </wp:wrapTight>
            <wp:docPr id="6764072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407253"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954655" cy="1685290"/>
                    </a:xfrm>
                    <a:prstGeom prst="rect">
                      <a:avLst/>
                    </a:prstGeom>
                  </pic:spPr>
                </pic:pic>
              </a:graphicData>
            </a:graphic>
            <wp14:sizeRelH relativeFrom="page">
              <wp14:pctWidth>0</wp14:pctWidth>
            </wp14:sizeRelH>
            <wp14:sizeRelV relativeFrom="page">
              <wp14:pctHeight>0</wp14:pctHeight>
            </wp14:sizeRelV>
          </wp:anchor>
        </w:drawing>
      </w:r>
      <w:r w:rsidRPr="00E236DE">
        <w:rPr>
          <w:rFonts w:ascii="Arial" w:eastAsiaTheme="minorEastAsia" w:hAnsi="Arial" w:cs="Arial"/>
          <w:color w:val="000000" w:themeColor="text1"/>
          <w:sz w:val="20"/>
          <w:szCs w:val="20"/>
          <w:u w:val="single"/>
          <w:lang w:eastAsia="fr-FR"/>
        </w:rPr>
        <w:t>Conséquence</w:t>
      </w:r>
      <w:r>
        <w:rPr>
          <w:rFonts w:ascii="Arial" w:eastAsiaTheme="minorEastAsia" w:hAnsi="Arial" w:cs="Arial"/>
          <w:color w:val="000000" w:themeColor="text1"/>
          <w:sz w:val="20"/>
          <w:szCs w:val="20"/>
          <w:u w:val="single"/>
          <w:lang w:eastAsia="fr-FR"/>
        </w:rPr>
        <w:t>s</w:t>
      </w:r>
      <w:r w:rsidRPr="00E236DE">
        <w:rPr>
          <w:rFonts w:ascii="Arial" w:eastAsiaTheme="minorEastAsia" w:hAnsi="Arial" w:cs="Arial"/>
          <w:color w:val="000000" w:themeColor="text1"/>
          <w:sz w:val="20"/>
          <w:szCs w:val="20"/>
          <w:u w:val="single"/>
          <w:lang w:eastAsia="fr-FR"/>
        </w:rPr>
        <w:t xml:space="preserve"> de l’insulino-dépendance des tissus : l’insuline permet</w:t>
      </w:r>
      <w:r w:rsidR="002E61F0">
        <w:rPr>
          <w:rFonts w:ascii="Arial" w:eastAsiaTheme="minorEastAsia" w:hAnsi="Arial" w:cs="Arial"/>
          <w:color w:val="000000" w:themeColor="text1"/>
          <w:sz w:val="20"/>
          <w:szCs w:val="20"/>
          <w:u w:val="single"/>
          <w:lang w:eastAsia="fr-FR"/>
        </w:rPr>
        <w:t xml:space="preserve"> </w:t>
      </w:r>
      <w:r w:rsidRPr="00E236DE">
        <w:rPr>
          <w:rFonts w:ascii="Arial" w:eastAsiaTheme="minorEastAsia" w:hAnsi="Arial" w:cs="Arial"/>
          <w:color w:val="000000" w:themeColor="text1"/>
          <w:sz w:val="20"/>
          <w:szCs w:val="20"/>
          <w:u w:val="single"/>
          <w:lang w:eastAsia="fr-FR"/>
        </w:rPr>
        <w:t xml:space="preserve">: </w:t>
      </w:r>
    </w:p>
    <w:p w14:paraId="2F7C1616" w14:textId="77777777" w:rsidR="00ED4694" w:rsidRDefault="00ED4694" w:rsidP="00ED4694">
      <w:pPr>
        <w:pStyle w:val="Sansinterligne"/>
        <w:rPr>
          <w:rFonts w:ascii="Arial" w:eastAsiaTheme="minorEastAsia" w:hAnsi="Arial" w:cs="Arial"/>
          <w:color w:val="000000" w:themeColor="text1"/>
          <w:sz w:val="20"/>
          <w:szCs w:val="20"/>
          <w:u w:val="single"/>
          <w:lang w:eastAsia="fr-FR"/>
        </w:rPr>
      </w:pPr>
    </w:p>
    <w:p w14:paraId="46681765" w14:textId="77777777" w:rsidR="00ED4694" w:rsidRPr="00E236DE" w:rsidRDefault="00ED4694" w:rsidP="00ED4694">
      <w:pPr>
        <w:pStyle w:val="Sansinterligne"/>
        <w:rPr>
          <w:rFonts w:ascii="Arial" w:eastAsiaTheme="minorEastAsia" w:hAnsi="Arial" w:cs="Arial"/>
          <w:color w:val="000000" w:themeColor="text1"/>
          <w:sz w:val="20"/>
          <w:szCs w:val="20"/>
          <w:u w:val="single"/>
          <w:lang w:eastAsia="fr-FR"/>
        </w:rPr>
      </w:pPr>
    </w:p>
    <w:p w14:paraId="22564985" w14:textId="77777777" w:rsidR="00ED4694" w:rsidRDefault="00ED4694" w:rsidP="00ED4694">
      <w:pPr>
        <w:pStyle w:val="Sansinterligne"/>
        <w:numPr>
          <w:ilvl w:val="0"/>
          <w:numId w:val="140"/>
        </w:numPr>
        <w:rPr>
          <w:rFonts w:ascii="Arial" w:eastAsiaTheme="minorEastAsia" w:hAnsi="Arial" w:cs="Arial"/>
          <w:color w:val="000000" w:themeColor="text1"/>
          <w:sz w:val="20"/>
          <w:szCs w:val="20"/>
          <w:lang w:eastAsia="fr-FR"/>
        </w:rPr>
      </w:pPr>
      <w:r>
        <w:rPr>
          <w:rFonts w:ascii="Arial" w:eastAsiaTheme="minorEastAsia" w:hAnsi="Arial" w:cs="Arial"/>
          <w:color w:val="000000" w:themeColor="text1"/>
          <w:sz w:val="20"/>
          <w:szCs w:val="20"/>
          <w:lang w:eastAsia="fr-FR"/>
        </w:rPr>
        <w:t>L’entrée du glucose dans le TA et le muscle de façon GLUT4 dépendante</w:t>
      </w:r>
    </w:p>
    <w:p w14:paraId="634F4643" w14:textId="77777777" w:rsidR="00ED4694" w:rsidRDefault="00ED4694" w:rsidP="00ED4694">
      <w:pPr>
        <w:pStyle w:val="Sansinterligne"/>
        <w:numPr>
          <w:ilvl w:val="0"/>
          <w:numId w:val="140"/>
        </w:numPr>
        <w:rPr>
          <w:rFonts w:ascii="Arial" w:eastAsiaTheme="minorEastAsia" w:hAnsi="Arial" w:cs="Arial"/>
          <w:color w:val="000000" w:themeColor="text1"/>
          <w:sz w:val="20"/>
          <w:szCs w:val="20"/>
          <w:lang w:eastAsia="fr-FR"/>
        </w:rPr>
      </w:pPr>
      <w:r>
        <w:rPr>
          <w:rFonts w:ascii="Arial" w:eastAsiaTheme="minorEastAsia" w:hAnsi="Arial" w:cs="Arial"/>
          <w:color w:val="000000" w:themeColor="text1"/>
          <w:sz w:val="20"/>
          <w:szCs w:val="20"/>
          <w:lang w:eastAsia="fr-FR"/>
        </w:rPr>
        <w:t>L’entrée du glucose dans le foie pour former du glycogène, des AG, diminue la gluconéogenèse</w:t>
      </w:r>
    </w:p>
    <w:p w14:paraId="73475519" w14:textId="77777777" w:rsidR="00ED4694" w:rsidRDefault="00ED4694" w:rsidP="00ED4694">
      <w:pPr>
        <w:pStyle w:val="Sansinterligne"/>
        <w:numPr>
          <w:ilvl w:val="0"/>
          <w:numId w:val="140"/>
        </w:numPr>
        <w:rPr>
          <w:rFonts w:ascii="Arial" w:eastAsiaTheme="minorEastAsia" w:hAnsi="Arial" w:cs="Arial"/>
          <w:color w:val="000000" w:themeColor="text1"/>
          <w:sz w:val="20"/>
          <w:szCs w:val="20"/>
          <w:lang w:eastAsia="fr-FR"/>
        </w:rPr>
      </w:pPr>
      <w:r>
        <w:rPr>
          <w:rFonts w:ascii="Arial" w:eastAsiaTheme="minorEastAsia" w:hAnsi="Arial" w:cs="Arial"/>
          <w:color w:val="000000" w:themeColor="text1"/>
          <w:sz w:val="20"/>
          <w:szCs w:val="20"/>
          <w:lang w:eastAsia="fr-FR"/>
        </w:rPr>
        <w:t>Synthèse de glycogène dans le muscle en post-prandiale</w:t>
      </w:r>
    </w:p>
    <w:p w14:paraId="12989B58" w14:textId="77777777" w:rsidR="00ED4694" w:rsidRDefault="00ED4694" w:rsidP="00ED4694">
      <w:pPr>
        <w:pStyle w:val="Sansinterligne"/>
        <w:rPr>
          <w:rFonts w:ascii="Arial" w:eastAsiaTheme="minorEastAsia" w:hAnsi="Arial" w:cs="Arial"/>
          <w:color w:val="000000" w:themeColor="text1"/>
          <w:sz w:val="20"/>
          <w:szCs w:val="20"/>
          <w:lang w:eastAsia="fr-FR"/>
        </w:rPr>
      </w:pPr>
    </w:p>
    <w:p w14:paraId="038C2ACE" w14:textId="77777777" w:rsidR="00ED4694" w:rsidRDefault="00ED4694" w:rsidP="00ED4694">
      <w:pPr>
        <w:pStyle w:val="Sansinterligne"/>
        <w:rPr>
          <w:rFonts w:ascii="Arial" w:eastAsiaTheme="minorEastAsia" w:hAnsi="Arial" w:cs="Arial"/>
          <w:color w:val="000000" w:themeColor="text1"/>
          <w:sz w:val="20"/>
          <w:szCs w:val="20"/>
          <w:lang w:eastAsia="fr-FR"/>
        </w:rPr>
      </w:pPr>
    </w:p>
    <w:p w14:paraId="3352DE47"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0D26218A"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0AE15326"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r>
        <w:rPr>
          <w:rFonts w:ascii="Arial" w:eastAsiaTheme="minorEastAsia" w:hAnsi="Arial" w:cs="Arial"/>
          <w:color w:val="000000" w:themeColor="text1"/>
          <w:sz w:val="20"/>
          <w:szCs w:val="20"/>
          <w:lang w:eastAsia="fr-FR"/>
        </w:rPr>
        <w:t xml:space="preserve">L’insuline est aussi capable de stocker en synthétisant des molécules azotées à partir des AA, au niveau du foie et du muscle. </w:t>
      </w:r>
    </w:p>
    <w:p w14:paraId="013F8C22"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r>
        <w:rPr>
          <w:rFonts w:ascii="Arial" w:eastAsiaTheme="minorEastAsia" w:hAnsi="Arial" w:cs="Arial"/>
          <w:color w:val="000000" w:themeColor="text1"/>
          <w:sz w:val="20"/>
          <w:szCs w:val="20"/>
          <w:lang w:eastAsia="fr-FR"/>
        </w:rPr>
        <w:t xml:space="preserve">En post-prandial, le glucose donne des AG qui vont être absorbés permettant une synthèse et un stockage des triglycérides au niveau du foie. Les AG vont être véhiculés et aussi permettre un stockage des triglycérides, la lipogenèse au niveau du TA, avec un blocage de la lipolyse. </w:t>
      </w:r>
    </w:p>
    <w:p w14:paraId="7DEFB815" w14:textId="77777777" w:rsidR="00ED4694" w:rsidRPr="00B15634" w:rsidRDefault="00ED4694" w:rsidP="00ED4694">
      <w:pPr>
        <w:pStyle w:val="Sansinterligne"/>
        <w:jc w:val="both"/>
        <w:rPr>
          <w:rFonts w:ascii="Arial" w:eastAsiaTheme="minorEastAsia" w:hAnsi="Arial" w:cs="Arial"/>
          <w:color w:val="000000" w:themeColor="text1"/>
          <w:sz w:val="20"/>
          <w:szCs w:val="20"/>
          <w:lang w:eastAsia="fr-FR"/>
        </w:rPr>
      </w:pPr>
      <w:r w:rsidRPr="0010045C">
        <w:rPr>
          <w:rFonts w:ascii="Arial" w:eastAsiaTheme="minorEastAsia" w:hAnsi="Arial" w:cs="Arial"/>
          <w:noProof/>
          <w:color w:val="000000" w:themeColor="text1"/>
          <w:sz w:val="20"/>
          <w:szCs w:val="20"/>
          <w:lang w:eastAsia="fr-FR"/>
        </w:rPr>
        <w:drawing>
          <wp:anchor distT="0" distB="0" distL="114300" distR="114300" simplePos="0" relativeHeight="251723776" behindDoc="1" locked="0" layoutInCell="1" allowOverlap="1" wp14:anchorId="0235CBC0" wp14:editId="64D62724">
            <wp:simplePos x="0" y="0"/>
            <wp:positionH relativeFrom="column">
              <wp:posOffset>3807460</wp:posOffset>
            </wp:positionH>
            <wp:positionV relativeFrom="paragraph">
              <wp:posOffset>-3175</wp:posOffset>
            </wp:positionV>
            <wp:extent cx="2997835" cy="1540510"/>
            <wp:effectExtent l="0" t="0" r="0" b="0"/>
            <wp:wrapTight wrapText="bothSides">
              <wp:wrapPolygon edited="0">
                <wp:start x="0" y="0"/>
                <wp:lineTo x="0" y="21369"/>
                <wp:lineTo x="21504" y="21369"/>
                <wp:lineTo x="21504" y="0"/>
                <wp:lineTo x="0" y="0"/>
              </wp:wrapPolygon>
            </wp:wrapTight>
            <wp:docPr id="19214626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462692"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97835" cy="1540510"/>
                    </a:xfrm>
                    <a:prstGeom prst="rect">
                      <a:avLst/>
                    </a:prstGeom>
                  </pic:spPr>
                </pic:pic>
              </a:graphicData>
            </a:graphic>
            <wp14:sizeRelH relativeFrom="page">
              <wp14:pctWidth>0</wp14:pctWidth>
            </wp14:sizeRelH>
            <wp14:sizeRelV relativeFrom="page">
              <wp14:pctHeight>0</wp14:pctHeight>
            </wp14:sizeRelV>
          </wp:anchor>
        </w:drawing>
      </w:r>
      <w:r w:rsidRPr="0010045C">
        <w:rPr>
          <w:rFonts w:ascii="Arial" w:eastAsiaTheme="minorEastAsia" w:hAnsi="Arial" w:cs="Arial"/>
          <w:noProof/>
          <w:color w:val="000000" w:themeColor="text1"/>
          <w:sz w:val="20"/>
          <w:szCs w:val="20"/>
          <w:lang w:eastAsia="fr-FR"/>
        </w:rPr>
        <w:drawing>
          <wp:anchor distT="0" distB="0" distL="114300" distR="114300" simplePos="0" relativeHeight="251722752" behindDoc="1" locked="0" layoutInCell="1" allowOverlap="1" wp14:anchorId="06A8783C" wp14:editId="08194C59">
            <wp:simplePos x="0" y="0"/>
            <wp:positionH relativeFrom="column">
              <wp:posOffset>-212090</wp:posOffset>
            </wp:positionH>
            <wp:positionV relativeFrom="paragraph">
              <wp:posOffset>224790</wp:posOffset>
            </wp:positionV>
            <wp:extent cx="1997710" cy="1091565"/>
            <wp:effectExtent l="0" t="0" r="0" b="635"/>
            <wp:wrapTight wrapText="bothSides">
              <wp:wrapPolygon edited="0">
                <wp:start x="0" y="0"/>
                <wp:lineTo x="0" y="21361"/>
                <wp:lineTo x="21421" y="21361"/>
                <wp:lineTo x="21421" y="0"/>
                <wp:lineTo x="0" y="0"/>
              </wp:wrapPolygon>
            </wp:wrapTight>
            <wp:docPr id="4516296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629629"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97710" cy="1091565"/>
                    </a:xfrm>
                    <a:prstGeom prst="rect">
                      <a:avLst/>
                    </a:prstGeom>
                  </pic:spPr>
                </pic:pic>
              </a:graphicData>
            </a:graphic>
            <wp14:sizeRelH relativeFrom="page">
              <wp14:pctWidth>0</wp14:pctWidth>
            </wp14:sizeRelH>
            <wp14:sizeRelV relativeFrom="page">
              <wp14:pctHeight>0</wp14:pctHeight>
            </wp14:sizeRelV>
          </wp:anchor>
        </w:drawing>
      </w:r>
      <w:r w:rsidRPr="0010045C">
        <w:rPr>
          <w:rFonts w:ascii="Arial" w:eastAsiaTheme="minorEastAsia" w:hAnsi="Arial" w:cs="Arial"/>
          <w:noProof/>
          <w:color w:val="000000" w:themeColor="text1"/>
          <w:sz w:val="20"/>
          <w:szCs w:val="20"/>
          <w:lang w:eastAsia="fr-FR"/>
        </w:rPr>
        <w:drawing>
          <wp:anchor distT="0" distB="0" distL="114300" distR="114300" simplePos="0" relativeHeight="251724800" behindDoc="1" locked="0" layoutInCell="1" allowOverlap="1" wp14:anchorId="4D92AECC" wp14:editId="0F48B85B">
            <wp:simplePos x="0" y="0"/>
            <wp:positionH relativeFrom="column">
              <wp:posOffset>1873885</wp:posOffset>
            </wp:positionH>
            <wp:positionV relativeFrom="paragraph">
              <wp:posOffset>285750</wp:posOffset>
            </wp:positionV>
            <wp:extent cx="2150110" cy="1041400"/>
            <wp:effectExtent l="0" t="0" r="0" b="0"/>
            <wp:wrapTight wrapText="bothSides">
              <wp:wrapPolygon edited="0">
                <wp:start x="0" y="0"/>
                <wp:lineTo x="0" y="21337"/>
                <wp:lineTo x="21434" y="21337"/>
                <wp:lineTo x="21434" y="0"/>
                <wp:lineTo x="0" y="0"/>
              </wp:wrapPolygon>
            </wp:wrapTight>
            <wp:docPr id="13855974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597492"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50110" cy="1041400"/>
                    </a:xfrm>
                    <a:prstGeom prst="rect">
                      <a:avLst/>
                    </a:prstGeom>
                  </pic:spPr>
                </pic:pic>
              </a:graphicData>
            </a:graphic>
            <wp14:sizeRelH relativeFrom="page">
              <wp14:pctWidth>0</wp14:pctWidth>
            </wp14:sizeRelH>
            <wp14:sizeRelV relativeFrom="page">
              <wp14:pctHeight>0</wp14:pctHeight>
            </wp14:sizeRelV>
          </wp:anchor>
        </w:drawing>
      </w:r>
    </w:p>
    <w:p w14:paraId="7076059F"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7AC2A436"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1822AAC6" w14:textId="77777777" w:rsidR="00ED4694" w:rsidRPr="00B15634" w:rsidRDefault="00ED4694" w:rsidP="00ED4694">
      <w:pPr>
        <w:pStyle w:val="Sansinterligne"/>
        <w:jc w:val="both"/>
        <w:rPr>
          <w:rFonts w:ascii="Arial" w:eastAsiaTheme="minorEastAsia" w:hAnsi="Arial" w:cs="Arial"/>
          <w:color w:val="000000" w:themeColor="text1"/>
          <w:sz w:val="20"/>
          <w:szCs w:val="20"/>
          <w:lang w:eastAsia="fr-FR"/>
        </w:rPr>
      </w:pPr>
      <w:r w:rsidRPr="0010045C">
        <w:rPr>
          <w:noProof/>
        </w:rPr>
        <w:t xml:space="preserve"> </w:t>
      </w:r>
    </w:p>
    <w:p w14:paraId="04FE2ADA"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25BE9429"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r w:rsidRPr="0010045C">
        <w:rPr>
          <w:rFonts w:ascii="Arial" w:eastAsiaTheme="minorEastAsia" w:hAnsi="Arial" w:cs="Arial"/>
          <w:noProof/>
          <w:color w:val="000000" w:themeColor="text1"/>
          <w:sz w:val="20"/>
          <w:szCs w:val="20"/>
          <w:lang w:eastAsia="fr-FR"/>
        </w:rPr>
        <w:lastRenderedPageBreak/>
        <w:drawing>
          <wp:anchor distT="0" distB="0" distL="114300" distR="114300" simplePos="0" relativeHeight="251725824" behindDoc="1" locked="0" layoutInCell="1" allowOverlap="1" wp14:anchorId="73D53247" wp14:editId="54F6C8F9">
            <wp:simplePos x="0" y="0"/>
            <wp:positionH relativeFrom="column">
              <wp:posOffset>5080</wp:posOffset>
            </wp:positionH>
            <wp:positionV relativeFrom="paragraph">
              <wp:posOffset>0</wp:posOffset>
            </wp:positionV>
            <wp:extent cx="3531044" cy="1973687"/>
            <wp:effectExtent l="0" t="0" r="0" b="0"/>
            <wp:wrapTight wrapText="bothSides">
              <wp:wrapPolygon edited="0">
                <wp:start x="0" y="0"/>
                <wp:lineTo x="0" y="21405"/>
                <wp:lineTo x="21522" y="21405"/>
                <wp:lineTo x="21522" y="0"/>
                <wp:lineTo x="0" y="0"/>
              </wp:wrapPolygon>
            </wp:wrapTight>
            <wp:docPr id="6868183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818356"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531044" cy="1973687"/>
                    </a:xfrm>
                    <a:prstGeom prst="rect">
                      <a:avLst/>
                    </a:prstGeom>
                  </pic:spPr>
                </pic:pic>
              </a:graphicData>
            </a:graphic>
            <wp14:sizeRelH relativeFrom="page">
              <wp14:pctWidth>0</wp14:pctWidth>
            </wp14:sizeRelH>
            <wp14:sizeRelV relativeFrom="page">
              <wp14:pctHeight>0</wp14:pctHeight>
            </wp14:sizeRelV>
          </wp:anchor>
        </w:drawing>
      </w:r>
    </w:p>
    <w:p w14:paraId="1B46ADC2"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r>
        <w:rPr>
          <w:rFonts w:ascii="Arial" w:eastAsiaTheme="minorEastAsia" w:hAnsi="Arial" w:cs="Arial"/>
          <w:color w:val="000000" w:themeColor="text1"/>
          <w:sz w:val="20"/>
          <w:szCs w:val="20"/>
          <w:lang w:eastAsia="fr-FR"/>
        </w:rPr>
        <w:t>En cas de jeûne, consommation des réserves : il faut déstocker grâce à la sécrétion de glucagon.</w:t>
      </w:r>
    </w:p>
    <w:p w14:paraId="01849C2F"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57686D19"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5C2E307F"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73076A53"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7E86EB75"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1903EAB5"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464FD754"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0004867D"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48A81C23"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744C436E"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2CC3BD10"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6C38CA14"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59AD551B" w14:textId="77777777" w:rsidR="00ED4694" w:rsidRPr="005F55E1" w:rsidRDefault="00ED4694" w:rsidP="00ED4694">
      <w:pPr>
        <w:pStyle w:val="Sansinterligne"/>
        <w:numPr>
          <w:ilvl w:val="0"/>
          <w:numId w:val="142"/>
        </w:numPr>
        <w:jc w:val="both"/>
        <w:rPr>
          <w:rFonts w:ascii="Arial" w:eastAsiaTheme="minorEastAsia" w:hAnsi="Arial" w:cs="Arial"/>
          <w:b/>
          <w:bCs/>
          <w:color w:val="00B0F0"/>
          <w:sz w:val="20"/>
          <w:szCs w:val="20"/>
          <w:u w:val="single"/>
          <w:lang w:eastAsia="fr-FR"/>
        </w:rPr>
      </w:pPr>
      <w:r w:rsidRPr="005F55E1">
        <w:rPr>
          <w:rFonts w:ascii="Arial" w:eastAsiaTheme="minorEastAsia" w:hAnsi="Arial" w:cs="Arial"/>
          <w:b/>
          <w:bCs/>
          <w:color w:val="00B0F0"/>
          <w:sz w:val="20"/>
          <w:szCs w:val="20"/>
          <w:u w:val="single"/>
          <w:lang w:eastAsia="fr-FR"/>
        </w:rPr>
        <w:t>Chronologie</w:t>
      </w:r>
    </w:p>
    <w:p w14:paraId="69A6BFC1" w14:textId="77777777" w:rsidR="00ED4694" w:rsidRDefault="00ED4694" w:rsidP="00ED4694">
      <w:pPr>
        <w:pStyle w:val="Sansinterligne"/>
        <w:jc w:val="both"/>
        <w:rPr>
          <w:color w:val="000000" w:themeColor="text1"/>
          <w:sz w:val="20"/>
          <w:szCs w:val="20"/>
        </w:rPr>
      </w:pPr>
      <w:r w:rsidRPr="0025693A">
        <w:rPr>
          <w:color w:val="000000" w:themeColor="text1"/>
          <w:sz w:val="20"/>
          <w:szCs w:val="20"/>
          <w:u w:val="single"/>
        </w:rPr>
        <w:t>Chez un insulino-résistant</w:t>
      </w:r>
      <w:r>
        <w:rPr>
          <w:color w:val="000000" w:themeColor="text1"/>
          <w:sz w:val="20"/>
          <w:szCs w:val="20"/>
        </w:rPr>
        <w:t xml:space="preserve"> : </w:t>
      </w:r>
    </w:p>
    <w:p w14:paraId="3D172BE0" w14:textId="77777777" w:rsidR="00ED4694" w:rsidRDefault="00ED4694" w:rsidP="00ED4694">
      <w:pPr>
        <w:pStyle w:val="Sansinterligne"/>
        <w:numPr>
          <w:ilvl w:val="0"/>
          <w:numId w:val="140"/>
        </w:numPr>
        <w:jc w:val="both"/>
        <w:rPr>
          <w:color w:val="000000" w:themeColor="text1"/>
          <w:sz w:val="20"/>
          <w:szCs w:val="20"/>
        </w:rPr>
      </w:pPr>
      <w:r w:rsidRPr="005F55E1">
        <w:rPr>
          <w:color w:val="000000" w:themeColor="text1"/>
          <w:sz w:val="20"/>
          <w:szCs w:val="20"/>
        </w:rPr>
        <w:t xml:space="preserve">Présence de lipides hors des adipocytes directement dans les tissus cibles de l’insuline (« lipides ectopiques ») </w:t>
      </w:r>
    </w:p>
    <w:p w14:paraId="3CFB0545" w14:textId="77777777" w:rsidR="00ED4694" w:rsidRDefault="00ED4694" w:rsidP="00ED4694">
      <w:pPr>
        <w:pStyle w:val="Sansinterligne"/>
        <w:numPr>
          <w:ilvl w:val="0"/>
          <w:numId w:val="140"/>
        </w:numPr>
        <w:jc w:val="both"/>
        <w:rPr>
          <w:color w:val="000000" w:themeColor="text1"/>
          <w:sz w:val="20"/>
          <w:szCs w:val="20"/>
        </w:rPr>
      </w:pPr>
      <w:r w:rsidRPr="005F55E1">
        <w:rPr>
          <w:color w:val="000000" w:themeColor="text1"/>
          <w:sz w:val="20"/>
          <w:szCs w:val="20"/>
        </w:rPr>
        <w:t>Surplus de tissu adipeux intra-abdominal a des capacités lipolytiques +++ libération non régulée de son contenu lipidique</w:t>
      </w:r>
      <w:r>
        <w:rPr>
          <w:color w:val="000000" w:themeColor="text1"/>
          <w:sz w:val="20"/>
          <w:szCs w:val="20"/>
        </w:rPr>
        <w:t xml:space="preserve">. La lipolyse ne fait normalement qu’en état de jeûne. Or, ici, le TA ne fait que relarguer des AG. </w:t>
      </w:r>
    </w:p>
    <w:p w14:paraId="0505FA31" w14:textId="77777777" w:rsidR="00ED4694" w:rsidRDefault="00ED4694" w:rsidP="00ED4694">
      <w:pPr>
        <w:pStyle w:val="Sansinterligne"/>
        <w:jc w:val="both"/>
        <w:rPr>
          <w:color w:val="000000" w:themeColor="text1"/>
          <w:sz w:val="20"/>
          <w:szCs w:val="20"/>
        </w:rPr>
      </w:pPr>
      <w:r w:rsidRPr="0025693A">
        <w:rPr>
          <w:color w:val="000000" w:themeColor="text1"/>
          <w:sz w:val="20"/>
          <w:szCs w:val="20"/>
          <w:u w:val="single"/>
        </w:rPr>
        <w:t>Conséquences</w:t>
      </w:r>
      <w:r>
        <w:rPr>
          <w:color w:val="000000" w:themeColor="text1"/>
          <w:sz w:val="20"/>
          <w:szCs w:val="20"/>
        </w:rPr>
        <w:t xml:space="preserve"> : les AG activent une voie de signalisation autout de lKKbeta (voie de l’inflammation) </w:t>
      </w:r>
      <w:r w:rsidRPr="005F55E1">
        <w:rPr>
          <w:color w:val="000000" w:themeColor="text1"/>
          <w:sz w:val="20"/>
          <w:szCs w:val="20"/>
        </w:rPr>
        <w:sym w:font="Wingdings" w:char="F0E0"/>
      </w:r>
      <w:r>
        <w:rPr>
          <w:color w:val="000000" w:themeColor="text1"/>
          <w:sz w:val="20"/>
          <w:szCs w:val="20"/>
        </w:rPr>
        <w:t xml:space="preserve"> p</w:t>
      </w:r>
      <w:r w:rsidRPr="005F55E1">
        <w:rPr>
          <w:color w:val="000000" w:themeColor="text1"/>
          <w:sz w:val="20"/>
          <w:szCs w:val="20"/>
        </w:rPr>
        <w:t>hosphorylation sur des résidus Ser/Thr des protéines IRS</w:t>
      </w:r>
      <w:r>
        <w:rPr>
          <w:color w:val="000000" w:themeColor="text1"/>
          <w:sz w:val="20"/>
          <w:szCs w:val="20"/>
        </w:rPr>
        <w:t xml:space="preserve"> </w:t>
      </w:r>
      <w:r w:rsidRPr="005F55E1">
        <w:rPr>
          <w:color w:val="000000" w:themeColor="text1"/>
          <w:sz w:val="20"/>
          <w:szCs w:val="20"/>
        </w:rPr>
        <w:t xml:space="preserve">(insulin receptor substrate) </w:t>
      </w:r>
      <w:r>
        <w:rPr>
          <w:color w:val="000000" w:themeColor="text1"/>
          <w:sz w:val="20"/>
          <w:szCs w:val="20"/>
        </w:rPr>
        <w:t xml:space="preserve"> </w:t>
      </w:r>
      <w:r w:rsidRPr="005F55E1">
        <w:rPr>
          <w:color w:val="000000" w:themeColor="text1"/>
          <w:sz w:val="20"/>
          <w:szCs w:val="20"/>
        </w:rPr>
        <w:sym w:font="Wingdings" w:char="F0E0"/>
      </w:r>
      <w:r>
        <w:rPr>
          <w:color w:val="000000" w:themeColor="text1"/>
          <w:sz w:val="20"/>
          <w:szCs w:val="20"/>
        </w:rPr>
        <w:t xml:space="preserve"> </w:t>
      </w:r>
      <w:r w:rsidRPr="005F55E1">
        <w:rPr>
          <w:color w:val="000000" w:themeColor="text1"/>
          <w:sz w:val="20"/>
          <w:szCs w:val="20"/>
        </w:rPr>
        <w:t xml:space="preserve">inhibe la phosphorylation de Akt </w:t>
      </w:r>
      <w:r>
        <w:rPr>
          <w:color w:val="000000" w:themeColor="text1"/>
          <w:sz w:val="20"/>
          <w:szCs w:val="20"/>
        </w:rPr>
        <w:t xml:space="preserve"> </w:t>
      </w:r>
      <w:r w:rsidRPr="005F55E1">
        <w:rPr>
          <w:color w:val="000000" w:themeColor="text1"/>
          <w:sz w:val="20"/>
          <w:szCs w:val="20"/>
        </w:rPr>
        <w:sym w:font="Wingdings" w:char="F0E0"/>
      </w:r>
      <w:r>
        <w:rPr>
          <w:color w:val="000000" w:themeColor="text1"/>
          <w:sz w:val="20"/>
          <w:szCs w:val="20"/>
        </w:rPr>
        <w:t xml:space="preserve"> </w:t>
      </w:r>
      <w:r w:rsidRPr="005F55E1">
        <w:rPr>
          <w:color w:val="000000" w:themeColor="text1"/>
          <w:sz w:val="20"/>
          <w:szCs w:val="20"/>
        </w:rPr>
        <w:t>inhibe la signalisation intracellulaire de l’insuline</w:t>
      </w:r>
      <w:r>
        <w:rPr>
          <w:color w:val="000000" w:themeColor="text1"/>
          <w:sz w:val="20"/>
          <w:szCs w:val="20"/>
        </w:rPr>
        <w:t xml:space="preserve">. </w:t>
      </w:r>
    </w:p>
    <w:p w14:paraId="515BE046" w14:textId="77777777" w:rsidR="00ED4694" w:rsidRDefault="00ED4694" w:rsidP="00ED4694">
      <w:pPr>
        <w:pStyle w:val="Sansinterligne"/>
        <w:jc w:val="both"/>
        <w:rPr>
          <w:color w:val="000000" w:themeColor="text1"/>
          <w:sz w:val="20"/>
          <w:szCs w:val="20"/>
        </w:rPr>
      </w:pPr>
      <w:r>
        <w:rPr>
          <w:color w:val="000000" w:themeColor="text1"/>
          <w:sz w:val="20"/>
          <w:szCs w:val="20"/>
        </w:rPr>
        <w:t>Les AG entraînent donc une insensibilité à l’insuline (car plus de signalisation de l’insuline dans le TA).</w:t>
      </w:r>
    </w:p>
    <w:p w14:paraId="4CB7B94B" w14:textId="77777777" w:rsidR="00ED4694" w:rsidRDefault="00ED4694" w:rsidP="00ED4694">
      <w:pPr>
        <w:pStyle w:val="Sansinterligne"/>
        <w:jc w:val="both"/>
        <w:rPr>
          <w:color w:val="000000" w:themeColor="text1"/>
          <w:sz w:val="20"/>
          <w:szCs w:val="20"/>
        </w:rPr>
      </w:pPr>
    </w:p>
    <w:p w14:paraId="3F4C403F" w14:textId="77777777" w:rsidR="00ED4694" w:rsidRDefault="00ED4694" w:rsidP="00ED4694">
      <w:pPr>
        <w:pStyle w:val="Sansinterligne"/>
        <w:jc w:val="both"/>
        <w:rPr>
          <w:color w:val="000000" w:themeColor="text1"/>
          <w:sz w:val="20"/>
          <w:szCs w:val="20"/>
        </w:rPr>
      </w:pPr>
      <w:r>
        <w:rPr>
          <w:color w:val="000000" w:themeColor="text1"/>
          <w:sz w:val="20"/>
          <w:szCs w:val="20"/>
        </w:rPr>
        <w:t xml:space="preserve">Au niveau du </w:t>
      </w:r>
      <w:r w:rsidRPr="002F0849">
        <w:rPr>
          <w:color w:val="000000" w:themeColor="text1"/>
          <w:sz w:val="20"/>
          <w:szCs w:val="20"/>
          <w:u w:val="single"/>
        </w:rPr>
        <w:t>muscle squelett</w:t>
      </w:r>
      <w:r>
        <w:rPr>
          <w:color w:val="000000" w:themeColor="text1"/>
          <w:sz w:val="20"/>
          <w:szCs w:val="20"/>
          <w:u w:val="single"/>
        </w:rPr>
        <w:t>iqu</w:t>
      </w:r>
      <w:r w:rsidRPr="002F0849">
        <w:rPr>
          <w:color w:val="000000" w:themeColor="text1"/>
          <w:sz w:val="20"/>
          <w:szCs w:val="20"/>
          <w:u w:val="single"/>
        </w:rPr>
        <w:t>e</w:t>
      </w:r>
      <w:r>
        <w:rPr>
          <w:color w:val="000000" w:themeColor="text1"/>
          <w:sz w:val="20"/>
          <w:szCs w:val="20"/>
        </w:rPr>
        <w:t xml:space="preserve"> (40% de la masse corporelle humaine), c’est le tissu qui consomme le plus de glucose (en termes de de capture du glucose en réponse à l’insuline). C’est donc la principale cible cellulaire dans le dev de l’insulino-résistance à l’insuline. </w:t>
      </w:r>
    </w:p>
    <w:p w14:paraId="6B498E18" w14:textId="77777777" w:rsidR="00ED4694" w:rsidRDefault="00ED4694" w:rsidP="00ED4694">
      <w:pPr>
        <w:pStyle w:val="Sansinterligne"/>
        <w:jc w:val="both"/>
        <w:rPr>
          <w:color w:val="000000" w:themeColor="text1"/>
          <w:sz w:val="20"/>
          <w:szCs w:val="20"/>
        </w:rPr>
      </w:pPr>
      <w:r>
        <w:rPr>
          <w:color w:val="000000" w:themeColor="text1"/>
          <w:sz w:val="20"/>
          <w:szCs w:val="20"/>
        </w:rPr>
        <w:t xml:space="preserve">Il y a un relargage d’AG important qui circule dans le sang et qui va rendre le muscle insensible à l’insuline (par la voie de lKKbeta). Il n’y a donc plus d’entrée de glucose dans le muscle qui fait de la beta-oxydation = hyperglycémie, avec une hyper-insulinémie compensatrice pour normaliser la glycémie. </w:t>
      </w:r>
    </w:p>
    <w:p w14:paraId="7FDD2D6B" w14:textId="77777777" w:rsidR="00ED4694" w:rsidRDefault="00ED4694" w:rsidP="00ED4694">
      <w:pPr>
        <w:pStyle w:val="Sansinterligne"/>
        <w:jc w:val="both"/>
        <w:rPr>
          <w:color w:val="000000" w:themeColor="text1"/>
          <w:sz w:val="20"/>
          <w:szCs w:val="20"/>
        </w:rPr>
      </w:pPr>
      <w:r>
        <w:rPr>
          <w:color w:val="000000" w:themeColor="text1"/>
          <w:sz w:val="20"/>
          <w:szCs w:val="20"/>
        </w:rPr>
        <w:t xml:space="preserve">L’insuline est aussi capable d’activer la LPL endothéliale. Mais comme la voie de signalisation de l’insuline ne marche plus, la LPL endothéliale ne sera pas activée. Les TG présents dans le muscle vont y rester, du gras va donc s’insérer dans les fibres musculaires = diminution de la clairance des TG. </w:t>
      </w:r>
    </w:p>
    <w:p w14:paraId="63246811" w14:textId="77777777" w:rsidR="00ED4694" w:rsidRDefault="00ED4694" w:rsidP="00ED4694">
      <w:pPr>
        <w:pStyle w:val="Sansinterligne"/>
        <w:jc w:val="both"/>
        <w:rPr>
          <w:color w:val="000000" w:themeColor="text1"/>
          <w:sz w:val="20"/>
          <w:szCs w:val="20"/>
        </w:rPr>
      </w:pPr>
    </w:p>
    <w:p w14:paraId="06B93A4F" w14:textId="77777777" w:rsidR="00ED4694" w:rsidRDefault="00ED4694" w:rsidP="00ED4694">
      <w:pPr>
        <w:pStyle w:val="Sansinterligne"/>
        <w:jc w:val="both"/>
        <w:rPr>
          <w:color w:val="000000" w:themeColor="text1"/>
          <w:sz w:val="20"/>
          <w:szCs w:val="20"/>
        </w:rPr>
      </w:pPr>
      <w:r>
        <w:rPr>
          <w:color w:val="000000" w:themeColor="text1"/>
          <w:sz w:val="20"/>
          <w:szCs w:val="20"/>
        </w:rPr>
        <w:t xml:space="preserve">Au niveau du </w:t>
      </w:r>
      <w:r w:rsidRPr="002F0849">
        <w:rPr>
          <w:color w:val="000000" w:themeColor="text1"/>
          <w:sz w:val="20"/>
          <w:szCs w:val="20"/>
          <w:u w:val="single"/>
        </w:rPr>
        <w:t>TA</w:t>
      </w:r>
      <w:r>
        <w:rPr>
          <w:color w:val="000000" w:themeColor="text1"/>
          <w:sz w:val="20"/>
          <w:szCs w:val="20"/>
        </w:rPr>
        <w:t xml:space="preserve">, il ne répond plus à l’insuline dû à la lipolyse qui augmente la libération d’AG qui passent dans le sang générant une lipotoxicité. Il n’y a plus d’entrée de glucose dans le TA, il n’y a que de l’AG qui sort. Le TA va devenir inflammatoire par l’infiltration de macrophages entraînant un relargage massif de cytokines pro-inflammatoires (TNFalpha, IL7, CRP+). </w:t>
      </w:r>
    </w:p>
    <w:p w14:paraId="0AFE8BEB" w14:textId="77777777" w:rsidR="00ED4694" w:rsidRDefault="00ED4694" w:rsidP="00ED4694">
      <w:pPr>
        <w:pStyle w:val="Sansinterligne"/>
        <w:jc w:val="both"/>
        <w:rPr>
          <w:color w:val="000000" w:themeColor="text1"/>
          <w:sz w:val="20"/>
          <w:szCs w:val="20"/>
        </w:rPr>
      </w:pPr>
    </w:p>
    <w:p w14:paraId="624A7815" w14:textId="77777777" w:rsidR="00ED4694" w:rsidRDefault="00ED4694" w:rsidP="00ED4694">
      <w:pPr>
        <w:pStyle w:val="Sansinterligne"/>
        <w:jc w:val="both"/>
        <w:rPr>
          <w:color w:val="000000" w:themeColor="text1"/>
          <w:sz w:val="20"/>
          <w:szCs w:val="20"/>
        </w:rPr>
      </w:pPr>
      <w:r>
        <w:rPr>
          <w:color w:val="000000" w:themeColor="text1"/>
          <w:sz w:val="20"/>
          <w:szCs w:val="20"/>
        </w:rPr>
        <w:t xml:space="preserve">Au niveau du </w:t>
      </w:r>
      <w:r w:rsidRPr="002F0849">
        <w:rPr>
          <w:color w:val="000000" w:themeColor="text1"/>
          <w:sz w:val="20"/>
          <w:szCs w:val="20"/>
          <w:u w:val="single"/>
        </w:rPr>
        <w:t>foie</w:t>
      </w:r>
      <w:r>
        <w:rPr>
          <w:color w:val="000000" w:themeColor="text1"/>
          <w:sz w:val="20"/>
          <w:szCs w:val="20"/>
        </w:rPr>
        <w:t>, arrivée massive des AG, ils libèrent du glycérol pour permettre la synthèse de glucose via la néoglucogénèse. Ils permettent aussi la synthèse de VLDL et TG, voire de corps cétoniques.</w:t>
      </w:r>
    </w:p>
    <w:p w14:paraId="5DEDA2EE" w14:textId="77777777" w:rsidR="00ED4694" w:rsidRDefault="00ED4694" w:rsidP="00ED4694">
      <w:pPr>
        <w:pStyle w:val="Sansinterligne"/>
        <w:jc w:val="both"/>
        <w:rPr>
          <w:color w:val="000000" w:themeColor="text1"/>
          <w:sz w:val="20"/>
          <w:szCs w:val="20"/>
        </w:rPr>
      </w:pPr>
      <w:r>
        <w:rPr>
          <w:color w:val="000000" w:themeColor="text1"/>
          <w:sz w:val="20"/>
          <w:szCs w:val="20"/>
        </w:rPr>
        <w:t>On est en plein post-prandial, le tissu ne répond plus à l’insuline, il se comporte comme si on était en période de jeûne, avec la synthèse de glucose et TG. Tout cela entraîne une hyper-insulinémie compensatoire avec épuisement du pancréas = glucotoxicité. Installation d’un cercle vicieux, créant une intolérance au glucose, comme un prédiabète, mais réversible.</w:t>
      </w:r>
    </w:p>
    <w:p w14:paraId="0090747C" w14:textId="77777777" w:rsidR="00ED4694" w:rsidRDefault="00ED4694" w:rsidP="00ED4694">
      <w:pPr>
        <w:pStyle w:val="Sansinterligne"/>
        <w:jc w:val="both"/>
        <w:rPr>
          <w:color w:val="000000" w:themeColor="text1"/>
          <w:sz w:val="20"/>
          <w:szCs w:val="20"/>
        </w:rPr>
      </w:pPr>
      <w:r>
        <w:rPr>
          <w:color w:val="000000" w:themeColor="text1"/>
          <w:sz w:val="20"/>
          <w:szCs w:val="20"/>
        </w:rPr>
        <w:t>En parallèle, le foie augmente sa synthèse de lipides. Le foie est donc chargé en lipides = stéatose hépatique non alcooliques = NAFL : lipogenèse hépatique, synthèse de TG par les AGL saturés (de la lipolyse adipocytaire). Mais très vite, le foie peut évoluer vers une NASH (stéatose hépatique alcoolique), un stade préliminaire de la cirrhose et du cancer du foie. Ce sont des stades qui sont encore réversibles.</w:t>
      </w:r>
    </w:p>
    <w:p w14:paraId="40D15B5D" w14:textId="77777777" w:rsidR="00ED4694" w:rsidRDefault="00ED4694" w:rsidP="00ED4694">
      <w:pPr>
        <w:pStyle w:val="Sansinterligne"/>
        <w:jc w:val="center"/>
        <w:rPr>
          <w:color w:val="000000" w:themeColor="text1"/>
          <w:sz w:val="20"/>
          <w:szCs w:val="20"/>
        </w:rPr>
      </w:pPr>
      <w:r w:rsidRPr="000C13EE">
        <w:rPr>
          <w:noProof/>
          <w:color w:val="000000" w:themeColor="text1"/>
          <w:sz w:val="20"/>
          <w:szCs w:val="20"/>
        </w:rPr>
        <w:drawing>
          <wp:anchor distT="0" distB="0" distL="114300" distR="114300" simplePos="0" relativeHeight="251726848" behindDoc="1" locked="0" layoutInCell="1" allowOverlap="1" wp14:anchorId="1A88E9FA" wp14:editId="1184D66B">
            <wp:simplePos x="0" y="0"/>
            <wp:positionH relativeFrom="column">
              <wp:posOffset>1293901</wp:posOffset>
            </wp:positionH>
            <wp:positionV relativeFrom="paragraph">
              <wp:posOffset>74295</wp:posOffset>
            </wp:positionV>
            <wp:extent cx="4145915" cy="2169795"/>
            <wp:effectExtent l="0" t="0" r="0" b="1905"/>
            <wp:wrapTight wrapText="bothSides">
              <wp:wrapPolygon edited="0">
                <wp:start x="0" y="0"/>
                <wp:lineTo x="0" y="21493"/>
                <wp:lineTo x="21504" y="21493"/>
                <wp:lineTo x="21504" y="0"/>
                <wp:lineTo x="0" y="0"/>
              </wp:wrapPolygon>
            </wp:wrapTight>
            <wp:docPr id="1094744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4409" name=""/>
                    <pic:cNvPicPr/>
                  </pic:nvPicPr>
                  <pic:blipFill>
                    <a:blip r:embed="rId84">
                      <a:extLst>
                        <a:ext uri="{28A0092B-C50C-407E-A947-70E740481C1C}">
                          <a14:useLocalDpi xmlns:a14="http://schemas.microsoft.com/office/drawing/2010/main" val="0"/>
                        </a:ext>
                      </a:extLst>
                    </a:blip>
                    <a:stretch>
                      <a:fillRect/>
                    </a:stretch>
                  </pic:blipFill>
                  <pic:spPr>
                    <a:xfrm>
                      <a:off x="0" y="0"/>
                      <a:ext cx="4145915" cy="2169795"/>
                    </a:xfrm>
                    <a:prstGeom prst="rect">
                      <a:avLst/>
                    </a:prstGeom>
                  </pic:spPr>
                </pic:pic>
              </a:graphicData>
            </a:graphic>
            <wp14:sizeRelH relativeFrom="page">
              <wp14:pctWidth>0</wp14:pctWidth>
            </wp14:sizeRelH>
            <wp14:sizeRelV relativeFrom="page">
              <wp14:pctHeight>0</wp14:pctHeight>
            </wp14:sizeRelV>
          </wp:anchor>
        </w:drawing>
      </w:r>
    </w:p>
    <w:p w14:paraId="3AAADFF8" w14:textId="77777777" w:rsidR="00ED4694" w:rsidRDefault="00ED4694" w:rsidP="00ED4694">
      <w:pPr>
        <w:pStyle w:val="Sansinterligne"/>
        <w:jc w:val="both"/>
        <w:rPr>
          <w:color w:val="000000" w:themeColor="text1"/>
          <w:sz w:val="20"/>
          <w:szCs w:val="20"/>
        </w:rPr>
      </w:pPr>
    </w:p>
    <w:p w14:paraId="485F0296" w14:textId="77777777" w:rsidR="00ED4694" w:rsidRDefault="00ED4694" w:rsidP="00ED4694">
      <w:pPr>
        <w:pStyle w:val="Sansinterligne"/>
        <w:jc w:val="both"/>
        <w:rPr>
          <w:color w:val="000000" w:themeColor="text1"/>
          <w:sz w:val="20"/>
          <w:szCs w:val="20"/>
        </w:rPr>
      </w:pPr>
    </w:p>
    <w:p w14:paraId="7FF317FE" w14:textId="77777777" w:rsidR="00ED4694" w:rsidRDefault="00ED4694" w:rsidP="00ED4694">
      <w:pPr>
        <w:pStyle w:val="Sansinterligne"/>
        <w:jc w:val="both"/>
        <w:rPr>
          <w:color w:val="000000" w:themeColor="text1"/>
          <w:sz w:val="20"/>
          <w:szCs w:val="20"/>
        </w:rPr>
      </w:pPr>
    </w:p>
    <w:p w14:paraId="2BEC73DF" w14:textId="77777777" w:rsidR="00ED4694" w:rsidRDefault="00ED4694" w:rsidP="00ED4694">
      <w:pPr>
        <w:pStyle w:val="Sansinterligne"/>
        <w:jc w:val="both"/>
        <w:rPr>
          <w:color w:val="000000" w:themeColor="text1"/>
          <w:sz w:val="20"/>
          <w:szCs w:val="20"/>
        </w:rPr>
      </w:pPr>
    </w:p>
    <w:p w14:paraId="2925EA96" w14:textId="77777777" w:rsidR="00ED4694" w:rsidRDefault="00ED4694" w:rsidP="00ED4694">
      <w:pPr>
        <w:pStyle w:val="Sansinterligne"/>
        <w:jc w:val="both"/>
        <w:rPr>
          <w:color w:val="000000" w:themeColor="text1"/>
          <w:sz w:val="20"/>
          <w:szCs w:val="20"/>
        </w:rPr>
      </w:pPr>
    </w:p>
    <w:p w14:paraId="2EA5354A" w14:textId="77777777" w:rsidR="00ED4694" w:rsidRDefault="00ED4694" w:rsidP="00ED4694">
      <w:pPr>
        <w:pStyle w:val="Sansinterligne"/>
        <w:jc w:val="both"/>
        <w:rPr>
          <w:color w:val="000000" w:themeColor="text1"/>
          <w:sz w:val="20"/>
          <w:szCs w:val="20"/>
        </w:rPr>
      </w:pPr>
    </w:p>
    <w:p w14:paraId="12FA2596" w14:textId="77777777" w:rsidR="00ED4694" w:rsidRDefault="00ED4694" w:rsidP="00ED4694">
      <w:pPr>
        <w:pStyle w:val="Sansinterligne"/>
        <w:jc w:val="both"/>
        <w:rPr>
          <w:color w:val="000000" w:themeColor="text1"/>
          <w:sz w:val="20"/>
          <w:szCs w:val="20"/>
        </w:rPr>
      </w:pPr>
    </w:p>
    <w:p w14:paraId="2180ACD5" w14:textId="77777777" w:rsidR="00ED4694" w:rsidRDefault="00ED4694" w:rsidP="00ED4694">
      <w:pPr>
        <w:pStyle w:val="Sansinterligne"/>
        <w:jc w:val="both"/>
        <w:rPr>
          <w:color w:val="000000" w:themeColor="text1"/>
          <w:sz w:val="20"/>
          <w:szCs w:val="20"/>
        </w:rPr>
      </w:pPr>
    </w:p>
    <w:p w14:paraId="607329D7" w14:textId="77777777" w:rsidR="00ED4694" w:rsidRDefault="00ED4694" w:rsidP="00ED4694">
      <w:pPr>
        <w:pStyle w:val="Sansinterligne"/>
        <w:jc w:val="both"/>
        <w:rPr>
          <w:color w:val="000000" w:themeColor="text1"/>
          <w:sz w:val="20"/>
          <w:szCs w:val="20"/>
        </w:rPr>
      </w:pPr>
    </w:p>
    <w:p w14:paraId="3D18FB5E" w14:textId="77777777" w:rsidR="00ED4694" w:rsidRDefault="00ED4694" w:rsidP="00ED4694">
      <w:pPr>
        <w:pStyle w:val="Sansinterligne"/>
        <w:jc w:val="both"/>
        <w:rPr>
          <w:color w:val="000000" w:themeColor="text1"/>
          <w:sz w:val="20"/>
          <w:szCs w:val="20"/>
        </w:rPr>
      </w:pPr>
    </w:p>
    <w:p w14:paraId="02700BF6" w14:textId="77777777" w:rsidR="00ED4694" w:rsidRDefault="00ED4694" w:rsidP="00ED4694">
      <w:pPr>
        <w:pStyle w:val="Sansinterligne"/>
        <w:jc w:val="both"/>
        <w:rPr>
          <w:color w:val="000000" w:themeColor="text1"/>
          <w:sz w:val="20"/>
          <w:szCs w:val="20"/>
        </w:rPr>
      </w:pPr>
    </w:p>
    <w:p w14:paraId="1F87826F" w14:textId="77777777" w:rsidR="00ED4694" w:rsidRDefault="00ED4694" w:rsidP="00ED4694">
      <w:pPr>
        <w:pStyle w:val="Sansinterligne"/>
        <w:jc w:val="both"/>
        <w:rPr>
          <w:color w:val="000000" w:themeColor="text1"/>
          <w:sz w:val="20"/>
          <w:szCs w:val="20"/>
        </w:rPr>
      </w:pPr>
    </w:p>
    <w:p w14:paraId="2CA39A4B" w14:textId="77777777" w:rsidR="00ED4694" w:rsidRDefault="00ED4694" w:rsidP="00ED4694">
      <w:pPr>
        <w:pStyle w:val="Sansinterligne"/>
        <w:jc w:val="both"/>
        <w:rPr>
          <w:color w:val="000000" w:themeColor="text1"/>
          <w:sz w:val="20"/>
          <w:szCs w:val="20"/>
        </w:rPr>
      </w:pPr>
    </w:p>
    <w:p w14:paraId="1B63020B" w14:textId="77777777" w:rsidR="00ED4694" w:rsidRDefault="00ED4694" w:rsidP="00ED4694">
      <w:pPr>
        <w:pStyle w:val="Sansinterligne"/>
        <w:jc w:val="both"/>
        <w:rPr>
          <w:color w:val="000000" w:themeColor="text1"/>
          <w:sz w:val="20"/>
          <w:szCs w:val="20"/>
        </w:rPr>
      </w:pPr>
      <w:r>
        <w:rPr>
          <w:color w:val="000000" w:themeColor="text1"/>
          <w:sz w:val="20"/>
          <w:szCs w:val="20"/>
        </w:rPr>
        <w:lastRenderedPageBreak/>
        <w:t xml:space="preserve">Au stade de NASH, l’inflammation active les macrophages, dû à l’accumulation des lipides et aussi de la </w:t>
      </w:r>
      <w:r w:rsidRPr="005D5D34">
        <w:rPr>
          <w:color w:val="000000" w:themeColor="text1"/>
          <w:sz w:val="20"/>
          <w:szCs w:val="20"/>
          <w:u w:val="single"/>
        </w:rPr>
        <w:t>dysbiose intestinale</w:t>
      </w:r>
      <w:r>
        <w:rPr>
          <w:color w:val="000000" w:themeColor="text1"/>
          <w:sz w:val="20"/>
          <w:szCs w:val="20"/>
        </w:rPr>
        <w:t xml:space="preserve"> générée par insulino-résistance.</w:t>
      </w:r>
    </w:p>
    <w:p w14:paraId="40522ED2" w14:textId="77777777" w:rsidR="00ED4694" w:rsidRPr="005D5D34" w:rsidRDefault="00ED4694" w:rsidP="00ED4694">
      <w:pPr>
        <w:pStyle w:val="Sansinterligne"/>
        <w:jc w:val="both"/>
        <w:rPr>
          <w:color w:val="000000" w:themeColor="text1"/>
          <w:sz w:val="20"/>
          <w:szCs w:val="20"/>
        </w:rPr>
      </w:pPr>
      <w:r w:rsidRPr="005D5D34">
        <w:rPr>
          <w:color w:val="000000" w:themeColor="text1"/>
          <w:sz w:val="20"/>
          <w:szCs w:val="20"/>
        </w:rPr>
        <w:t>Le microbiote produit des métabolites actifs, tels que des acides biliaires transformés, des acides gras à chaînes courtes ou de l’hydrogène sulfuré (H2S) qui peuvent agir sur la sensibilité périphérique à l’insuline</w:t>
      </w:r>
      <w:r>
        <w:rPr>
          <w:color w:val="000000" w:themeColor="text1"/>
          <w:sz w:val="20"/>
          <w:szCs w:val="20"/>
        </w:rPr>
        <w:t>.</w:t>
      </w:r>
    </w:p>
    <w:p w14:paraId="2BDB0B6D" w14:textId="77777777" w:rsidR="00ED4694" w:rsidRPr="005D5D34" w:rsidRDefault="00ED4694" w:rsidP="00ED4694">
      <w:pPr>
        <w:pStyle w:val="Sansinterligne"/>
        <w:numPr>
          <w:ilvl w:val="1"/>
          <w:numId w:val="142"/>
        </w:numPr>
        <w:jc w:val="both"/>
        <w:rPr>
          <w:color w:val="000000" w:themeColor="text1"/>
          <w:sz w:val="20"/>
          <w:szCs w:val="20"/>
        </w:rPr>
      </w:pPr>
      <w:r w:rsidRPr="005D5D34">
        <w:rPr>
          <w:color w:val="000000" w:themeColor="text1"/>
          <w:sz w:val="20"/>
          <w:szCs w:val="20"/>
        </w:rPr>
        <w:t xml:space="preserve">Pathologies (IR avérée : Obésité et Diabète de type 2)) </w:t>
      </w:r>
    </w:p>
    <w:p w14:paraId="0D5225F9" w14:textId="77777777" w:rsidR="00ED4694" w:rsidRDefault="00ED4694" w:rsidP="00ED4694">
      <w:pPr>
        <w:pStyle w:val="Sansinterligne"/>
        <w:numPr>
          <w:ilvl w:val="0"/>
          <w:numId w:val="140"/>
        </w:numPr>
        <w:jc w:val="both"/>
        <w:rPr>
          <w:color w:val="000000" w:themeColor="text1"/>
          <w:sz w:val="20"/>
          <w:szCs w:val="20"/>
        </w:rPr>
      </w:pPr>
      <w:r w:rsidRPr="005D5D34">
        <w:rPr>
          <w:color w:val="000000" w:themeColor="text1"/>
          <w:sz w:val="20"/>
          <w:szCs w:val="20"/>
        </w:rPr>
        <w:t xml:space="preserve">Diminution de la sensibilité à l’insuline des entérocytes </w:t>
      </w:r>
    </w:p>
    <w:p w14:paraId="23877EFA" w14:textId="77777777" w:rsidR="00ED4694" w:rsidRDefault="00ED4694" w:rsidP="00ED4694">
      <w:pPr>
        <w:pStyle w:val="Sansinterligne"/>
        <w:numPr>
          <w:ilvl w:val="0"/>
          <w:numId w:val="140"/>
        </w:numPr>
        <w:jc w:val="both"/>
        <w:rPr>
          <w:color w:val="000000" w:themeColor="text1"/>
          <w:sz w:val="20"/>
          <w:szCs w:val="20"/>
        </w:rPr>
      </w:pPr>
      <w:r w:rsidRPr="005D5D34">
        <w:rPr>
          <w:color w:val="000000" w:themeColor="text1"/>
          <w:sz w:val="20"/>
          <w:szCs w:val="20"/>
        </w:rPr>
        <w:t>Augmentation transitoire de la perméabilité intestinale</w:t>
      </w:r>
    </w:p>
    <w:p w14:paraId="201EF52B" w14:textId="77777777" w:rsidR="00ED4694" w:rsidRDefault="00ED4694" w:rsidP="00ED4694">
      <w:pPr>
        <w:pStyle w:val="Sansinterligne"/>
        <w:numPr>
          <w:ilvl w:val="0"/>
          <w:numId w:val="140"/>
        </w:numPr>
        <w:jc w:val="both"/>
        <w:rPr>
          <w:color w:val="000000" w:themeColor="text1"/>
          <w:sz w:val="20"/>
          <w:szCs w:val="20"/>
        </w:rPr>
      </w:pPr>
      <w:r>
        <w:rPr>
          <w:color w:val="000000" w:themeColor="text1"/>
          <w:sz w:val="20"/>
          <w:szCs w:val="20"/>
        </w:rPr>
        <w:t>P</w:t>
      </w:r>
      <w:r w:rsidRPr="005D5D34">
        <w:rPr>
          <w:color w:val="000000" w:themeColor="text1"/>
          <w:sz w:val="20"/>
          <w:szCs w:val="20"/>
        </w:rPr>
        <w:t>assage paracellulaire et transcellulaire d’endotoxines bactériennes dans la circulation systémique</w:t>
      </w:r>
    </w:p>
    <w:p w14:paraId="5EB03CE0" w14:textId="77777777" w:rsidR="00ED4694" w:rsidRDefault="00ED4694" w:rsidP="00ED4694">
      <w:pPr>
        <w:pStyle w:val="Sansinterligne"/>
        <w:numPr>
          <w:ilvl w:val="0"/>
          <w:numId w:val="140"/>
        </w:numPr>
        <w:jc w:val="both"/>
        <w:rPr>
          <w:color w:val="000000" w:themeColor="text1"/>
          <w:sz w:val="20"/>
          <w:szCs w:val="20"/>
        </w:rPr>
      </w:pPr>
      <w:r>
        <w:rPr>
          <w:color w:val="000000" w:themeColor="text1"/>
          <w:sz w:val="20"/>
          <w:szCs w:val="20"/>
        </w:rPr>
        <w:t>A</w:t>
      </w:r>
      <w:r w:rsidRPr="005D5D34">
        <w:rPr>
          <w:color w:val="000000" w:themeColor="text1"/>
          <w:sz w:val="20"/>
          <w:szCs w:val="20"/>
        </w:rPr>
        <w:t>ugmentation des ₵ immunité innée et acquise/jéjunum (Ob)</w:t>
      </w:r>
    </w:p>
    <w:p w14:paraId="2A1C3771" w14:textId="77777777" w:rsidR="00ED4694" w:rsidRPr="005D5D34" w:rsidRDefault="00ED4694" w:rsidP="00ED4694">
      <w:pPr>
        <w:pStyle w:val="Sansinterligne"/>
        <w:numPr>
          <w:ilvl w:val="0"/>
          <w:numId w:val="140"/>
        </w:numPr>
        <w:jc w:val="both"/>
        <w:rPr>
          <w:color w:val="000000" w:themeColor="text1"/>
          <w:sz w:val="20"/>
          <w:szCs w:val="20"/>
        </w:rPr>
      </w:pPr>
      <w:r w:rsidRPr="005D5D34">
        <w:rPr>
          <w:color w:val="000000" w:themeColor="text1"/>
          <w:sz w:val="20"/>
          <w:szCs w:val="20"/>
        </w:rPr>
        <w:t xml:space="preserve">Augmentation des lymphocytes T et cytokines proinflammatoires (Ob) </w:t>
      </w:r>
    </w:p>
    <w:p w14:paraId="1787AA44" w14:textId="77777777" w:rsidR="00ED4694" w:rsidRDefault="00ED4694" w:rsidP="00ED4694">
      <w:pPr>
        <w:pStyle w:val="Sansinterligne"/>
        <w:numPr>
          <w:ilvl w:val="1"/>
          <w:numId w:val="142"/>
        </w:numPr>
        <w:jc w:val="both"/>
        <w:rPr>
          <w:color w:val="000000" w:themeColor="text1"/>
          <w:sz w:val="20"/>
          <w:szCs w:val="20"/>
        </w:rPr>
      </w:pPr>
      <w:r w:rsidRPr="005D5D34">
        <w:rPr>
          <w:color w:val="000000" w:themeColor="text1"/>
          <w:sz w:val="20"/>
          <w:szCs w:val="20"/>
        </w:rPr>
        <w:t xml:space="preserve">Nature Communications 2023 </w:t>
      </w:r>
    </w:p>
    <w:p w14:paraId="4A9BBFBB" w14:textId="77777777" w:rsidR="00ED4694" w:rsidRDefault="00ED4694" w:rsidP="00ED4694">
      <w:pPr>
        <w:pStyle w:val="Sansinterligne"/>
        <w:numPr>
          <w:ilvl w:val="0"/>
          <w:numId w:val="140"/>
        </w:numPr>
        <w:jc w:val="both"/>
        <w:rPr>
          <w:color w:val="000000" w:themeColor="text1"/>
          <w:sz w:val="20"/>
          <w:szCs w:val="20"/>
        </w:rPr>
      </w:pPr>
      <w:r>
        <w:rPr>
          <w:color w:val="000000" w:themeColor="text1"/>
          <w:sz w:val="20"/>
          <w:szCs w:val="20"/>
        </w:rPr>
        <w:t>Quand le patient est sain, il y a bcp de bactéroïdes dans son microbiote. Mais peu chez les insulino-résistant : microbiote en déséquilibre.</w:t>
      </w:r>
    </w:p>
    <w:p w14:paraId="54173848" w14:textId="77777777" w:rsidR="00ED4694" w:rsidRDefault="00ED4694" w:rsidP="00ED4694">
      <w:pPr>
        <w:pStyle w:val="Sansinterligne"/>
        <w:jc w:val="both"/>
        <w:rPr>
          <w:color w:val="000000" w:themeColor="text1"/>
          <w:sz w:val="20"/>
          <w:szCs w:val="20"/>
        </w:rPr>
      </w:pPr>
    </w:p>
    <w:p w14:paraId="19D709B6" w14:textId="77777777" w:rsidR="00ED4694" w:rsidRPr="00696FCC" w:rsidRDefault="00ED4694" w:rsidP="00ED4694">
      <w:pPr>
        <w:pStyle w:val="Sansinterligne"/>
        <w:jc w:val="both"/>
        <w:rPr>
          <w:color w:val="000000" w:themeColor="text1"/>
          <w:sz w:val="20"/>
          <w:szCs w:val="20"/>
          <w:u w:val="single"/>
        </w:rPr>
      </w:pPr>
      <w:r w:rsidRPr="00696FCC">
        <w:rPr>
          <w:color w:val="000000" w:themeColor="text1"/>
          <w:sz w:val="20"/>
          <w:szCs w:val="20"/>
          <w:u w:val="single"/>
        </w:rPr>
        <w:t xml:space="preserve">Mécanismes moléculaires de l’insulinorésistance : </w:t>
      </w:r>
    </w:p>
    <w:p w14:paraId="699C3FA4" w14:textId="77777777" w:rsidR="00ED4694" w:rsidRDefault="00ED4694" w:rsidP="00ED4694">
      <w:pPr>
        <w:pStyle w:val="Sansinterligne"/>
        <w:jc w:val="both"/>
        <w:rPr>
          <w:color w:val="000000" w:themeColor="text1"/>
          <w:sz w:val="20"/>
          <w:szCs w:val="20"/>
        </w:rPr>
      </w:pPr>
      <w:r>
        <w:rPr>
          <w:color w:val="000000" w:themeColor="text1"/>
          <w:sz w:val="20"/>
          <w:szCs w:val="20"/>
        </w:rPr>
        <w:t xml:space="preserve">Les AG activent lKKbeta </w:t>
      </w:r>
      <w:r w:rsidRPr="00D43BCF">
        <w:rPr>
          <w:color w:val="000000" w:themeColor="text1"/>
          <w:sz w:val="20"/>
          <w:szCs w:val="20"/>
        </w:rPr>
        <w:sym w:font="Wingdings" w:char="F0E0"/>
      </w:r>
      <w:r>
        <w:rPr>
          <w:color w:val="000000" w:themeColor="text1"/>
          <w:sz w:val="20"/>
          <w:szCs w:val="20"/>
        </w:rPr>
        <w:t xml:space="preserve"> p</w:t>
      </w:r>
      <w:r w:rsidRPr="005F55E1">
        <w:rPr>
          <w:color w:val="000000" w:themeColor="text1"/>
          <w:sz w:val="20"/>
          <w:szCs w:val="20"/>
        </w:rPr>
        <w:t>hosphorylation sur des résidus Ser/Thr des protéines IRS</w:t>
      </w:r>
      <w:r>
        <w:rPr>
          <w:color w:val="000000" w:themeColor="text1"/>
          <w:sz w:val="20"/>
          <w:szCs w:val="20"/>
        </w:rPr>
        <w:t xml:space="preserve"> </w:t>
      </w:r>
      <w:r w:rsidRPr="005F55E1">
        <w:rPr>
          <w:color w:val="000000" w:themeColor="text1"/>
          <w:sz w:val="20"/>
          <w:szCs w:val="20"/>
        </w:rPr>
        <w:t xml:space="preserve">(insulin receptor substrate) </w:t>
      </w:r>
      <w:r>
        <w:rPr>
          <w:color w:val="000000" w:themeColor="text1"/>
          <w:sz w:val="20"/>
          <w:szCs w:val="20"/>
        </w:rPr>
        <w:t xml:space="preserve"> </w:t>
      </w:r>
      <w:r w:rsidRPr="005F55E1">
        <w:rPr>
          <w:color w:val="000000" w:themeColor="text1"/>
          <w:sz w:val="20"/>
          <w:szCs w:val="20"/>
        </w:rPr>
        <w:sym w:font="Wingdings" w:char="F0E0"/>
      </w:r>
      <w:r>
        <w:rPr>
          <w:color w:val="000000" w:themeColor="text1"/>
          <w:sz w:val="20"/>
          <w:szCs w:val="20"/>
        </w:rPr>
        <w:t xml:space="preserve"> </w:t>
      </w:r>
      <w:r w:rsidRPr="005F55E1">
        <w:rPr>
          <w:color w:val="000000" w:themeColor="text1"/>
          <w:sz w:val="20"/>
          <w:szCs w:val="20"/>
        </w:rPr>
        <w:t xml:space="preserve">inhibe la phosphorylation de Akt </w:t>
      </w:r>
      <w:r>
        <w:rPr>
          <w:color w:val="000000" w:themeColor="text1"/>
          <w:sz w:val="20"/>
          <w:szCs w:val="20"/>
        </w:rPr>
        <w:t xml:space="preserve"> </w:t>
      </w:r>
      <w:r w:rsidRPr="005F55E1">
        <w:rPr>
          <w:color w:val="000000" w:themeColor="text1"/>
          <w:sz w:val="20"/>
          <w:szCs w:val="20"/>
        </w:rPr>
        <w:sym w:font="Wingdings" w:char="F0E0"/>
      </w:r>
      <w:r>
        <w:rPr>
          <w:color w:val="000000" w:themeColor="text1"/>
          <w:sz w:val="20"/>
          <w:szCs w:val="20"/>
        </w:rPr>
        <w:t xml:space="preserve"> </w:t>
      </w:r>
      <w:r w:rsidRPr="005F55E1">
        <w:rPr>
          <w:color w:val="000000" w:themeColor="text1"/>
          <w:sz w:val="20"/>
          <w:szCs w:val="20"/>
        </w:rPr>
        <w:t>inhibe la signalisation intracellulaire de l’insuline</w:t>
      </w:r>
      <w:r>
        <w:rPr>
          <w:color w:val="000000" w:themeColor="text1"/>
          <w:sz w:val="20"/>
          <w:szCs w:val="20"/>
        </w:rPr>
        <w:t>.</w:t>
      </w:r>
    </w:p>
    <w:p w14:paraId="2A425D15" w14:textId="77777777" w:rsidR="00ED4694" w:rsidRDefault="00ED4694" w:rsidP="00ED4694">
      <w:pPr>
        <w:pStyle w:val="Sansinterligne"/>
        <w:jc w:val="both"/>
        <w:rPr>
          <w:color w:val="000000" w:themeColor="text1"/>
          <w:sz w:val="20"/>
          <w:szCs w:val="20"/>
        </w:rPr>
      </w:pPr>
      <w:r>
        <w:rPr>
          <w:color w:val="000000" w:themeColor="text1"/>
          <w:sz w:val="20"/>
          <w:szCs w:val="20"/>
        </w:rPr>
        <w:t xml:space="preserve">Les cytokines libérées par le TA, la dysbiose intestinale, l’inflammation, l’hyperglycémie et l’hyperlipidémie sont des facteurs qui activent lKKB. </w:t>
      </w:r>
    </w:p>
    <w:p w14:paraId="4EF9B4B0" w14:textId="77777777" w:rsidR="00ED4694" w:rsidRDefault="00ED4694" w:rsidP="00ED4694">
      <w:pPr>
        <w:pStyle w:val="Sansinterligne"/>
        <w:jc w:val="both"/>
        <w:rPr>
          <w:color w:val="000000" w:themeColor="text1"/>
          <w:sz w:val="20"/>
          <w:szCs w:val="20"/>
        </w:rPr>
      </w:pPr>
    </w:p>
    <w:p w14:paraId="5C959768" w14:textId="77777777" w:rsidR="00ED4694" w:rsidRPr="00D43BCF" w:rsidRDefault="00ED4694" w:rsidP="00ED4694">
      <w:pPr>
        <w:pStyle w:val="Sansinterligne"/>
        <w:jc w:val="both"/>
        <w:rPr>
          <w:color w:val="000000" w:themeColor="text1"/>
          <w:sz w:val="20"/>
          <w:szCs w:val="20"/>
          <w:u w:val="single"/>
        </w:rPr>
      </w:pPr>
      <w:r w:rsidRPr="00D43BCF">
        <w:rPr>
          <w:color w:val="000000" w:themeColor="text1"/>
          <w:sz w:val="20"/>
          <w:szCs w:val="20"/>
          <w:u w:val="single"/>
        </w:rPr>
        <w:t>Synthèse :</w:t>
      </w:r>
    </w:p>
    <w:p w14:paraId="71DE57F4" w14:textId="77777777" w:rsidR="00ED4694" w:rsidRDefault="00ED4694" w:rsidP="00ED4694">
      <w:pPr>
        <w:pStyle w:val="Sansinterligne"/>
        <w:jc w:val="center"/>
        <w:rPr>
          <w:color w:val="000000" w:themeColor="text1"/>
          <w:sz w:val="20"/>
          <w:szCs w:val="20"/>
        </w:rPr>
      </w:pPr>
      <w:r w:rsidRPr="00D43BCF">
        <w:rPr>
          <w:noProof/>
          <w:color w:val="000000" w:themeColor="text1"/>
          <w:sz w:val="20"/>
          <w:szCs w:val="20"/>
        </w:rPr>
        <w:drawing>
          <wp:inline distT="0" distB="0" distL="0" distR="0" wp14:anchorId="30227BFF" wp14:editId="35FBB729">
            <wp:extent cx="4838881" cy="2212773"/>
            <wp:effectExtent l="0" t="0" r="0" b="0"/>
            <wp:docPr id="717894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9427" name=""/>
                    <pic:cNvPicPr/>
                  </pic:nvPicPr>
                  <pic:blipFill>
                    <a:blip r:embed="rId85"/>
                    <a:stretch>
                      <a:fillRect/>
                    </a:stretch>
                  </pic:blipFill>
                  <pic:spPr>
                    <a:xfrm>
                      <a:off x="0" y="0"/>
                      <a:ext cx="4850545" cy="2218107"/>
                    </a:xfrm>
                    <a:prstGeom prst="rect">
                      <a:avLst/>
                    </a:prstGeom>
                  </pic:spPr>
                </pic:pic>
              </a:graphicData>
            </a:graphic>
          </wp:inline>
        </w:drawing>
      </w:r>
    </w:p>
    <w:p w14:paraId="79E13069" w14:textId="77777777" w:rsidR="00ED4694" w:rsidRDefault="00ED4694" w:rsidP="00ED4694">
      <w:pPr>
        <w:pStyle w:val="Sansinterligne"/>
        <w:jc w:val="center"/>
        <w:rPr>
          <w:color w:val="000000" w:themeColor="text1"/>
          <w:sz w:val="20"/>
          <w:szCs w:val="20"/>
        </w:rPr>
      </w:pPr>
    </w:p>
    <w:p w14:paraId="4F0B2740" w14:textId="77777777" w:rsidR="00ED4694" w:rsidRPr="00A60B33" w:rsidRDefault="00ED4694" w:rsidP="00ED4694">
      <w:pPr>
        <w:pStyle w:val="Sansinterligne"/>
        <w:rPr>
          <w:color w:val="000000" w:themeColor="text1"/>
          <w:sz w:val="20"/>
          <w:szCs w:val="20"/>
          <w:u w:val="single"/>
        </w:rPr>
      </w:pPr>
      <w:r w:rsidRPr="00A60B33">
        <w:rPr>
          <w:color w:val="000000" w:themeColor="text1"/>
          <w:sz w:val="20"/>
          <w:szCs w:val="20"/>
          <w:u w:val="single"/>
        </w:rPr>
        <w:t xml:space="preserve">Hypothèse récente : </w:t>
      </w:r>
    </w:p>
    <w:p w14:paraId="79EDACDF" w14:textId="77777777" w:rsidR="00ED4694" w:rsidRDefault="00ED4694" w:rsidP="00ED4694">
      <w:pPr>
        <w:pStyle w:val="Sansinterligne"/>
        <w:jc w:val="both"/>
        <w:rPr>
          <w:color w:val="000000" w:themeColor="text1"/>
          <w:sz w:val="20"/>
          <w:szCs w:val="20"/>
        </w:rPr>
      </w:pPr>
      <w:r>
        <w:rPr>
          <w:color w:val="000000" w:themeColor="text1"/>
          <w:sz w:val="20"/>
          <w:szCs w:val="20"/>
        </w:rPr>
        <w:t>La liaison de GLP1 sur son R et de GIP sur son R au niveau intestinal sont à l’origine d’une différenciation des pré-adipocytes entrainant une expansion du TA et une sensibilité à l’insuline normale.</w:t>
      </w:r>
    </w:p>
    <w:p w14:paraId="2E0DD30F" w14:textId="77777777" w:rsidR="00ED4694" w:rsidRDefault="00ED4694" w:rsidP="00ED4694">
      <w:pPr>
        <w:pStyle w:val="Sansinterligne"/>
        <w:jc w:val="both"/>
        <w:rPr>
          <w:color w:val="000000" w:themeColor="text1"/>
          <w:sz w:val="20"/>
          <w:szCs w:val="20"/>
        </w:rPr>
      </w:pPr>
      <w:r>
        <w:rPr>
          <w:color w:val="000000" w:themeColor="text1"/>
          <w:sz w:val="20"/>
          <w:szCs w:val="20"/>
        </w:rPr>
        <w:t xml:space="preserve">En revanche, en cas de défaut de GLP1 et GIP, il y a moins de fixation sur leur R, donc les pré-adipocytes ne vont pas maturés normalement entraînant une hypertrophie adipocytaire et une inflammation chronique qui est à l’origine de l’insulino-résistance et donc de l’obésité. </w:t>
      </w:r>
    </w:p>
    <w:p w14:paraId="6366BD97" w14:textId="77777777" w:rsidR="00ED4694" w:rsidRDefault="00ED4694" w:rsidP="00ED4694">
      <w:pPr>
        <w:pStyle w:val="Sansinterligne"/>
        <w:jc w:val="both"/>
        <w:rPr>
          <w:color w:val="000000" w:themeColor="text1"/>
          <w:sz w:val="20"/>
          <w:szCs w:val="20"/>
        </w:rPr>
      </w:pPr>
      <w:r>
        <w:rPr>
          <w:color w:val="000000" w:themeColor="text1"/>
          <w:sz w:val="20"/>
          <w:szCs w:val="20"/>
        </w:rPr>
        <w:t xml:space="preserve">Si les adipocytes sont sensibles au GIP et que s’il n’y a pas une connexion normale du GIP sur son R, alors la lipogenèse, la captation d’AG sont diminuées, on devient insulinorésistant et obèse. Idem pour GLP1. </w:t>
      </w:r>
    </w:p>
    <w:p w14:paraId="77842D35" w14:textId="77777777" w:rsidR="00ED4694" w:rsidRDefault="00ED4694" w:rsidP="00ED4694">
      <w:pPr>
        <w:pStyle w:val="Sansinterligne"/>
        <w:jc w:val="both"/>
        <w:rPr>
          <w:color w:val="000000" w:themeColor="text1"/>
          <w:sz w:val="20"/>
          <w:szCs w:val="20"/>
        </w:rPr>
      </w:pPr>
      <w:r w:rsidRPr="00A60B33">
        <w:rPr>
          <w:noProof/>
          <w:color w:val="000000" w:themeColor="text1"/>
          <w:sz w:val="20"/>
          <w:szCs w:val="20"/>
        </w:rPr>
        <w:drawing>
          <wp:anchor distT="0" distB="0" distL="114300" distR="114300" simplePos="0" relativeHeight="251727872" behindDoc="1" locked="0" layoutInCell="1" allowOverlap="1" wp14:anchorId="14AE6B5A" wp14:editId="02590BCE">
            <wp:simplePos x="0" y="0"/>
            <wp:positionH relativeFrom="column">
              <wp:posOffset>-635</wp:posOffset>
            </wp:positionH>
            <wp:positionV relativeFrom="paragraph">
              <wp:posOffset>125095</wp:posOffset>
            </wp:positionV>
            <wp:extent cx="3004185" cy="1750695"/>
            <wp:effectExtent l="0" t="0" r="5715" b="1905"/>
            <wp:wrapTight wrapText="bothSides">
              <wp:wrapPolygon edited="0">
                <wp:start x="0" y="0"/>
                <wp:lineTo x="0" y="21467"/>
                <wp:lineTo x="21550" y="21467"/>
                <wp:lineTo x="21550" y="0"/>
                <wp:lineTo x="0" y="0"/>
              </wp:wrapPolygon>
            </wp:wrapTight>
            <wp:docPr id="1747805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80562"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004185" cy="1750695"/>
                    </a:xfrm>
                    <a:prstGeom prst="rect">
                      <a:avLst/>
                    </a:prstGeom>
                  </pic:spPr>
                </pic:pic>
              </a:graphicData>
            </a:graphic>
            <wp14:sizeRelH relativeFrom="page">
              <wp14:pctWidth>0</wp14:pctWidth>
            </wp14:sizeRelH>
            <wp14:sizeRelV relativeFrom="page">
              <wp14:pctHeight>0</wp14:pctHeight>
            </wp14:sizeRelV>
          </wp:anchor>
        </w:drawing>
      </w:r>
    </w:p>
    <w:p w14:paraId="24C744EA" w14:textId="77777777" w:rsidR="00ED4694" w:rsidRDefault="00ED4694" w:rsidP="00ED4694">
      <w:pPr>
        <w:pStyle w:val="Sansinterligne"/>
        <w:jc w:val="both"/>
        <w:rPr>
          <w:color w:val="000000" w:themeColor="text1"/>
          <w:sz w:val="20"/>
          <w:szCs w:val="20"/>
        </w:rPr>
      </w:pPr>
    </w:p>
    <w:p w14:paraId="0BAB85D3" w14:textId="77777777" w:rsidR="00ED4694" w:rsidRPr="009426C9" w:rsidRDefault="00ED4694" w:rsidP="00ED4694">
      <w:pPr>
        <w:pStyle w:val="Sansinterligne"/>
        <w:jc w:val="both"/>
        <w:rPr>
          <w:color w:val="000000" w:themeColor="text1"/>
          <w:sz w:val="20"/>
          <w:szCs w:val="20"/>
          <w:u w:val="single"/>
        </w:rPr>
      </w:pPr>
      <w:r w:rsidRPr="009426C9">
        <w:rPr>
          <w:color w:val="000000" w:themeColor="text1"/>
          <w:sz w:val="20"/>
          <w:szCs w:val="20"/>
          <w:u w:val="single"/>
        </w:rPr>
        <w:t xml:space="preserve">L’insulino-résistance se développe dans le temps :  </w:t>
      </w:r>
    </w:p>
    <w:p w14:paraId="4E39A7B3" w14:textId="77777777" w:rsidR="00ED4694" w:rsidRDefault="00ED4694" w:rsidP="00ED4694">
      <w:pPr>
        <w:pStyle w:val="Sansinterligne"/>
        <w:numPr>
          <w:ilvl w:val="0"/>
          <w:numId w:val="140"/>
        </w:numPr>
        <w:jc w:val="both"/>
        <w:rPr>
          <w:color w:val="000000" w:themeColor="text1"/>
          <w:sz w:val="20"/>
          <w:szCs w:val="20"/>
        </w:rPr>
      </w:pPr>
      <w:r>
        <w:rPr>
          <w:color w:val="000000" w:themeColor="text1"/>
          <w:sz w:val="20"/>
          <w:szCs w:val="20"/>
        </w:rPr>
        <w:t>1</w:t>
      </w:r>
      <w:r w:rsidRPr="00A60B33">
        <w:rPr>
          <w:color w:val="000000" w:themeColor="text1"/>
          <w:sz w:val="20"/>
          <w:szCs w:val="20"/>
          <w:vertAlign w:val="superscript"/>
        </w:rPr>
        <w:t>ère</w:t>
      </w:r>
      <w:r>
        <w:rPr>
          <w:color w:val="000000" w:themeColor="text1"/>
          <w:sz w:val="20"/>
          <w:szCs w:val="20"/>
        </w:rPr>
        <w:t xml:space="preserve"> période : hyperinsulinémie compensatrice à l’hyperglycémie </w:t>
      </w:r>
    </w:p>
    <w:p w14:paraId="14E352C6" w14:textId="77777777" w:rsidR="00ED4694" w:rsidRDefault="00ED4694" w:rsidP="00ED4694">
      <w:pPr>
        <w:pStyle w:val="Sansinterligne"/>
        <w:numPr>
          <w:ilvl w:val="0"/>
          <w:numId w:val="140"/>
        </w:numPr>
        <w:jc w:val="both"/>
        <w:rPr>
          <w:color w:val="000000" w:themeColor="text1"/>
          <w:sz w:val="20"/>
          <w:szCs w:val="20"/>
        </w:rPr>
      </w:pPr>
      <w:r>
        <w:rPr>
          <w:color w:val="000000" w:themeColor="text1"/>
          <w:sz w:val="20"/>
          <w:szCs w:val="20"/>
        </w:rPr>
        <w:t>2</w:t>
      </w:r>
      <w:r w:rsidRPr="00A60B33">
        <w:rPr>
          <w:color w:val="000000" w:themeColor="text1"/>
          <w:sz w:val="20"/>
          <w:szCs w:val="20"/>
          <w:vertAlign w:val="superscript"/>
        </w:rPr>
        <w:t>ème</w:t>
      </w:r>
      <w:r>
        <w:rPr>
          <w:color w:val="000000" w:themeColor="text1"/>
          <w:sz w:val="20"/>
          <w:szCs w:val="20"/>
        </w:rPr>
        <w:t xml:space="preserve"> période : le pancréas est épuisé : insulinopénie relative </w:t>
      </w:r>
    </w:p>
    <w:p w14:paraId="6FEB3A1D" w14:textId="77777777" w:rsidR="00ED4694" w:rsidRDefault="00ED4694" w:rsidP="00ED4694">
      <w:pPr>
        <w:pStyle w:val="Sansinterligne"/>
        <w:numPr>
          <w:ilvl w:val="0"/>
          <w:numId w:val="140"/>
        </w:numPr>
        <w:jc w:val="both"/>
        <w:rPr>
          <w:color w:val="000000" w:themeColor="text1"/>
          <w:sz w:val="20"/>
          <w:szCs w:val="20"/>
        </w:rPr>
      </w:pPr>
      <w:r>
        <w:rPr>
          <w:color w:val="000000" w:themeColor="text1"/>
          <w:sz w:val="20"/>
          <w:szCs w:val="20"/>
        </w:rPr>
        <w:t>3</w:t>
      </w:r>
      <w:r w:rsidRPr="00A60B33">
        <w:rPr>
          <w:color w:val="000000" w:themeColor="text1"/>
          <w:sz w:val="20"/>
          <w:szCs w:val="20"/>
          <w:vertAlign w:val="superscript"/>
        </w:rPr>
        <w:t>ème</w:t>
      </w:r>
      <w:r>
        <w:rPr>
          <w:color w:val="000000" w:themeColor="text1"/>
          <w:sz w:val="20"/>
          <w:szCs w:val="20"/>
        </w:rPr>
        <w:t xml:space="preserve"> période : DT2 </w:t>
      </w:r>
    </w:p>
    <w:p w14:paraId="2E214F9D" w14:textId="77777777" w:rsidR="00ED4694" w:rsidRDefault="00ED4694" w:rsidP="00ED4694">
      <w:pPr>
        <w:pStyle w:val="Sansinterligne"/>
        <w:jc w:val="both"/>
        <w:rPr>
          <w:color w:val="000000" w:themeColor="text1"/>
          <w:sz w:val="20"/>
          <w:szCs w:val="20"/>
        </w:rPr>
      </w:pPr>
    </w:p>
    <w:p w14:paraId="4EF81539" w14:textId="77777777" w:rsidR="00ED4694" w:rsidRPr="005F55E1" w:rsidRDefault="00ED4694" w:rsidP="00ED4694">
      <w:pPr>
        <w:pStyle w:val="Sansinterligne"/>
        <w:jc w:val="both"/>
        <w:rPr>
          <w:color w:val="000000" w:themeColor="text1"/>
          <w:sz w:val="20"/>
          <w:szCs w:val="20"/>
        </w:rPr>
      </w:pPr>
    </w:p>
    <w:p w14:paraId="1E5307B9"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725BF9C7"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4D8A42A0"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4C2ACD5D"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r w:rsidRPr="009426C9">
        <w:rPr>
          <w:rFonts w:ascii="Arial" w:eastAsiaTheme="minorEastAsia" w:hAnsi="Arial" w:cs="Arial"/>
          <w:color w:val="000000" w:themeColor="text1"/>
          <w:sz w:val="20"/>
          <w:szCs w:val="20"/>
          <w:u w:val="single"/>
          <w:lang w:eastAsia="fr-FR"/>
        </w:rPr>
        <w:t>Au bout de plusieurs années</w:t>
      </w:r>
      <w:r>
        <w:rPr>
          <w:rFonts w:ascii="Arial" w:eastAsiaTheme="minorEastAsia" w:hAnsi="Arial" w:cs="Arial"/>
          <w:color w:val="000000" w:themeColor="text1"/>
          <w:sz w:val="20"/>
          <w:szCs w:val="20"/>
          <w:lang w:eastAsia="fr-FR"/>
        </w:rPr>
        <w:t xml:space="preserve"> : hypertriglycéridémie secondaire et dyslipidémie athérogène, hypoHDlémie, hyperuricémie, hyperhomocystéinémie. Phénotype proathérogène qui s’installe avec sécrétion de PAI-1 augmentée. </w:t>
      </w:r>
    </w:p>
    <w:p w14:paraId="21154F70"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49954FAF"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001EB7CE"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357E1B66"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41EDEF6C" w14:textId="77777777" w:rsidR="00ED4694" w:rsidRPr="009426C9" w:rsidRDefault="00ED4694" w:rsidP="00ED4694">
      <w:pPr>
        <w:pStyle w:val="Sansinterligne"/>
        <w:numPr>
          <w:ilvl w:val="0"/>
          <w:numId w:val="142"/>
        </w:numPr>
        <w:jc w:val="both"/>
        <w:rPr>
          <w:rFonts w:ascii="Arial" w:eastAsiaTheme="minorEastAsia" w:hAnsi="Arial" w:cs="Arial"/>
          <w:b/>
          <w:bCs/>
          <w:color w:val="00B0F0"/>
          <w:sz w:val="20"/>
          <w:szCs w:val="20"/>
          <w:u w:val="single"/>
          <w:lang w:eastAsia="fr-FR"/>
        </w:rPr>
      </w:pPr>
      <w:r w:rsidRPr="00A60B33">
        <w:rPr>
          <w:rFonts w:ascii="Arial" w:eastAsiaTheme="minorEastAsia" w:hAnsi="Arial" w:cs="Arial"/>
          <w:b/>
          <w:bCs/>
          <w:color w:val="00B0F0"/>
          <w:sz w:val="20"/>
          <w:szCs w:val="20"/>
          <w:u w:val="single"/>
          <w:lang w:eastAsia="fr-FR"/>
        </w:rPr>
        <w:lastRenderedPageBreak/>
        <w:t xml:space="preserve">Dépistage </w:t>
      </w:r>
    </w:p>
    <w:p w14:paraId="6006E284" w14:textId="77777777" w:rsidR="00ED4694" w:rsidRPr="00A60B33" w:rsidRDefault="00ED4694" w:rsidP="00ED4694">
      <w:pPr>
        <w:pStyle w:val="Sansinterligne"/>
        <w:numPr>
          <w:ilvl w:val="0"/>
          <w:numId w:val="158"/>
        </w:numPr>
        <w:jc w:val="both"/>
        <w:rPr>
          <w:rFonts w:ascii="Arial" w:hAnsi="Arial" w:cs="Arial"/>
          <w:color w:val="ED7D31" w:themeColor="accent2"/>
          <w:sz w:val="20"/>
          <w:szCs w:val="20"/>
          <w:u w:val="single"/>
        </w:rPr>
      </w:pPr>
      <w:r w:rsidRPr="00A60B33">
        <w:rPr>
          <w:rFonts w:ascii="Arial" w:hAnsi="Arial" w:cs="Arial"/>
          <w:color w:val="ED7D31" w:themeColor="accent2"/>
          <w:sz w:val="20"/>
          <w:szCs w:val="20"/>
          <w:u w:val="single"/>
        </w:rPr>
        <w:t xml:space="preserve">IMC et tour de taille </w:t>
      </w:r>
    </w:p>
    <w:p w14:paraId="032CCB75" w14:textId="77777777" w:rsidR="00ED4694" w:rsidRDefault="00ED4694" w:rsidP="00ED4694">
      <w:pPr>
        <w:pStyle w:val="Sansinterligne"/>
        <w:jc w:val="both"/>
        <w:rPr>
          <w:rFonts w:ascii="Arial" w:hAnsi="Arial" w:cs="Arial"/>
          <w:sz w:val="20"/>
          <w:szCs w:val="20"/>
        </w:rPr>
      </w:pPr>
      <w:r>
        <w:rPr>
          <w:rFonts w:ascii="Arial" w:hAnsi="Arial" w:cs="Arial"/>
          <w:sz w:val="20"/>
          <w:szCs w:val="20"/>
        </w:rPr>
        <w:t xml:space="preserve">La </w:t>
      </w:r>
      <w:r w:rsidRPr="00A60B33">
        <w:rPr>
          <w:rFonts w:ascii="Arial" w:hAnsi="Arial" w:cs="Arial"/>
          <w:sz w:val="20"/>
          <w:szCs w:val="20"/>
        </w:rPr>
        <w:t>surcharge pondérale est estimée par</w:t>
      </w:r>
      <w:r>
        <w:rPr>
          <w:rFonts w:ascii="Arial" w:hAnsi="Arial" w:cs="Arial"/>
          <w:sz w:val="20"/>
          <w:szCs w:val="20"/>
        </w:rPr>
        <w:t xml:space="preserve"> l</w:t>
      </w:r>
      <w:r w:rsidRPr="00A60B33">
        <w:rPr>
          <w:rFonts w:ascii="Arial" w:hAnsi="Arial" w:cs="Arial"/>
          <w:sz w:val="20"/>
          <w:szCs w:val="20"/>
        </w:rPr>
        <w:t>e tour de taille PNNS (Programme National Nutrition Santé)</w:t>
      </w:r>
      <w:r>
        <w:rPr>
          <w:rFonts w:ascii="Arial" w:hAnsi="Arial" w:cs="Arial"/>
          <w:sz w:val="20"/>
          <w:szCs w:val="20"/>
        </w:rPr>
        <w:t>.</w:t>
      </w:r>
    </w:p>
    <w:p w14:paraId="6885F163" w14:textId="77777777" w:rsidR="00ED4694" w:rsidRPr="00A60B33" w:rsidRDefault="00ED4694" w:rsidP="00ED4694">
      <w:pPr>
        <w:pStyle w:val="Sansinterligne"/>
        <w:jc w:val="both"/>
        <w:rPr>
          <w:rFonts w:ascii="Arial" w:hAnsi="Arial" w:cs="Arial"/>
          <w:sz w:val="20"/>
          <w:szCs w:val="20"/>
        </w:rPr>
      </w:pPr>
      <w:r w:rsidRPr="00A60B33">
        <w:rPr>
          <w:rFonts w:ascii="Arial" w:hAnsi="Arial" w:cs="Arial"/>
          <w:sz w:val="20"/>
          <w:szCs w:val="20"/>
        </w:rPr>
        <w:t>Selon HAS : &lt; 94 cm chez les Hommes Caucasiens</w:t>
      </w:r>
      <w:r>
        <w:rPr>
          <w:rFonts w:ascii="Arial" w:hAnsi="Arial" w:cs="Arial"/>
          <w:sz w:val="20"/>
          <w:szCs w:val="20"/>
        </w:rPr>
        <w:t xml:space="preserve">, </w:t>
      </w:r>
      <w:r w:rsidRPr="00A60B33">
        <w:rPr>
          <w:rFonts w:ascii="Arial" w:hAnsi="Arial" w:cs="Arial"/>
          <w:sz w:val="20"/>
          <w:szCs w:val="20"/>
        </w:rPr>
        <w:t xml:space="preserve">&lt; 80 cm chez les Femmes Caucasiennes </w:t>
      </w:r>
    </w:p>
    <w:p w14:paraId="758A5169" w14:textId="77777777" w:rsidR="00ED4694" w:rsidRDefault="00ED4694" w:rsidP="00ED4694">
      <w:pPr>
        <w:pStyle w:val="Sansinterligne"/>
        <w:jc w:val="both"/>
        <w:rPr>
          <w:rFonts w:ascii="Arial" w:hAnsi="Arial" w:cs="Arial"/>
          <w:sz w:val="20"/>
          <w:szCs w:val="20"/>
        </w:rPr>
      </w:pPr>
    </w:p>
    <w:p w14:paraId="56620FF2" w14:textId="77777777" w:rsidR="00ED4694" w:rsidRPr="00A60B33" w:rsidRDefault="00ED4694" w:rsidP="00ED4694">
      <w:pPr>
        <w:pStyle w:val="Sansinterligne"/>
        <w:numPr>
          <w:ilvl w:val="0"/>
          <w:numId w:val="158"/>
        </w:numPr>
        <w:jc w:val="both"/>
        <w:rPr>
          <w:rFonts w:ascii="Arial" w:hAnsi="Arial" w:cs="Arial"/>
          <w:color w:val="ED7D31" w:themeColor="accent2"/>
          <w:sz w:val="20"/>
          <w:szCs w:val="20"/>
          <w:u w:val="single"/>
        </w:rPr>
      </w:pPr>
      <w:r w:rsidRPr="00A60B33">
        <w:rPr>
          <w:rFonts w:ascii="Arial" w:hAnsi="Arial" w:cs="Arial"/>
          <w:color w:val="ED7D31" w:themeColor="accent2"/>
          <w:sz w:val="20"/>
          <w:szCs w:val="20"/>
          <w:u w:val="single"/>
        </w:rPr>
        <w:t xml:space="preserve">Biologie : </w:t>
      </w:r>
    </w:p>
    <w:p w14:paraId="0B0A98D9" w14:textId="77777777" w:rsidR="00ED4694" w:rsidRPr="00A60B33" w:rsidRDefault="00ED4694" w:rsidP="00ED4694">
      <w:pPr>
        <w:pStyle w:val="Sansinterligne"/>
        <w:jc w:val="both"/>
        <w:rPr>
          <w:rFonts w:ascii="Arial" w:hAnsi="Arial" w:cs="Arial"/>
          <w:sz w:val="20"/>
          <w:szCs w:val="20"/>
        </w:rPr>
      </w:pPr>
      <w:r>
        <w:rPr>
          <w:rFonts w:ascii="Arial" w:hAnsi="Arial" w:cs="Arial"/>
          <w:sz w:val="20"/>
          <w:szCs w:val="20"/>
        </w:rPr>
        <w:t>S</w:t>
      </w:r>
      <w:r w:rsidRPr="00A60B33">
        <w:rPr>
          <w:rFonts w:ascii="Arial" w:hAnsi="Arial" w:cs="Arial"/>
          <w:sz w:val="20"/>
          <w:szCs w:val="20"/>
        </w:rPr>
        <w:t xml:space="preserve">ignes d’appel : hyperglycémie, hypertriglycéridémie et HDL cholestérolémie basse </w:t>
      </w:r>
    </w:p>
    <w:p w14:paraId="30967FD2" w14:textId="77777777" w:rsidR="00ED4694" w:rsidRPr="00A60B33" w:rsidRDefault="00ED4694" w:rsidP="00ED4694">
      <w:pPr>
        <w:pStyle w:val="Sansinterligne"/>
        <w:jc w:val="both"/>
        <w:rPr>
          <w:rFonts w:ascii="Arial" w:hAnsi="Arial" w:cs="Arial"/>
          <w:sz w:val="20"/>
          <w:szCs w:val="20"/>
        </w:rPr>
      </w:pPr>
      <w:r w:rsidRPr="00A60B33">
        <w:rPr>
          <w:rFonts w:ascii="Arial" w:hAnsi="Arial" w:cs="Arial"/>
          <w:sz w:val="20"/>
          <w:szCs w:val="20"/>
        </w:rPr>
        <w:t xml:space="preserve">Méthode de référence : « clamp euglycémique hyperinsulinémique » </w:t>
      </w:r>
    </w:p>
    <w:p w14:paraId="18B25D9A" w14:textId="77777777" w:rsidR="00ED4694" w:rsidRPr="00A60B33" w:rsidRDefault="00ED4694" w:rsidP="00ED4694">
      <w:pPr>
        <w:pStyle w:val="Sansinterligne"/>
        <w:jc w:val="both"/>
        <w:rPr>
          <w:rFonts w:ascii="Arial" w:hAnsi="Arial" w:cs="Arial"/>
          <w:sz w:val="20"/>
          <w:szCs w:val="20"/>
        </w:rPr>
      </w:pPr>
      <w:r w:rsidRPr="00A60B33">
        <w:rPr>
          <w:rFonts w:ascii="Arial" w:hAnsi="Arial" w:cs="Arial"/>
          <w:sz w:val="20"/>
          <w:szCs w:val="20"/>
        </w:rPr>
        <w:t xml:space="preserve">Son principe repose sur une perf d’insuline à débit constant associée à une perf de glucose afin de stabiliser la glycémie à 1g/L et l’IR se mesure à (plus on consomme de glucose plus on est sensible à l’insuline) la consommation de glucose </w:t>
      </w:r>
    </w:p>
    <w:p w14:paraId="0DBDAD46" w14:textId="77777777" w:rsidR="00ED4694" w:rsidRDefault="00ED4694" w:rsidP="00ED4694">
      <w:pPr>
        <w:pStyle w:val="Sansinterligne"/>
        <w:jc w:val="both"/>
        <w:rPr>
          <w:rFonts w:ascii="Arial" w:hAnsi="Arial" w:cs="Arial"/>
          <w:sz w:val="20"/>
          <w:szCs w:val="20"/>
        </w:rPr>
      </w:pPr>
    </w:p>
    <w:p w14:paraId="40ACFF1E" w14:textId="77777777" w:rsidR="00ED4694" w:rsidRPr="009426C9" w:rsidRDefault="00ED4694" w:rsidP="00ED4694">
      <w:pPr>
        <w:pStyle w:val="Sansinterligne"/>
        <w:jc w:val="both"/>
        <w:rPr>
          <w:rFonts w:ascii="Arial" w:hAnsi="Arial" w:cs="Arial"/>
          <w:color w:val="000000" w:themeColor="text1"/>
          <w:sz w:val="20"/>
          <w:szCs w:val="20"/>
          <w:u w:val="single"/>
          <w:lang w:val="en-US"/>
        </w:rPr>
      </w:pPr>
      <w:r w:rsidRPr="009426C9">
        <w:rPr>
          <w:rFonts w:ascii="Arial" w:hAnsi="Arial" w:cs="Arial"/>
          <w:color w:val="000000" w:themeColor="text1"/>
          <w:sz w:val="20"/>
          <w:szCs w:val="20"/>
          <w:u w:val="single"/>
          <w:lang w:val="en-US"/>
        </w:rPr>
        <w:t>Index :</w:t>
      </w:r>
    </w:p>
    <w:p w14:paraId="47C3ED93" w14:textId="77777777" w:rsidR="00ED4694" w:rsidRDefault="00ED4694" w:rsidP="00ED4694">
      <w:pPr>
        <w:pStyle w:val="Sansinterligne"/>
        <w:jc w:val="both"/>
        <w:rPr>
          <w:rFonts w:ascii="Arial" w:hAnsi="Arial" w:cs="Arial"/>
          <w:sz w:val="20"/>
          <w:szCs w:val="20"/>
          <w:lang w:val="en-US"/>
        </w:rPr>
      </w:pPr>
      <w:r w:rsidRPr="00A60B33">
        <w:rPr>
          <w:rFonts w:ascii="Arial" w:hAnsi="Arial" w:cs="Arial"/>
          <w:color w:val="FF0000"/>
          <w:sz w:val="20"/>
          <w:szCs w:val="20"/>
          <w:lang w:val="en-US"/>
        </w:rPr>
        <w:t xml:space="preserve">HOMA-IR </w:t>
      </w:r>
      <w:r w:rsidRPr="00A60B33">
        <w:rPr>
          <w:rFonts w:ascii="Arial" w:hAnsi="Arial" w:cs="Arial"/>
          <w:sz w:val="20"/>
          <w:szCs w:val="20"/>
          <w:lang w:val="en-US"/>
        </w:rPr>
        <w:t xml:space="preserve">(Homeostatic model assessment of insulin resistance) ou </w:t>
      </w:r>
      <w:r w:rsidRPr="00A60B33">
        <w:rPr>
          <w:rFonts w:ascii="Arial" w:hAnsi="Arial" w:cs="Arial"/>
          <w:color w:val="FF0000"/>
          <w:sz w:val="20"/>
          <w:szCs w:val="20"/>
          <w:lang w:val="en-US"/>
        </w:rPr>
        <w:t xml:space="preserve">QUICKI </w:t>
      </w:r>
      <w:r w:rsidRPr="00A60B33">
        <w:rPr>
          <w:rFonts w:ascii="Arial" w:hAnsi="Arial" w:cs="Arial"/>
          <w:sz w:val="20"/>
          <w:szCs w:val="20"/>
          <w:lang w:val="en-US"/>
        </w:rPr>
        <w:t>= « Triglycerides and Glucide Index »</w:t>
      </w:r>
    </w:p>
    <w:p w14:paraId="427E0BC6" w14:textId="77777777" w:rsidR="00ED4694" w:rsidRDefault="00ED4694" w:rsidP="00ED4694">
      <w:pPr>
        <w:pStyle w:val="Sansinterligne"/>
        <w:jc w:val="both"/>
        <w:rPr>
          <w:rFonts w:ascii="Arial" w:hAnsi="Arial" w:cs="Arial"/>
          <w:sz w:val="20"/>
          <w:szCs w:val="20"/>
        </w:rPr>
      </w:pPr>
      <w:r w:rsidRPr="00A60B33">
        <w:rPr>
          <w:rFonts w:ascii="Arial" w:hAnsi="Arial" w:cs="Arial"/>
          <w:sz w:val="20"/>
          <w:szCs w:val="20"/>
        </w:rPr>
        <w:t xml:space="preserve">« normale &lt; 2,5 » </w:t>
      </w:r>
    </w:p>
    <w:p w14:paraId="78968FEE" w14:textId="77777777" w:rsidR="00ED4694" w:rsidRPr="00A60B33" w:rsidRDefault="00ED4694" w:rsidP="00ED4694">
      <w:pPr>
        <w:pStyle w:val="Sansinterligne"/>
        <w:jc w:val="center"/>
        <w:rPr>
          <w:rFonts w:ascii="Arial" w:hAnsi="Arial" w:cs="Arial"/>
          <w:sz w:val="20"/>
          <w:szCs w:val="20"/>
        </w:rPr>
      </w:pPr>
      <w:r w:rsidRPr="002628F0">
        <w:rPr>
          <w:rFonts w:ascii="Arial" w:hAnsi="Arial" w:cs="Arial"/>
          <w:noProof/>
          <w:sz w:val="20"/>
          <w:szCs w:val="20"/>
        </w:rPr>
        <w:drawing>
          <wp:inline distT="0" distB="0" distL="0" distR="0" wp14:anchorId="2D26827A" wp14:editId="39685558">
            <wp:extent cx="4607789" cy="700458"/>
            <wp:effectExtent l="0" t="0" r="2540" b="0"/>
            <wp:docPr id="14971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61" name=""/>
                    <pic:cNvPicPr/>
                  </pic:nvPicPr>
                  <pic:blipFill>
                    <a:blip r:embed="rId87"/>
                    <a:stretch>
                      <a:fillRect/>
                    </a:stretch>
                  </pic:blipFill>
                  <pic:spPr>
                    <a:xfrm>
                      <a:off x="0" y="0"/>
                      <a:ext cx="4722911" cy="717958"/>
                    </a:xfrm>
                    <a:prstGeom prst="rect">
                      <a:avLst/>
                    </a:prstGeom>
                  </pic:spPr>
                </pic:pic>
              </a:graphicData>
            </a:graphic>
          </wp:inline>
        </w:drawing>
      </w:r>
    </w:p>
    <w:p w14:paraId="431C97F8" w14:textId="77777777" w:rsidR="00ED4694" w:rsidRPr="00A60B33" w:rsidRDefault="00ED4694" w:rsidP="00ED4694">
      <w:pPr>
        <w:pStyle w:val="Sansinterligne"/>
        <w:jc w:val="both"/>
        <w:rPr>
          <w:rFonts w:ascii="Arial" w:hAnsi="Arial" w:cs="Arial"/>
          <w:sz w:val="20"/>
          <w:szCs w:val="20"/>
        </w:rPr>
      </w:pPr>
      <w:r w:rsidRPr="00A60B33">
        <w:rPr>
          <w:rFonts w:ascii="Arial" w:hAnsi="Arial" w:cs="Arial"/>
          <w:color w:val="FF0000"/>
          <w:sz w:val="20"/>
          <w:szCs w:val="20"/>
        </w:rPr>
        <w:t>HOMA-</w:t>
      </w:r>
      <w:r>
        <w:rPr>
          <w:rFonts w:ascii="Arial" w:hAnsi="Arial" w:cs="Arial"/>
          <w:color w:val="FF0000"/>
          <w:sz w:val="20"/>
          <w:szCs w:val="20"/>
        </w:rPr>
        <w:t>beta</w:t>
      </w:r>
      <w:r w:rsidRPr="00A60B33">
        <w:rPr>
          <w:rFonts w:ascii="Arial" w:hAnsi="Arial" w:cs="Arial"/>
          <w:color w:val="FF0000"/>
          <w:sz w:val="20"/>
          <w:szCs w:val="20"/>
        </w:rPr>
        <w:t xml:space="preserve"> </w:t>
      </w:r>
      <w:r w:rsidRPr="00A60B33">
        <w:rPr>
          <w:rFonts w:ascii="Arial" w:hAnsi="Arial" w:cs="Arial"/>
          <w:sz w:val="20"/>
          <w:szCs w:val="20"/>
        </w:rPr>
        <w:t xml:space="preserve">% évalue la fonction des cellules béta pancréatiques « 167-175» </w:t>
      </w:r>
    </w:p>
    <w:p w14:paraId="3AFEDE55" w14:textId="77777777" w:rsidR="00ED4694" w:rsidRPr="009426C9" w:rsidRDefault="00ED4694" w:rsidP="00ED4694">
      <w:pPr>
        <w:pStyle w:val="Sansinterligne"/>
        <w:jc w:val="both"/>
        <w:rPr>
          <w:rFonts w:ascii="Arial" w:hAnsi="Arial" w:cs="Arial"/>
          <w:color w:val="000000" w:themeColor="text1"/>
          <w:sz w:val="20"/>
          <w:szCs w:val="20"/>
        </w:rPr>
      </w:pPr>
      <w:r w:rsidRPr="009426C9">
        <w:rPr>
          <w:rFonts w:ascii="Arial" w:hAnsi="Arial" w:cs="Arial"/>
          <w:color w:val="000000" w:themeColor="text1"/>
          <w:sz w:val="20"/>
          <w:szCs w:val="20"/>
        </w:rPr>
        <w:t xml:space="preserve">Depuis 2020, HOMA2-IR : glycémie à jeun, insulinémie à jeun ou peptidémie C à jeun </w:t>
      </w:r>
    </w:p>
    <w:p w14:paraId="5EA44987" w14:textId="77777777" w:rsidR="00ED4694" w:rsidRPr="009426C9" w:rsidRDefault="00ED4694" w:rsidP="00ED4694">
      <w:pPr>
        <w:pStyle w:val="Sansinterligne"/>
        <w:jc w:val="both"/>
        <w:rPr>
          <w:rFonts w:ascii="Arial" w:hAnsi="Arial" w:cs="Arial"/>
          <w:color w:val="000000" w:themeColor="text1"/>
          <w:sz w:val="20"/>
          <w:szCs w:val="20"/>
        </w:rPr>
      </w:pPr>
      <w:r w:rsidRPr="009426C9">
        <w:rPr>
          <w:rFonts w:ascii="Arial" w:hAnsi="Arial" w:cs="Arial"/>
          <w:color w:val="000000" w:themeColor="text1"/>
          <w:sz w:val="20"/>
          <w:szCs w:val="20"/>
        </w:rPr>
        <w:t xml:space="preserve">                      TyG = TG jeun (md/dL)/Glucose à jeun (mg/dL) &lt;4.5 </w:t>
      </w:r>
    </w:p>
    <w:p w14:paraId="5FA5BA66" w14:textId="77777777" w:rsidR="00ED4694" w:rsidRPr="009426C9" w:rsidRDefault="00ED4694" w:rsidP="00ED4694">
      <w:pPr>
        <w:pStyle w:val="Sansinterligne"/>
        <w:ind w:left="708"/>
        <w:jc w:val="both"/>
        <w:rPr>
          <w:rFonts w:ascii="Arial" w:hAnsi="Arial" w:cs="Arial"/>
          <w:color w:val="000000" w:themeColor="text1"/>
          <w:sz w:val="20"/>
          <w:szCs w:val="20"/>
        </w:rPr>
      </w:pPr>
      <w:r w:rsidRPr="009426C9">
        <w:rPr>
          <w:rFonts w:ascii="Arial" w:hAnsi="Arial" w:cs="Arial"/>
          <w:color w:val="000000" w:themeColor="text1"/>
          <w:sz w:val="20"/>
          <w:szCs w:val="20"/>
        </w:rPr>
        <w:t xml:space="preserve">         TG/HDL-C ratio</w:t>
      </w:r>
    </w:p>
    <w:p w14:paraId="73ECCCA5" w14:textId="77777777" w:rsidR="00ED4694" w:rsidRPr="009426C9" w:rsidRDefault="00ED4694" w:rsidP="00ED4694">
      <w:pPr>
        <w:pStyle w:val="Sansinterligne"/>
        <w:jc w:val="both"/>
        <w:rPr>
          <w:rFonts w:ascii="Arial" w:hAnsi="Arial" w:cs="Arial"/>
          <w:color w:val="000000" w:themeColor="text1"/>
          <w:sz w:val="20"/>
          <w:szCs w:val="20"/>
        </w:rPr>
      </w:pPr>
      <w:r w:rsidRPr="009426C9">
        <w:rPr>
          <w:rFonts w:ascii="Arial" w:hAnsi="Arial" w:cs="Arial"/>
          <w:color w:val="000000" w:themeColor="text1"/>
          <w:sz w:val="20"/>
          <w:szCs w:val="20"/>
        </w:rPr>
        <w:t xml:space="preserve">De nouveaux index (Viscéral Adipose Index, METS-IR...) en recherche </w:t>
      </w:r>
    </w:p>
    <w:p w14:paraId="5E73BDDE" w14:textId="77777777" w:rsidR="00ED4694" w:rsidRDefault="00ED4694" w:rsidP="00ED4694">
      <w:pPr>
        <w:pStyle w:val="Sansinterligne"/>
        <w:jc w:val="both"/>
        <w:rPr>
          <w:rFonts w:ascii="Arial" w:hAnsi="Arial" w:cs="Arial"/>
          <w:sz w:val="20"/>
          <w:szCs w:val="20"/>
        </w:rPr>
      </w:pPr>
    </w:p>
    <w:p w14:paraId="1947C518" w14:textId="77777777" w:rsidR="00ED4694" w:rsidRPr="002628F0" w:rsidRDefault="00ED4694" w:rsidP="00ED4694">
      <w:pPr>
        <w:pStyle w:val="Sansinterligne"/>
        <w:numPr>
          <w:ilvl w:val="0"/>
          <w:numId w:val="158"/>
        </w:numPr>
        <w:jc w:val="both"/>
        <w:rPr>
          <w:rFonts w:ascii="Arial" w:hAnsi="Arial" w:cs="Arial"/>
          <w:color w:val="ED7D31" w:themeColor="accent2"/>
          <w:sz w:val="20"/>
          <w:szCs w:val="20"/>
          <w:u w:val="single"/>
        </w:rPr>
      </w:pPr>
      <w:r w:rsidRPr="002628F0">
        <w:rPr>
          <w:rFonts w:ascii="Arial" w:hAnsi="Arial" w:cs="Arial"/>
          <w:color w:val="ED7D31" w:themeColor="accent2"/>
          <w:sz w:val="20"/>
          <w:szCs w:val="20"/>
          <w:u w:val="single"/>
        </w:rPr>
        <w:t xml:space="preserve">Bilan = complet : </w:t>
      </w:r>
    </w:p>
    <w:p w14:paraId="7160DC38" w14:textId="77777777" w:rsidR="00ED4694" w:rsidRDefault="00ED4694" w:rsidP="00ED4694">
      <w:pPr>
        <w:pStyle w:val="Sansinterligne"/>
        <w:jc w:val="both"/>
        <w:rPr>
          <w:rFonts w:ascii="Arial" w:hAnsi="Arial" w:cs="Arial"/>
          <w:sz w:val="20"/>
          <w:szCs w:val="20"/>
        </w:rPr>
      </w:pPr>
      <w:r>
        <w:rPr>
          <w:rFonts w:ascii="Arial" w:hAnsi="Arial" w:cs="Arial"/>
          <w:sz w:val="20"/>
          <w:szCs w:val="20"/>
        </w:rPr>
        <w:t>R</w:t>
      </w:r>
      <w:r w:rsidRPr="00A60B33">
        <w:rPr>
          <w:rFonts w:ascii="Arial" w:hAnsi="Arial" w:cs="Arial"/>
          <w:sz w:val="20"/>
          <w:szCs w:val="20"/>
        </w:rPr>
        <w:t>echerche d’un syndrome métabolique</w:t>
      </w:r>
      <w:r>
        <w:rPr>
          <w:rFonts w:ascii="Arial" w:hAnsi="Arial" w:cs="Arial"/>
          <w:sz w:val="20"/>
          <w:szCs w:val="20"/>
        </w:rPr>
        <w:t xml:space="preserve"> </w:t>
      </w:r>
      <w:r w:rsidRPr="00A60B33">
        <w:rPr>
          <w:rFonts w:ascii="Arial" w:hAnsi="Arial" w:cs="Arial"/>
          <w:sz w:val="20"/>
          <w:szCs w:val="20"/>
        </w:rPr>
        <w:t>(controversé/pratique clinique : chaque critère doit bénéficier de sa propre prise en charge</w:t>
      </w:r>
      <w:r>
        <w:rPr>
          <w:rFonts w:ascii="Arial" w:hAnsi="Arial" w:cs="Arial"/>
          <w:sz w:val="20"/>
          <w:szCs w:val="20"/>
        </w:rPr>
        <w:t xml:space="preserve">). </w:t>
      </w:r>
    </w:p>
    <w:p w14:paraId="2BED3A85" w14:textId="77777777" w:rsidR="00ED4694" w:rsidRDefault="00ED4694" w:rsidP="00ED4694">
      <w:pPr>
        <w:pStyle w:val="Sansinterligne"/>
        <w:numPr>
          <w:ilvl w:val="0"/>
          <w:numId w:val="140"/>
        </w:numPr>
        <w:jc w:val="both"/>
        <w:rPr>
          <w:rFonts w:ascii="Arial" w:hAnsi="Arial" w:cs="Arial"/>
          <w:sz w:val="20"/>
          <w:szCs w:val="20"/>
        </w:rPr>
      </w:pPr>
      <w:r>
        <w:rPr>
          <w:rFonts w:ascii="Arial" w:hAnsi="Arial" w:cs="Arial"/>
          <w:sz w:val="20"/>
          <w:szCs w:val="20"/>
        </w:rPr>
        <w:t xml:space="preserve">Augmentation tour de taille qui permet de définit l’obésité abdominale, aug TG, diminution cholestérol HDL, aug PA, aug glycémie à jeûn. </w:t>
      </w:r>
    </w:p>
    <w:p w14:paraId="46EAC2A1" w14:textId="77777777" w:rsidR="00ED4694" w:rsidRPr="002628F0" w:rsidRDefault="00ED4694" w:rsidP="00ED4694">
      <w:pPr>
        <w:pStyle w:val="Sansinterligne"/>
        <w:numPr>
          <w:ilvl w:val="0"/>
          <w:numId w:val="140"/>
        </w:numPr>
        <w:jc w:val="both"/>
        <w:rPr>
          <w:rFonts w:ascii="Arial" w:hAnsi="Arial" w:cs="Arial"/>
          <w:sz w:val="20"/>
          <w:szCs w:val="20"/>
        </w:rPr>
      </w:pPr>
      <w:r w:rsidRPr="002628F0">
        <w:rPr>
          <w:rFonts w:ascii="Arial" w:hAnsi="Arial" w:cs="Arial"/>
          <w:sz w:val="20"/>
          <w:szCs w:val="20"/>
        </w:rPr>
        <w:t xml:space="preserve">On diagnostic un syndrome métabolique quand 3 de ces conditions sont présentes. </w:t>
      </w:r>
    </w:p>
    <w:p w14:paraId="37396AD0"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30C37C9D" w14:textId="77777777" w:rsidR="00ED4694" w:rsidRPr="002628F0" w:rsidRDefault="00ED4694" w:rsidP="00ED4694">
      <w:pPr>
        <w:pStyle w:val="Sansinterligne"/>
        <w:numPr>
          <w:ilvl w:val="0"/>
          <w:numId w:val="142"/>
        </w:numPr>
        <w:jc w:val="both"/>
        <w:rPr>
          <w:rFonts w:ascii="Arial" w:eastAsiaTheme="minorEastAsia" w:hAnsi="Arial" w:cs="Arial"/>
          <w:b/>
          <w:bCs/>
          <w:color w:val="00B0F0"/>
          <w:sz w:val="20"/>
          <w:szCs w:val="20"/>
          <w:u w:val="single"/>
          <w:lang w:eastAsia="fr-FR"/>
        </w:rPr>
      </w:pPr>
      <w:r w:rsidRPr="002628F0">
        <w:rPr>
          <w:rFonts w:ascii="Arial" w:eastAsiaTheme="minorEastAsia" w:hAnsi="Arial" w:cs="Arial"/>
          <w:b/>
          <w:bCs/>
          <w:color w:val="00B0F0"/>
          <w:sz w:val="20"/>
          <w:szCs w:val="20"/>
          <w:u w:val="single"/>
          <w:lang w:eastAsia="fr-FR"/>
        </w:rPr>
        <w:t>Insulinorésistance et pathologies</w:t>
      </w:r>
    </w:p>
    <w:p w14:paraId="56905EB6"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r>
        <w:rPr>
          <w:rFonts w:ascii="Arial" w:eastAsiaTheme="minorEastAsia" w:hAnsi="Arial" w:cs="Arial"/>
          <w:color w:val="000000" w:themeColor="text1"/>
          <w:sz w:val="20"/>
          <w:szCs w:val="20"/>
          <w:lang w:eastAsia="fr-FR"/>
        </w:rPr>
        <w:t xml:space="preserve">L’insulinorésistance peut être définie comme un pré-DT2, associée avec de nombreuses autres pathologies : </w:t>
      </w:r>
    </w:p>
    <w:p w14:paraId="7B8E577C" w14:textId="77777777" w:rsidR="00ED4694" w:rsidRPr="002628F0" w:rsidRDefault="00ED4694" w:rsidP="00ED4694">
      <w:pPr>
        <w:pStyle w:val="Sansinterligne"/>
        <w:numPr>
          <w:ilvl w:val="0"/>
          <w:numId w:val="159"/>
        </w:numPr>
        <w:jc w:val="both"/>
      </w:pPr>
      <w:r w:rsidRPr="002628F0">
        <w:rPr>
          <w:sz w:val="21"/>
          <w:szCs w:val="21"/>
        </w:rPr>
        <w:t>Perturbations Endocriniennes – Infertilité – Syndrome des ovaires polykystiques</w:t>
      </w:r>
    </w:p>
    <w:p w14:paraId="1EBF3B6A" w14:textId="77777777" w:rsidR="00ED4694" w:rsidRPr="002628F0" w:rsidRDefault="00ED4694" w:rsidP="00ED4694">
      <w:pPr>
        <w:pStyle w:val="Sansinterligne"/>
        <w:numPr>
          <w:ilvl w:val="0"/>
          <w:numId w:val="159"/>
        </w:numPr>
        <w:jc w:val="both"/>
      </w:pPr>
      <w:r w:rsidRPr="002628F0">
        <w:rPr>
          <w:sz w:val="21"/>
          <w:szCs w:val="21"/>
        </w:rPr>
        <w:t>Asthme</w:t>
      </w:r>
    </w:p>
    <w:p w14:paraId="295725A7" w14:textId="77777777" w:rsidR="00ED4694" w:rsidRPr="002628F0" w:rsidRDefault="00ED4694" w:rsidP="00ED4694">
      <w:pPr>
        <w:pStyle w:val="Sansinterligne"/>
        <w:numPr>
          <w:ilvl w:val="0"/>
          <w:numId w:val="159"/>
        </w:numPr>
        <w:jc w:val="both"/>
      </w:pPr>
      <w:r w:rsidRPr="002628F0">
        <w:rPr>
          <w:sz w:val="21"/>
          <w:szCs w:val="21"/>
        </w:rPr>
        <w:t>Maladies de peau (acanthosis nigricans, psoriasis,...)</w:t>
      </w:r>
    </w:p>
    <w:p w14:paraId="0F4C50D6" w14:textId="77777777" w:rsidR="00ED4694" w:rsidRPr="002628F0" w:rsidRDefault="00ED4694" w:rsidP="00ED4694">
      <w:pPr>
        <w:pStyle w:val="Sansinterligne"/>
        <w:numPr>
          <w:ilvl w:val="0"/>
          <w:numId w:val="159"/>
        </w:numPr>
        <w:jc w:val="both"/>
      </w:pPr>
      <w:r w:rsidRPr="002628F0">
        <w:rPr>
          <w:sz w:val="21"/>
          <w:szCs w:val="21"/>
        </w:rPr>
        <w:t>Maladies CV (HTA, Insuffisance cardiaque et rénale, accidents thrombotiques, néphropathie)</w:t>
      </w:r>
    </w:p>
    <w:p w14:paraId="7DC5DB0F" w14:textId="77777777" w:rsidR="00ED4694" w:rsidRPr="002628F0" w:rsidRDefault="00ED4694" w:rsidP="00ED4694">
      <w:pPr>
        <w:pStyle w:val="Sansinterligne"/>
        <w:numPr>
          <w:ilvl w:val="0"/>
          <w:numId w:val="159"/>
        </w:numPr>
        <w:jc w:val="both"/>
      </w:pPr>
      <w:r w:rsidRPr="002628F0">
        <w:rPr>
          <w:sz w:val="21"/>
          <w:szCs w:val="21"/>
        </w:rPr>
        <w:t xml:space="preserve">NASH-cirrhose </w:t>
      </w:r>
    </w:p>
    <w:p w14:paraId="2A71CCEE" w14:textId="77777777" w:rsidR="00ED4694" w:rsidRDefault="00ED4694" w:rsidP="00ED4694">
      <w:pPr>
        <w:pStyle w:val="Sansinterligne"/>
        <w:numPr>
          <w:ilvl w:val="0"/>
          <w:numId w:val="159"/>
        </w:numPr>
        <w:jc w:val="both"/>
        <w:rPr>
          <w:sz w:val="21"/>
          <w:szCs w:val="21"/>
        </w:rPr>
      </w:pPr>
      <w:r w:rsidRPr="002628F0">
        <w:rPr>
          <w:sz w:val="21"/>
          <w:szCs w:val="21"/>
        </w:rPr>
        <w:t>Cancers (foie,...)</w:t>
      </w:r>
    </w:p>
    <w:p w14:paraId="6ACF9150" w14:textId="77777777" w:rsidR="00ED4694" w:rsidRDefault="00ED4694" w:rsidP="00ED4694">
      <w:pPr>
        <w:pStyle w:val="Sansinterligne"/>
        <w:numPr>
          <w:ilvl w:val="0"/>
          <w:numId w:val="159"/>
        </w:numPr>
        <w:jc w:val="both"/>
        <w:rPr>
          <w:sz w:val="21"/>
          <w:szCs w:val="21"/>
        </w:rPr>
      </w:pPr>
      <w:r w:rsidRPr="002628F0">
        <w:rPr>
          <w:sz w:val="21"/>
          <w:szCs w:val="21"/>
        </w:rPr>
        <w:t xml:space="preserve">Maladies inflammatoires (dysbiose, arthrose...) </w:t>
      </w:r>
    </w:p>
    <w:p w14:paraId="38069583" w14:textId="77777777" w:rsidR="00ED4694" w:rsidRDefault="00ED4694" w:rsidP="00ED4694">
      <w:pPr>
        <w:pStyle w:val="Sansinterligne"/>
        <w:numPr>
          <w:ilvl w:val="0"/>
          <w:numId w:val="159"/>
        </w:numPr>
        <w:jc w:val="both"/>
        <w:rPr>
          <w:sz w:val="21"/>
          <w:szCs w:val="21"/>
        </w:rPr>
      </w:pPr>
      <w:r w:rsidRPr="002628F0">
        <w:rPr>
          <w:sz w:val="21"/>
          <w:szCs w:val="21"/>
        </w:rPr>
        <w:t>Apnées du sommeil</w:t>
      </w:r>
    </w:p>
    <w:p w14:paraId="6FA28858" w14:textId="77777777" w:rsidR="00ED4694" w:rsidRDefault="00ED4694" w:rsidP="00ED4694">
      <w:pPr>
        <w:pStyle w:val="Sansinterligne"/>
        <w:numPr>
          <w:ilvl w:val="0"/>
          <w:numId w:val="159"/>
        </w:numPr>
        <w:jc w:val="both"/>
        <w:rPr>
          <w:sz w:val="21"/>
          <w:szCs w:val="21"/>
        </w:rPr>
      </w:pPr>
      <w:r w:rsidRPr="002628F0">
        <w:rPr>
          <w:sz w:val="21"/>
          <w:szCs w:val="21"/>
        </w:rPr>
        <w:t>Lipodystrophies</w:t>
      </w:r>
    </w:p>
    <w:p w14:paraId="49559C4B" w14:textId="77777777" w:rsidR="00ED4694" w:rsidRPr="002628F0" w:rsidRDefault="00ED4694" w:rsidP="00ED4694">
      <w:pPr>
        <w:pStyle w:val="Sansinterligne"/>
        <w:numPr>
          <w:ilvl w:val="0"/>
          <w:numId w:val="159"/>
        </w:numPr>
        <w:jc w:val="both"/>
        <w:rPr>
          <w:sz w:val="21"/>
          <w:szCs w:val="21"/>
        </w:rPr>
      </w:pPr>
      <w:r w:rsidRPr="002628F0">
        <w:rPr>
          <w:sz w:val="21"/>
          <w:szCs w:val="21"/>
        </w:rPr>
        <w:t xml:space="preserve">Démence </w:t>
      </w:r>
    </w:p>
    <w:p w14:paraId="7459BAB1" w14:textId="77777777" w:rsidR="00ED4694" w:rsidRDefault="00ED4694" w:rsidP="00ED4694">
      <w:pPr>
        <w:pStyle w:val="Sansinterligne"/>
        <w:jc w:val="both"/>
        <w:rPr>
          <w:rFonts w:ascii="Arial" w:eastAsiaTheme="minorEastAsia" w:hAnsi="Arial" w:cs="Arial"/>
          <w:color w:val="000000" w:themeColor="text1"/>
          <w:sz w:val="20"/>
          <w:szCs w:val="20"/>
          <w:lang w:eastAsia="fr-FR"/>
        </w:rPr>
      </w:pPr>
    </w:p>
    <w:p w14:paraId="315C0326" w14:textId="77777777" w:rsidR="00ED4694" w:rsidRPr="002628F0" w:rsidRDefault="00ED4694" w:rsidP="00ED4694">
      <w:pPr>
        <w:pStyle w:val="Sansinterligne"/>
        <w:numPr>
          <w:ilvl w:val="0"/>
          <w:numId w:val="142"/>
        </w:numPr>
        <w:jc w:val="both"/>
        <w:rPr>
          <w:rFonts w:ascii="Arial" w:eastAsiaTheme="minorEastAsia" w:hAnsi="Arial" w:cs="Arial"/>
          <w:b/>
          <w:bCs/>
          <w:color w:val="00B0F0"/>
          <w:sz w:val="20"/>
          <w:szCs w:val="20"/>
          <w:u w:val="single"/>
          <w:lang w:eastAsia="fr-FR"/>
        </w:rPr>
      </w:pPr>
      <w:r w:rsidRPr="002628F0">
        <w:rPr>
          <w:rFonts w:ascii="Arial" w:eastAsiaTheme="minorEastAsia" w:hAnsi="Arial" w:cs="Arial"/>
          <w:b/>
          <w:bCs/>
          <w:color w:val="00B0F0"/>
          <w:sz w:val="20"/>
          <w:szCs w:val="20"/>
          <w:u w:val="single"/>
          <w:lang w:eastAsia="fr-FR"/>
        </w:rPr>
        <w:t>Recommandations</w:t>
      </w:r>
    </w:p>
    <w:p w14:paraId="31F1A38B" w14:textId="77777777" w:rsidR="00ED4694" w:rsidRPr="002628F0" w:rsidRDefault="00ED4694" w:rsidP="00ED4694">
      <w:pPr>
        <w:pStyle w:val="Sansinterligne"/>
        <w:jc w:val="both"/>
        <w:rPr>
          <w:color w:val="000000" w:themeColor="text1"/>
          <w:sz w:val="20"/>
          <w:szCs w:val="20"/>
        </w:rPr>
      </w:pPr>
      <w:r w:rsidRPr="000703C8">
        <w:rPr>
          <w:rFonts w:cs="Calibri"/>
          <w:color w:val="000000" w:themeColor="text1"/>
          <w:sz w:val="20"/>
          <w:szCs w:val="20"/>
          <w:u w:val="single"/>
        </w:rPr>
        <w:t>Objectif principal</w:t>
      </w:r>
      <w:r w:rsidRPr="002628F0">
        <w:rPr>
          <w:rFonts w:cs="Calibri"/>
          <w:color w:val="000000" w:themeColor="text1"/>
          <w:sz w:val="20"/>
          <w:szCs w:val="20"/>
        </w:rPr>
        <w:t xml:space="preserve"> : réduction du tissu adipeux viscéral </w:t>
      </w:r>
      <w:r>
        <w:rPr>
          <w:rFonts w:cs="Calibri"/>
          <w:color w:val="000000" w:themeColor="text1"/>
          <w:sz w:val="20"/>
          <w:szCs w:val="20"/>
        </w:rPr>
        <w:t>car l’insulinorésistance</w:t>
      </w:r>
      <w:r w:rsidRPr="002628F0">
        <w:rPr>
          <w:rFonts w:cs="Calibri"/>
          <w:color w:val="000000" w:themeColor="text1"/>
          <w:sz w:val="20"/>
          <w:szCs w:val="20"/>
        </w:rPr>
        <w:t xml:space="preserve"> peut être </w:t>
      </w:r>
      <w:r>
        <w:rPr>
          <w:rFonts w:cs="Calibri"/>
          <w:color w:val="000000" w:themeColor="text1"/>
          <w:sz w:val="20"/>
          <w:szCs w:val="20"/>
        </w:rPr>
        <w:t>encore réversible.</w:t>
      </w:r>
      <w:r w:rsidRPr="002628F0">
        <w:rPr>
          <w:rFonts w:cs="Calibri"/>
          <w:color w:val="000000" w:themeColor="text1"/>
          <w:sz w:val="20"/>
          <w:szCs w:val="20"/>
        </w:rPr>
        <w:t xml:space="preserve"> Rééducation nutritionnelle à long terme : </w:t>
      </w:r>
    </w:p>
    <w:p w14:paraId="1E1BE410" w14:textId="77777777" w:rsidR="00ED4694" w:rsidRDefault="00ED4694" w:rsidP="00ED4694">
      <w:pPr>
        <w:pStyle w:val="Sansinterligne"/>
        <w:jc w:val="both"/>
        <w:rPr>
          <w:color w:val="000000" w:themeColor="text1"/>
          <w:sz w:val="20"/>
          <w:szCs w:val="20"/>
        </w:rPr>
      </w:pPr>
      <w:r w:rsidRPr="002628F0">
        <w:rPr>
          <w:rFonts w:cs="Calibri"/>
          <w:color w:val="000000" w:themeColor="text1"/>
          <w:sz w:val="20"/>
          <w:szCs w:val="20"/>
        </w:rPr>
        <w:t>Respecter les besoins physioloqiques</w:t>
      </w:r>
      <w:r>
        <w:rPr>
          <w:rFonts w:cs="Calibri"/>
          <w:color w:val="000000" w:themeColor="text1"/>
          <w:sz w:val="20"/>
          <w:szCs w:val="20"/>
        </w:rPr>
        <w:t xml:space="preserve"> et </w:t>
      </w:r>
      <w:r w:rsidRPr="002628F0">
        <w:rPr>
          <w:rFonts w:cs="Calibri"/>
          <w:color w:val="000000" w:themeColor="text1"/>
          <w:sz w:val="20"/>
          <w:szCs w:val="20"/>
        </w:rPr>
        <w:t>les apports journaliers recommandés</w:t>
      </w:r>
      <w:r>
        <w:rPr>
          <w:rFonts w:cs="Calibri"/>
          <w:color w:val="000000" w:themeColor="text1"/>
          <w:sz w:val="20"/>
          <w:szCs w:val="20"/>
        </w:rPr>
        <w:t> </w:t>
      </w:r>
      <w:r>
        <w:rPr>
          <w:color w:val="000000" w:themeColor="text1"/>
          <w:sz w:val="20"/>
          <w:szCs w:val="20"/>
        </w:rPr>
        <w:t xml:space="preserve">: </w:t>
      </w:r>
    </w:p>
    <w:p w14:paraId="2F09081D" w14:textId="77777777" w:rsidR="00ED4694" w:rsidRDefault="00ED4694" w:rsidP="00ED4694">
      <w:pPr>
        <w:pStyle w:val="Sansinterligne"/>
        <w:numPr>
          <w:ilvl w:val="0"/>
          <w:numId w:val="159"/>
        </w:numPr>
        <w:jc w:val="both"/>
        <w:rPr>
          <w:color w:val="000000" w:themeColor="text1"/>
          <w:sz w:val="20"/>
          <w:szCs w:val="20"/>
        </w:rPr>
      </w:pPr>
      <w:r w:rsidRPr="002628F0">
        <w:rPr>
          <w:color w:val="000000" w:themeColor="text1"/>
          <w:sz w:val="20"/>
          <w:szCs w:val="20"/>
        </w:rPr>
        <w:t>15 % pour les protéines</w:t>
      </w:r>
      <w:r>
        <w:rPr>
          <w:color w:val="000000" w:themeColor="text1"/>
          <w:sz w:val="20"/>
          <w:szCs w:val="20"/>
        </w:rPr>
        <w:t xml:space="preserve">, </w:t>
      </w:r>
      <w:r w:rsidRPr="002628F0">
        <w:rPr>
          <w:color w:val="000000" w:themeColor="text1"/>
          <w:sz w:val="20"/>
          <w:szCs w:val="20"/>
        </w:rPr>
        <w:t>45-50 % pour les glucides</w:t>
      </w:r>
      <w:r>
        <w:rPr>
          <w:color w:val="000000" w:themeColor="text1"/>
          <w:sz w:val="20"/>
          <w:szCs w:val="20"/>
        </w:rPr>
        <w:t xml:space="preserve">, </w:t>
      </w:r>
      <w:r w:rsidRPr="002628F0">
        <w:rPr>
          <w:color w:val="000000" w:themeColor="text1"/>
          <w:sz w:val="20"/>
          <w:szCs w:val="20"/>
        </w:rPr>
        <w:t xml:space="preserve">35-40 % pour les lipides </w:t>
      </w:r>
    </w:p>
    <w:p w14:paraId="08891342" w14:textId="77777777" w:rsidR="00ED4694" w:rsidRDefault="00ED4694" w:rsidP="00ED4694">
      <w:pPr>
        <w:pStyle w:val="Sansinterligne"/>
        <w:numPr>
          <w:ilvl w:val="0"/>
          <w:numId w:val="159"/>
        </w:numPr>
        <w:jc w:val="both"/>
        <w:rPr>
          <w:color w:val="000000" w:themeColor="text1"/>
          <w:sz w:val="20"/>
          <w:szCs w:val="20"/>
        </w:rPr>
      </w:pPr>
      <w:r w:rsidRPr="000703C8">
        <w:rPr>
          <w:rFonts w:cs="Calibri"/>
          <w:color w:val="000000" w:themeColor="text1"/>
          <w:sz w:val="20"/>
          <w:szCs w:val="20"/>
        </w:rPr>
        <w:t>Régime méditerranéen (richesse en fibres + AG monoinsaturés)</w:t>
      </w:r>
    </w:p>
    <w:p w14:paraId="0DB492D6" w14:textId="77777777" w:rsidR="00ED4694" w:rsidRPr="000703C8" w:rsidRDefault="00ED4694" w:rsidP="00ED4694">
      <w:pPr>
        <w:pStyle w:val="Sansinterligne"/>
        <w:jc w:val="both"/>
        <w:rPr>
          <w:color w:val="000000" w:themeColor="text1"/>
          <w:sz w:val="20"/>
          <w:szCs w:val="20"/>
        </w:rPr>
      </w:pPr>
      <w:r w:rsidRPr="000703C8">
        <w:rPr>
          <w:rFonts w:cs="Calibri"/>
          <w:color w:val="000000" w:themeColor="text1"/>
          <w:sz w:val="20"/>
          <w:szCs w:val="20"/>
        </w:rPr>
        <w:t>Favoriser l’activité physique d’endurance à intensité modérée (150 minutes/semaine : aérobie + anaérobie) </w:t>
      </w:r>
      <w:r w:rsidRPr="000703C8">
        <w:rPr>
          <w:color w:val="000000" w:themeColor="text1"/>
          <w:sz w:val="20"/>
          <w:szCs w:val="20"/>
        </w:rPr>
        <w:t xml:space="preserve">: </w:t>
      </w:r>
      <w:r w:rsidRPr="000703C8">
        <w:rPr>
          <w:rFonts w:cs="Calibri"/>
          <w:i/>
          <w:iCs/>
          <w:color w:val="000000" w:themeColor="text1"/>
          <w:sz w:val="20"/>
          <w:szCs w:val="20"/>
        </w:rPr>
        <w:t xml:space="preserve">diminue Tissu Adipeux viscéral, améliore profil lipidique et HTA, prévient DT2 indpt perte de poids </w:t>
      </w:r>
    </w:p>
    <w:p w14:paraId="6371D6A2" w14:textId="77777777" w:rsidR="00ED4694" w:rsidRDefault="00ED4694" w:rsidP="00ED4694">
      <w:pPr>
        <w:pStyle w:val="Sansinterligne"/>
        <w:jc w:val="both"/>
        <w:rPr>
          <w:rFonts w:cs="Calibri"/>
          <w:color w:val="000000" w:themeColor="text1"/>
          <w:sz w:val="20"/>
          <w:szCs w:val="20"/>
        </w:rPr>
      </w:pPr>
    </w:p>
    <w:p w14:paraId="2143FC37" w14:textId="77777777" w:rsidR="00ED4694" w:rsidRPr="000703C8" w:rsidRDefault="00ED4694" w:rsidP="00ED4694">
      <w:pPr>
        <w:pStyle w:val="Sansinterligne"/>
        <w:jc w:val="both"/>
        <w:rPr>
          <w:rFonts w:cs="Calibri"/>
          <w:color w:val="000000" w:themeColor="text1"/>
          <w:sz w:val="20"/>
          <w:szCs w:val="20"/>
          <w:u w:val="single"/>
        </w:rPr>
      </w:pPr>
      <w:r w:rsidRPr="000703C8">
        <w:rPr>
          <w:rFonts w:cs="Calibri"/>
          <w:color w:val="000000" w:themeColor="text1"/>
          <w:sz w:val="20"/>
          <w:szCs w:val="20"/>
          <w:u w:val="single"/>
        </w:rPr>
        <w:t>Pharmacologie (pas de recommandations en France) : Avenir ?</w:t>
      </w:r>
    </w:p>
    <w:p w14:paraId="482F8B05" w14:textId="77777777" w:rsidR="00ED4694" w:rsidRDefault="00ED4694" w:rsidP="00ED4694">
      <w:pPr>
        <w:pStyle w:val="Sansinterligne"/>
        <w:numPr>
          <w:ilvl w:val="0"/>
          <w:numId w:val="159"/>
        </w:numPr>
        <w:jc w:val="both"/>
        <w:rPr>
          <w:rFonts w:cs="Calibri"/>
          <w:color w:val="000000" w:themeColor="text1"/>
          <w:sz w:val="20"/>
          <w:szCs w:val="20"/>
        </w:rPr>
      </w:pPr>
      <w:r w:rsidRPr="002628F0">
        <w:rPr>
          <w:rFonts w:cs="Calibri"/>
          <w:color w:val="000000" w:themeColor="text1"/>
          <w:sz w:val="20"/>
          <w:szCs w:val="20"/>
        </w:rPr>
        <w:t>Analogues de GLP1 ou agonistes R GLP1 (réduction excès pondéral et effet bénéfique sur la stéatose hépatique et CV</w:t>
      </w:r>
      <w:r>
        <w:rPr>
          <w:rFonts w:cs="Calibri"/>
          <w:color w:val="000000" w:themeColor="text1"/>
          <w:sz w:val="20"/>
          <w:szCs w:val="20"/>
        </w:rPr>
        <w:t xml:space="preserve"> ? </w:t>
      </w:r>
    </w:p>
    <w:p w14:paraId="62F50BC4" w14:textId="77777777" w:rsidR="00ED4694" w:rsidRDefault="00ED4694" w:rsidP="00ED4694">
      <w:pPr>
        <w:pStyle w:val="Sansinterligne"/>
        <w:numPr>
          <w:ilvl w:val="0"/>
          <w:numId w:val="159"/>
        </w:numPr>
        <w:jc w:val="both"/>
        <w:rPr>
          <w:rFonts w:cs="Calibri"/>
          <w:color w:val="000000" w:themeColor="text1"/>
          <w:sz w:val="20"/>
          <w:szCs w:val="20"/>
        </w:rPr>
      </w:pPr>
      <w:r w:rsidRPr="002628F0">
        <w:rPr>
          <w:rFonts w:cs="Calibri"/>
          <w:color w:val="000000" w:themeColor="text1"/>
          <w:sz w:val="20"/>
          <w:szCs w:val="20"/>
        </w:rPr>
        <w:t>Metformine ?</w:t>
      </w:r>
    </w:p>
    <w:p w14:paraId="6DD14CF2" w14:textId="77777777" w:rsidR="00ED4694" w:rsidRDefault="00ED4694" w:rsidP="00ED4694">
      <w:pPr>
        <w:pStyle w:val="Sansinterligne"/>
        <w:numPr>
          <w:ilvl w:val="0"/>
          <w:numId w:val="159"/>
        </w:numPr>
        <w:jc w:val="both"/>
        <w:rPr>
          <w:rFonts w:cs="Calibri"/>
          <w:color w:val="000000" w:themeColor="text1"/>
          <w:sz w:val="20"/>
          <w:szCs w:val="20"/>
        </w:rPr>
      </w:pPr>
      <w:r w:rsidRPr="002628F0">
        <w:rPr>
          <w:rFonts w:cs="Calibri"/>
          <w:color w:val="000000" w:themeColor="text1"/>
          <w:sz w:val="20"/>
          <w:szCs w:val="20"/>
        </w:rPr>
        <w:t>Imeglimin: oxydation lipides ectopiques afin de réduire l’excès de masse grasse et la lipotoxicité (FDA ?)</w:t>
      </w:r>
    </w:p>
    <w:p w14:paraId="1181CB97" w14:textId="77777777" w:rsidR="00ED4694" w:rsidRPr="00D564FD" w:rsidRDefault="00ED4694" w:rsidP="00ED4694">
      <w:pPr>
        <w:pStyle w:val="Sansinterligne"/>
        <w:numPr>
          <w:ilvl w:val="0"/>
          <w:numId w:val="159"/>
        </w:numPr>
        <w:jc w:val="both"/>
        <w:rPr>
          <w:rFonts w:cs="Calibri"/>
          <w:color w:val="000000" w:themeColor="text1"/>
          <w:sz w:val="20"/>
          <w:szCs w:val="20"/>
        </w:rPr>
      </w:pPr>
      <w:r w:rsidRPr="00D564FD">
        <w:rPr>
          <w:rFonts w:cs="Calibri"/>
          <w:color w:val="000000" w:themeColor="text1"/>
          <w:sz w:val="20"/>
          <w:szCs w:val="20"/>
        </w:rPr>
        <w:t xml:space="preserve">GIP/GLP1 ou Glucagon/GIP/GLP1 ? </w:t>
      </w:r>
    </w:p>
    <w:p w14:paraId="3B6C1415" w14:textId="77777777" w:rsidR="00ED4694" w:rsidRPr="00D564FD" w:rsidRDefault="00ED4694" w:rsidP="00ED4694">
      <w:pPr>
        <w:pStyle w:val="Sansinterligne"/>
        <w:jc w:val="both"/>
        <w:rPr>
          <w:rFonts w:ascii="Arial" w:eastAsiaTheme="minorEastAsia" w:hAnsi="Arial" w:cs="Arial"/>
          <w:color w:val="000000" w:themeColor="text1"/>
          <w:sz w:val="20"/>
          <w:szCs w:val="20"/>
          <w:lang w:eastAsia="fr-FR"/>
        </w:rPr>
      </w:pPr>
    </w:p>
    <w:p w14:paraId="3C4B3442" w14:textId="77777777" w:rsidR="00ED4694" w:rsidRPr="00B15634" w:rsidRDefault="00ED4694" w:rsidP="00ED4694">
      <w:pPr>
        <w:pStyle w:val="Sansinterligne"/>
        <w:jc w:val="both"/>
        <w:rPr>
          <w:rFonts w:ascii="Arial" w:eastAsiaTheme="minorEastAsia" w:hAnsi="Arial" w:cs="Arial"/>
          <w:b/>
          <w:bCs/>
          <w:color w:val="000000" w:themeColor="text1"/>
          <w:sz w:val="20"/>
          <w:szCs w:val="20"/>
          <w:u w:val="single"/>
          <w:lang w:eastAsia="fr-FR"/>
        </w:rPr>
      </w:pPr>
      <w:r w:rsidRPr="00B15634">
        <w:rPr>
          <w:rFonts w:ascii="Arial" w:hAnsi="Arial" w:cs="Arial"/>
          <w:noProof/>
          <w:sz w:val="20"/>
          <w:szCs w:val="20"/>
          <w:lang w:eastAsia="fr-FR"/>
        </w:rPr>
        <w:lastRenderedPageBreak/>
        <w:drawing>
          <wp:anchor distT="0" distB="0" distL="114300" distR="114300" simplePos="0" relativeHeight="251698176" behindDoc="1" locked="0" layoutInCell="1" allowOverlap="1" wp14:anchorId="729EE556" wp14:editId="54D10250">
            <wp:simplePos x="0" y="0"/>
            <wp:positionH relativeFrom="column">
              <wp:posOffset>3725545</wp:posOffset>
            </wp:positionH>
            <wp:positionV relativeFrom="paragraph">
              <wp:posOffset>5080</wp:posOffset>
            </wp:positionV>
            <wp:extent cx="2689860" cy="1877060"/>
            <wp:effectExtent l="0" t="0" r="2540" b="2540"/>
            <wp:wrapTight wrapText="bothSides">
              <wp:wrapPolygon edited="0">
                <wp:start x="0" y="0"/>
                <wp:lineTo x="0" y="21483"/>
                <wp:lineTo x="21518" y="21483"/>
                <wp:lineTo x="21518" y="0"/>
                <wp:lineTo x="0" y="0"/>
              </wp:wrapPolygon>
            </wp:wrapTight>
            <wp:docPr id="234444730" name="Image 262" descr="page2image54030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image54030403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89860" cy="1877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eastAsiaTheme="minorEastAsia" w:hAnsi="Arial" w:cs="Arial"/>
          <w:b/>
          <w:bCs/>
          <w:color w:val="000000" w:themeColor="text1"/>
          <w:sz w:val="20"/>
          <w:szCs w:val="20"/>
          <w:highlight w:val="yellow"/>
          <w:u w:val="single"/>
          <w:lang w:eastAsia="fr-FR"/>
        </w:rPr>
        <w:t>CM10</w:t>
      </w:r>
      <w:r w:rsidRPr="00B15634">
        <w:rPr>
          <w:rFonts w:ascii="Arial" w:eastAsiaTheme="minorEastAsia" w:hAnsi="Arial" w:cs="Arial"/>
          <w:b/>
          <w:bCs/>
          <w:color w:val="000000" w:themeColor="text1"/>
          <w:sz w:val="20"/>
          <w:szCs w:val="20"/>
          <w:u w:val="single"/>
          <w:lang w:eastAsia="fr-FR"/>
        </w:rPr>
        <w:t xml:space="preserve"> – Physiopathologie de l’obésité </w:t>
      </w:r>
    </w:p>
    <w:p w14:paraId="2C209E85" w14:textId="77777777" w:rsidR="00ED4694" w:rsidRPr="00B15634" w:rsidRDefault="00ED4694" w:rsidP="00ED4694">
      <w:pPr>
        <w:pStyle w:val="Sansinterligne"/>
        <w:jc w:val="both"/>
        <w:rPr>
          <w:rFonts w:ascii="Arial" w:eastAsiaTheme="minorEastAsia" w:hAnsi="Arial" w:cs="Arial"/>
          <w:color w:val="000000" w:themeColor="text1"/>
          <w:sz w:val="20"/>
          <w:szCs w:val="20"/>
          <w:lang w:eastAsia="fr-FR"/>
        </w:rPr>
      </w:pPr>
    </w:p>
    <w:p w14:paraId="7A6E2649" w14:textId="77777777" w:rsidR="00ED4694" w:rsidRPr="00B15634" w:rsidRDefault="00ED4694" w:rsidP="00ED4694">
      <w:pPr>
        <w:pStyle w:val="Sansinterligne"/>
        <w:numPr>
          <w:ilvl w:val="0"/>
          <w:numId w:val="154"/>
        </w:numPr>
        <w:jc w:val="both"/>
        <w:rPr>
          <w:rFonts w:ascii="Arial" w:hAnsi="Arial" w:cs="Arial"/>
          <w:b/>
          <w:bCs/>
          <w:color w:val="00B0F0"/>
          <w:sz w:val="20"/>
          <w:szCs w:val="20"/>
          <w:lang w:eastAsia="fr-FR"/>
        </w:rPr>
      </w:pPr>
      <w:r w:rsidRPr="00B15634">
        <w:rPr>
          <w:rFonts w:ascii="Arial" w:hAnsi="Arial" w:cs="Arial"/>
          <w:b/>
          <w:bCs/>
          <w:color w:val="00B0F0"/>
          <w:sz w:val="20"/>
          <w:szCs w:val="20"/>
          <w:lang w:eastAsia="fr-FR"/>
        </w:rPr>
        <w:t xml:space="preserve">Physiologie du tissu adipeux </w:t>
      </w:r>
    </w:p>
    <w:p w14:paraId="6EBFB3C8"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Le tissu adipeux est largement impliqué dans l’obésité. importance de distinguer : </w:t>
      </w:r>
    </w:p>
    <w:p w14:paraId="4B60E3D6"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La nature du TA : TA blanc, TA brun ou beige </w:t>
      </w:r>
    </w:p>
    <w:p w14:paraId="5F115D09"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noProof/>
          <w:sz w:val="20"/>
          <w:szCs w:val="20"/>
          <w:lang w:eastAsia="fr-FR"/>
        </w:rPr>
        <mc:AlternateContent>
          <mc:Choice Requires="wps">
            <w:drawing>
              <wp:anchor distT="0" distB="0" distL="114300" distR="114300" simplePos="0" relativeHeight="251699200" behindDoc="0" locked="0" layoutInCell="1" allowOverlap="1" wp14:anchorId="71528A74" wp14:editId="06968AB7">
                <wp:simplePos x="0" y="0"/>
                <wp:positionH relativeFrom="column">
                  <wp:posOffset>4111283</wp:posOffset>
                </wp:positionH>
                <wp:positionV relativeFrom="paragraph">
                  <wp:posOffset>141605</wp:posOffset>
                </wp:positionV>
                <wp:extent cx="334904" cy="124177"/>
                <wp:effectExtent l="0" t="0" r="8255" b="15875"/>
                <wp:wrapNone/>
                <wp:docPr id="19372441" name="Ellipse 263"/>
                <wp:cNvGraphicFramePr/>
                <a:graphic xmlns:a="http://schemas.openxmlformats.org/drawingml/2006/main">
                  <a:graphicData uri="http://schemas.microsoft.com/office/word/2010/wordprocessingShape">
                    <wps:wsp>
                      <wps:cNvSpPr/>
                      <wps:spPr>
                        <a:xfrm>
                          <a:off x="0" y="0"/>
                          <a:ext cx="334904" cy="124177"/>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B6E145" id="Ellipse 263" o:spid="_x0000_s1026" style="position:absolute;margin-left:323.7pt;margin-top:11.15pt;width:26.35pt;height:9.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" filled="f" strokecolor="#09101d [484]" strokeweight="1pt">
                <v:stroke joinstyle="miter"/>
              </v:oval>
            </w:pict>
          </mc:Fallback>
        </mc:AlternateContent>
      </w:r>
      <w:r w:rsidRPr="00B15634">
        <w:rPr>
          <w:rFonts w:ascii="Arial" w:hAnsi="Arial" w:cs="Arial"/>
          <w:sz w:val="20"/>
          <w:szCs w:val="20"/>
          <w:lang w:eastAsia="fr-FR"/>
        </w:rPr>
        <w:t xml:space="preserve">La localisation du TA : TA sous-cutané, TA viscéral </w:t>
      </w:r>
    </w:p>
    <w:p w14:paraId="382B095F"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noProof/>
          <w:sz w:val="20"/>
          <w:szCs w:val="20"/>
          <w:lang w:eastAsia="fr-FR"/>
        </w:rPr>
        <mc:AlternateContent>
          <mc:Choice Requires="wps">
            <w:drawing>
              <wp:anchor distT="0" distB="0" distL="114300" distR="114300" simplePos="0" relativeHeight="251700224" behindDoc="0" locked="0" layoutInCell="1" allowOverlap="1" wp14:anchorId="58544AA6" wp14:editId="34C096AD">
                <wp:simplePos x="0" y="0"/>
                <wp:positionH relativeFrom="column">
                  <wp:posOffset>4116836</wp:posOffset>
                </wp:positionH>
                <wp:positionV relativeFrom="paragraph">
                  <wp:posOffset>124044</wp:posOffset>
                </wp:positionV>
                <wp:extent cx="371475" cy="170815"/>
                <wp:effectExtent l="0" t="0" r="9525" b="6985"/>
                <wp:wrapNone/>
                <wp:docPr id="559655219" name="Ellipse 263"/>
                <wp:cNvGraphicFramePr/>
                <a:graphic xmlns:a="http://schemas.openxmlformats.org/drawingml/2006/main">
                  <a:graphicData uri="http://schemas.microsoft.com/office/word/2010/wordprocessingShape">
                    <wps:wsp>
                      <wps:cNvSpPr/>
                      <wps:spPr>
                        <a:xfrm>
                          <a:off x="0" y="0"/>
                          <a:ext cx="371475" cy="170815"/>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D5EDF5" id="Ellipse 263" o:spid="_x0000_s1026" style="position:absolute;margin-left:324.15pt;margin-top:9.75pt;width:29.25pt;height:13.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" filled="f" strokecolor="#09101d [484]" strokeweight="1pt">
                <v:stroke joinstyle="miter"/>
              </v:oval>
            </w:pict>
          </mc:Fallback>
        </mc:AlternateContent>
      </w:r>
    </w:p>
    <w:p w14:paraId="661358F3" w14:textId="77777777" w:rsidR="00ED4694" w:rsidRPr="00B15634" w:rsidRDefault="00ED4694" w:rsidP="00ED4694">
      <w:pPr>
        <w:pStyle w:val="Sansinterligne"/>
        <w:jc w:val="both"/>
        <w:rPr>
          <w:rFonts w:ascii="Arial" w:hAnsi="Arial" w:cs="Arial"/>
          <w:sz w:val="20"/>
          <w:szCs w:val="20"/>
          <w:lang w:eastAsia="fr-FR"/>
        </w:rPr>
      </w:pPr>
    </w:p>
    <w:p w14:paraId="0F486182" w14:textId="77777777" w:rsidR="00ED4694" w:rsidRPr="00B15634" w:rsidRDefault="00ED4694" w:rsidP="00ED4694">
      <w:pPr>
        <w:pStyle w:val="Sansinterligne"/>
        <w:jc w:val="both"/>
        <w:rPr>
          <w:rFonts w:ascii="Arial" w:hAnsi="Arial" w:cs="Arial"/>
          <w:sz w:val="20"/>
          <w:szCs w:val="20"/>
          <w:lang w:eastAsia="fr-FR"/>
        </w:rPr>
      </w:pPr>
    </w:p>
    <w:p w14:paraId="66D17C09" w14:textId="77777777" w:rsidR="00ED4694" w:rsidRPr="00B15634" w:rsidRDefault="00ED4694" w:rsidP="00ED4694">
      <w:pPr>
        <w:pStyle w:val="Sansinterligne"/>
        <w:jc w:val="both"/>
        <w:rPr>
          <w:rFonts w:ascii="Arial" w:hAnsi="Arial" w:cs="Arial"/>
          <w:sz w:val="20"/>
          <w:szCs w:val="20"/>
          <w:lang w:eastAsia="fr-FR"/>
        </w:rPr>
      </w:pPr>
    </w:p>
    <w:p w14:paraId="0D904DDF"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fldChar w:fldCharType="begin"/>
      </w:r>
      <w:r w:rsidRPr="00B15634">
        <w:rPr>
          <w:rFonts w:ascii="Arial" w:hAnsi="Arial" w:cs="Arial"/>
          <w:sz w:val="20"/>
          <w:szCs w:val="20"/>
          <w:lang w:eastAsia="fr-FR"/>
        </w:rPr>
        <w:instrText xml:space="preserve"> INCLUDEPICTURE "/Users/alienorprudhomme/Library/Group Containers/UBF8T346G9.ms/WebArchiveCopyPasteTempFiles/com.microsoft.Word/page2image540304032" \* MERGEFORMATINET </w:instrText>
      </w:r>
      <w:r w:rsidRPr="00B15634">
        <w:rPr>
          <w:rFonts w:ascii="Arial" w:hAnsi="Arial" w:cs="Arial"/>
          <w:sz w:val="20"/>
          <w:szCs w:val="20"/>
          <w:lang w:eastAsia="fr-FR"/>
        </w:rPr>
        <w:fldChar w:fldCharType="separate"/>
      </w:r>
      <w:r w:rsidRPr="00B15634">
        <w:rPr>
          <w:rFonts w:ascii="Arial" w:hAnsi="Arial" w:cs="Arial"/>
          <w:sz w:val="20"/>
          <w:szCs w:val="20"/>
          <w:lang w:eastAsia="fr-FR"/>
        </w:rPr>
        <w:fldChar w:fldCharType="end"/>
      </w:r>
    </w:p>
    <w:p w14:paraId="74082D5D" w14:textId="77777777" w:rsidR="00ED4694" w:rsidRPr="00B15634" w:rsidRDefault="00ED4694" w:rsidP="00ED4694">
      <w:pPr>
        <w:pStyle w:val="Sansinterligne"/>
        <w:numPr>
          <w:ilvl w:val="0"/>
          <w:numId w:val="152"/>
        </w:numPr>
        <w:jc w:val="both"/>
        <w:rPr>
          <w:rFonts w:ascii="Arial" w:hAnsi="Arial" w:cs="Arial"/>
          <w:color w:val="ED7D31" w:themeColor="accent2"/>
          <w:sz w:val="20"/>
          <w:szCs w:val="20"/>
          <w:u w:val="single"/>
          <w:lang w:eastAsia="fr-FR"/>
        </w:rPr>
      </w:pPr>
      <w:r w:rsidRPr="00B15634">
        <w:rPr>
          <w:rFonts w:ascii="Arial" w:hAnsi="Arial" w:cs="Arial"/>
          <w:color w:val="ED7D31" w:themeColor="accent2"/>
          <w:sz w:val="20"/>
          <w:szCs w:val="20"/>
          <w:u w:val="single"/>
          <w:lang w:eastAsia="fr-FR"/>
        </w:rPr>
        <w:t>Tissu adipeux blanc</w:t>
      </w:r>
    </w:p>
    <w:p w14:paraId="78C1425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noProof/>
          <w:sz w:val="20"/>
          <w:szCs w:val="20"/>
          <w:lang w:eastAsia="fr-FR"/>
        </w:rPr>
        <w:drawing>
          <wp:anchor distT="0" distB="0" distL="114300" distR="114300" simplePos="0" relativeHeight="251701248" behindDoc="1" locked="0" layoutInCell="1" allowOverlap="1" wp14:anchorId="5B61328D" wp14:editId="60B30F6D">
            <wp:simplePos x="0" y="0"/>
            <wp:positionH relativeFrom="column">
              <wp:posOffset>4360721</wp:posOffset>
            </wp:positionH>
            <wp:positionV relativeFrom="paragraph">
              <wp:posOffset>409253</wp:posOffset>
            </wp:positionV>
            <wp:extent cx="2472055" cy="1850390"/>
            <wp:effectExtent l="0" t="0" r="4445" b="3810"/>
            <wp:wrapTight wrapText="bothSides">
              <wp:wrapPolygon edited="0">
                <wp:start x="0" y="0"/>
                <wp:lineTo x="0" y="21496"/>
                <wp:lineTo x="21528" y="21496"/>
                <wp:lineTo x="21528" y="0"/>
                <wp:lineTo x="0" y="0"/>
              </wp:wrapPolygon>
            </wp:wrapTight>
            <wp:docPr id="1077939974" name="Image 260" descr="page3image54038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3image54038923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72055" cy="1850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sz w:val="20"/>
          <w:szCs w:val="20"/>
          <w:lang w:eastAsia="fr-FR"/>
        </w:rPr>
        <w:t xml:space="preserve">C’est le </w:t>
      </w:r>
      <w:r w:rsidRPr="00AD6C93">
        <w:rPr>
          <w:rFonts w:ascii="Arial" w:hAnsi="Arial" w:cs="Arial"/>
          <w:b/>
          <w:bCs/>
          <w:sz w:val="20"/>
          <w:szCs w:val="20"/>
          <w:lang w:eastAsia="fr-FR"/>
        </w:rPr>
        <w:t>TA majorité</w:t>
      </w:r>
      <w:r w:rsidRPr="00B15634">
        <w:rPr>
          <w:rFonts w:ascii="Arial" w:hAnsi="Arial" w:cs="Arial"/>
          <w:sz w:val="20"/>
          <w:szCs w:val="20"/>
          <w:lang w:eastAsia="fr-FR"/>
        </w:rPr>
        <w:t xml:space="preserve">. Il est composé d’adipocytes et de ₵ stroma-vasculaires (₵ de l’immunité, ₵ endothéliales, péricytes, fibroblastes, ₵ progénitrices). C’est un isolateur thermique et un </w:t>
      </w:r>
      <w:r w:rsidRPr="00AD6C93">
        <w:rPr>
          <w:rFonts w:ascii="Arial" w:hAnsi="Arial" w:cs="Arial"/>
          <w:b/>
          <w:bCs/>
          <w:sz w:val="20"/>
          <w:szCs w:val="20"/>
          <w:lang w:eastAsia="fr-FR"/>
        </w:rPr>
        <w:t>réservoir énergétique</w:t>
      </w:r>
      <w:r w:rsidRPr="00B15634">
        <w:rPr>
          <w:rFonts w:ascii="Arial" w:hAnsi="Arial" w:cs="Arial"/>
          <w:sz w:val="20"/>
          <w:szCs w:val="20"/>
          <w:lang w:eastAsia="fr-FR"/>
        </w:rPr>
        <w:t xml:space="preserve"> (lipides sous forme de gouttelette uniloculaire dans les adipocytes). </w:t>
      </w:r>
    </w:p>
    <w:p w14:paraId="291A0F3E" w14:textId="77777777" w:rsidR="00ED4694" w:rsidRPr="00B15634" w:rsidRDefault="00ED4694" w:rsidP="00ED4694">
      <w:pPr>
        <w:pStyle w:val="Sansinterligne"/>
        <w:jc w:val="both"/>
        <w:rPr>
          <w:rFonts w:ascii="Arial" w:hAnsi="Arial" w:cs="Arial"/>
          <w:sz w:val="20"/>
          <w:szCs w:val="20"/>
          <w:lang w:eastAsia="fr-FR"/>
        </w:rPr>
      </w:pPr>
    </w:p>
    <w:p w14:paraId="67C79410"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fldChar w:fldCharType="begin"/>
      </w:r>
      <w:r w:rsidRPr="00B15634">
        <w:rPr>
          <w:rFonts w:ascii="Arial" w:hAnsi="Arial" w:cs="Arial"/>
          <w:sz w:val="20"/>
          <w:szCs w:val="20"/>
          <w:u w:val="single"/>
          <w:lang w:eastAsia="fr-FR"/>
        </w:rPr>
        <w:instrText xml:space="preserve"> INCLUDEPICTURE "/Users/alienorprudhomme/Library/Group Containers/UBF8T346G9.ms/WebArchiveCopyPasteTempFiles/com.microsoft.Word/page3image540389232" \* MERGEFORMATINET </w:instrText>
      </w:r>
      <w:r w:rsidRPr="00B15634">
        <w:rPr>
          <w:rFonts w:ascii="Arial" w:hAnsi="Arial" w:cs="Arial"/>
          <w:sz w:val="20"/>
          <w:szCs w:val="20"/>
          <w:u w:val="single"/>
          <w:lang w:eastAsia="fr-FR"/>
        </w:rPr>
        <w:fldChar w:fldCharType="separate"/>
      </w:r>
      <w:r w:rsidRPr="00B15634">
        <w:rPr>
          <w:rFonts w:ascii="Arial" w:hAnsi="Arial" w:cs="Arial"/>
          <w:sz w:val="20"/>
          <w:szCs w:val="20"/>
          <w:u w:val="single"/>
          <w:lang w:eastAsia="fr-FR"/>
        </w:rPr>
        <w:fldChar w:fldCharType="end"/>
      </w:r>
      <w:r w:rsidRPr="00B15634">
        <w:rPr>
          <w:rFonts w:ascii="Arial" w:hAnsi="Arial" w:cs="Arial"/>
          <w:sz w:val="20"/>
          <w:szCs w:val="20"/>
          <w:u w:val="single"/>
          <w:lang w:eastAsia="fr-FR"/>
        </w:rPr>
        <w:t>Rôles</w:t>
      </w:r>
      <w:r w:rsidRPr="00B15634">
        <w:rPr>
          <w:rFonts w:ascii="Arial" w:hAnsi="Arial" w:cs="Arial"/>
          <w:sz w:val="20"/>
          <w:szCs w:val="20"/>
          <w:lang w:eastAsia="fr-FR"/>
        </w:rPr>
        <w:t xml:space="preserve"> : Stockage des AG sous la forme de triacylglycerols TAG pendant les périodes d’alimentation </w:t>
      </w:r>
    </w:p>
    <w:p w14:paraId="6E882225"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AG sont acheminés au TA sous la forme de TAG liés aux lipoprotéines </w:t>
      </w:r>
    </w:p>
    <w:p w14:paraId="7792DAB3"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TAG hydrolysés en AG par la lipoprotéine lipase au niveau de l’endothélium vasculaire et </w:t>
      </w:r>
    </w:p>
    <w:p w14:paraId="57DD0F92"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AG entrent dans l’adipocytes via des transporteurs </w:t>
      </w:r>
    </w:p>
    <w:p w14:paraId="56AB2855"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AG → TAG dans l’adipocyte </w:t>
      </w:r>
    </w:p>
    <w:p w14:paraId="7F372BFA"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TAG stockés au sein d’une unique gouttelette lipidique </w:t>
      </w:r>
    </w:p>
    <w:p w14:paraId="029F13A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Insuline : ↑ expression et sécrétion de la lipoprotéine lipase par les adipocytes </w:t>
      </w:r>
    </w:p>
    <w:p w14:paraId="2BC0BA1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fldChar w:fldCharType="begin"/>
      </w:r>
      <w:r w:rsidRPr="00B15634">
        <w:rPr>
          <w:rFonts w:ascii="Arial" w:hAnsi="Arial" w:cs="Arial"/>
          <w:sz w:val="20"/>
          <w:szCs w:val="20"/>
          <w:lang w:eastAsia="fr-FR"/>
        </w:rPr>
        <w:instrText xml:space="preserve"> INCLUDEPICTURE "/Users/alienorprudhomme/Library/Group Containers/UBF8T346G9.ms/WebArchiveCopyPasteTempFiles/com.microsoft.Word/page4image540600480" \* MERGEFORMATINET </w:instrText>
      </w:r>
      <w:r w:rsidRPr="00B15634">
        <w:rPr>
          <w:rFonts w:ascii="Arial" w:hAnsi="Arial" w:cs="Arial"/>
          <w:sz w:val="20"/>
          <w:szCs w:val="20"/>
          <w:lang w:eastAsia="fr-FR"/>
        </w:rPr>
        <w:fldChar w:fldCharType="separate"/>
      </w:r>
      <w:r w:rsidRPr="00B15634">
        <w:rPr>
          <w:rFonts w:ascii="Arial" w:hAnsi="Arial" w:cs="Arial"/>
          <w:sz w:val="20"/>
          <w:szCs w:val="20"/>
          <w:lang w:eastAsia="fr-FR"/>
        </w:rPr>
        <w:fldChar w:fldCharType="end"/>
      </w:r>
    </w:p>
    <w:p w14:paraId="1BAEE8F6"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w:t>
      </w:r>
    </w:p>
    <w:p w14:paraId="202BD420"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Restitution pour fournir de l’énergie quand jeûne ou exercice physique </w:t>
      </w:r>
    </w:p>
    <w:p w14:paraId="4C75904A"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TAG dans l‘adipocyte</w:t>
      </w:r>
      <w:r>
        <w:rPr>
          <w:rFonts w:ascii="Arial" w:hAnsi="Arial" w:cs="Arial"/>
          <w:sz w:val="20"/>
          <w:szCs w:val="20"/>
          <w:lang w:eastAsia="fr-FR"/>
        </w:rPr>
        <w:t xml:space="preserve"> </w:t>
      </w:r>
      <w:r w:rsidRPr="00B15634">
        <w:rPr>
          <w:rFonts w:ascii="Arial" w:hAnsi="Arial" w:cs="Arial"/>
          <w:sz w:val="20"/>
          <w:szCs w:val="20"/>
          <w:lang w:eastAsia="fr-FR"/>
        </w:rPr>
        <w:t>→</w:t>
      </w:r>
      <w:r>
        <w:rPr>
          <w:rFonts w:ascii="Arial" w:hAnsi="Arial" w:cs="Arial"/>
          <w:sz w:val="20"/>
          <w:szCs w:val="20"/>
          <w:lang w:eastAsia="fr-FR"/>
        </w:rPr>
        <w:t xml:space="preserve"> </w:t>
      </w:r>
      <w:r w:rsidRPr="00B15634">
        <w:rPr>
          <w:rFonts w:ascii="Arial" w:hAnsi="Arial" w:cs="Arial"/>
          <w:sz w:val="20"/>
          <w:szCs w:val="20"/>
          <w:lang w:eastAsia="fr-FR"/>
        </w:rPr>
        <w:t xml:space="preserve">AG via des </w:t>
      </w:r>
      <w:r w:rsidRPr="0093393A">
        <w:rPr>
          <w:rFonts w:ascii="Arial" w:hAnsi="Arial" w:cs="Arial"/>
          <w:b/>
          <w:bCs/>
          <w:sz w:val="20"/>
          <w:szCs w:val="20"/>
          <w:lang w:eastAsia="fr-FR"/>
        </w:rPr>
        <w:t>lipases</w:t>
      </w:r>
      <w:r w:rsidRPr="00B15634">
        <w:rPr>
          <w:rFonts w:ascii="Arial" w:hAnsi="Arial" w:cs="Arial"/>
          <w:sz w:val="20"/>
          <w:szCs w:val="20"/>
          <w:lang w:eastAsia="fr-FR"/>
        </w:rPr>
        <w:t xml:space="preserve">. </w:t>
      </w:r>
    </w:p>
    <w:p w14:paraId="552D375B"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Les lipases sont principalement régulées par l’insuline, les cathécholamines et les peptides natriurétiques et dans une moindre mesure par corticoïdes, les cytokines pro inflammatoires... </w:t>
      </w:r>
    </w:p>
    <w:p w14:paraId="42B17B0B" w14:textId="77777777" w:rsidR="00ED4694" w:rsidRPr="00B15634" w:rsidRDefault="00ED4694" w:rsidP="00ED4694">
      <w:pPr>
        <w:pStyle w:val="Sansinterligne"/>
        <w:ind w:left="360"/>
        <w:jc w:val="both"/>
        <w:rPr>
          <w:rFonts w:ascii="Arial" w:hAnsi="Arial" w:cs="Arial"/>
          <w:sz w:val="20"/>
          <w:szCs w:val="20"/>
          <w:lang w:eastAsia="fr-FR"/>
        </w:rPr>
      </w:pPr>
      <w:r w:rsidRPr="00B15634">
        <w:rPr>
          <w:rFonts w:ascii="Arial" w:hAnsi="Arial" w:cs="Arial"/>
          <w:sz w:val="20"/>
          <w:szCs w:val="20"/>
          <w:lang w:eastAsia="fr-FR"/>
        </w:rPr>
        <w:t xml:space="preserve">En post prandiale : ↑ entrée du Glu dans l’adipocyte (Via GLUT 4) → lipogenèse de novo </w:t>
      </w:r>
    </w:p>
    <w:p w14:paraId="2DCA3ECC"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noProof/>
          <w:sz w:val="20"/>
          <w:szCs w:val="20"/>
          <w:lang w:eastAsia="fr-FR"/>
        </w:rPr>
        <w:drawing>
          <wp:anchor distT="0" distB="0" distL="114300" distR="114300" simplePos="0" relativeHeight="251703296" behindDoc="1" locked="0" layoutInCell="1" allowOverlap="1" wp14:anchorId="55A95185" wp14:editId="781BE1D1">
            <wp:simplePos x="0" y="0"/>
            <wp:positionH relativeFrom="column">
              <wp:posOffset>3710305</wp:posOffset>
            </wp:positionH>
            <wp:positionV relativeFrom="paragraph">
              <wp:posOffset>107950</wp:posOffset>
            </wp:positionV>
            <wp:extent cx="2507615" cy="1878330"/>
            <wp:effectExtent l="0" t="0" r="0" b="1270"/>
            <wp:wrapTight wrapText="bothSides">
              <wp:wrapPolygon edited="0">
                <wp:start x="0" y="0"/>
                <wp:lineTo x="0" y="21469"/>
                <wp:lineTo x="21441" y="21469"/>
                <wp:lineTo x="21441" y="0"/>
                <wp:lineTo x="0" y="0"/>
              </wp:wrapPolygon>
            </wp:wrapTight>
            <wp:docPr id="170209878" name="Image 258" descr="page5image60800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5image60800296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07615" cy="1878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noProof/>
          <w:sz w:val="20"/>
          <w:szCs w:val="20"/>
          <w:lang w:eastAsia="fr-FR"/>
        </w:rPr>
        <w:drawing>
          <wp:anchor distT="0" distB="0" distL="114300" distR="114300" simplePos="0" relativeHeight="251702272" behindDoc="1" locked="0" layoutInCell="1" allowOverlap="1" wp14:anchorId="07549B18" wp14:editId="7364ABB3">
            <wp:simplePos x="0" y="0"/>
            <wp:positionH relativeFrom="column">
              <wp:posOffset>814475</wp:posOffset>
            </wp:positionH>
            <wp:positionV relativeFrom="paragraph">
              <wp:posOffset>107315</wp:posOffset>
            </wp:positionV>
            <wp:extent cx="2503170" cy="1875790"/>
            <wp:effectExtent l="0" t="0" r="0" b="3810"/>
            <wp:wrapTight wrapText="bothSides">
              <wp:wrapPolygon edited="0">
                <wp:start x="0" y="0"/>
                <wp:lineTo x="0" y="21498"/>
                <wp:lineTo x="21479" y="21498"/>
                <wp:lineTo x="21479" y="0"/>
                <wp:lineTo x="0" y="0"/>
              </wp:wrapPolygon>
            </wp:wrapTight>
            <wp:docPr id="979260891" name="Image 259" descr="page4image54060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4image54060048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03170" cy="1875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sz w:val="20"/>
          <w:szCs w:val="20"/>
          <w:lang w:eastAsia="fr-FR"/>
        </w:rPr>
        <w:fldChar w:fldCharType="begin"/>
      </w:r>
      <w:r w:rsidRPr="00B15634">
        <w:rPr>
          <w:rFonts w:ascii="Arial" w:hAnsi="Arial" w:cs="Arial"/>
          <w:sz w:val="20"/>
          <w:szCs w:val="20"/>
          <w:lang w:eastAsia="fr-FR"/>
        </w:rPr>
        <w:instrText xml:space="preserve"> INCLUDEPICTURE "/Users/alienorprudhomme/Library/Group Containers/UBF8T346G9.ms/WebArchiveCopyPasteTempFiles/com.microsoft.Word/page5image608002960" \* MERGEFORMATINET </w:instrText>
      </w:r>
      <w:r w:rsidRPr="00B15634">
        <w:rPr>
          <w:rFonts w:ascii="Arial" w:hAnsi="Arial" w:cs="Arial"/>
          <w:sz w:val="20"/>
          <w:szCs w:val="20"/>
          <w:lang w:eastAsia="fr-FR"/>
        </w:rPr>
        <w:fldChar w:fldCharType="separate"/>
      </w:r>
      <w:r w:rsidRPr="00B15634">
        <w:rPr>
          <w:rFonts w:ascii="Arial" w:hAnsi="Arial" w:cs="Arial"/>
          <w:sz w:val="20"/>
          <w:szCs w:val="20"/>
          <w:lang w:eastAsia="fr-FR"/>
        </w:rPr>
        <w:fldChar w:fldCharType="end"/>
      </w:r>
    </w:p>
    <w:p w14:paraId="42D7DDDE" w14:textId="77777777" w:rsidR="00ED4694" w:rsidRDefault="00ED4694" w:rsidP="00ED4694">
      <w:pPr>
        <w:pStyle w:val="Sansinterligne"/>
        <w:jc w:val="both"/>
        <w:rPr>
          <w:rFonts w:ascii="Arial" w:hAnsi="Arial" w:cs="Arial"/>
          <w:sz w:val="20"/>
          <w:szCs w:val="20"/>
          <w:lang w:eastAsia="fr-FR"/>
        </w:rPr>
      </w:pPr>
    </w:p>
    <w:p w14:paraId="6E676B9B" w14:textId="77777777" w:rsidR="00ED4694" w:rsidRDefault="00ED4694" w:rsidP="00ED4694">
      <w:pPr>
        <w:pStyle w:val="Sansinterligne"/>
        <w:jc w:val="both"/>
        <w:rPr>
          <w:rFonts w:ascii="Arial" w:hAnsi="Arial" w:cs="Arial"/>
          <w:sz w:val="20"/>
          <w:szCs w:val="20"/>
          <w:lang w:eastAsia="fr-FR"/>
        </w:rPr>
      </w:pPr>
    </w:p>
    <w:p w14:paraId="109810F9" w14:textId="77777777" w:rsidR="00ED4694" w:rsidRDefault="00ED4694" w:rsidP="00ED4694">
      <w:pPr>
        <w:pStyle w:val="Sansinterligne"/>
        <w:jc w:val="both"/>
        <w:rPr>
          <w:rFonts w:ascii="Arial" w:hAnsi="Arial" w:cs="Arial"/>
          <w:sz w:val="20"/>
          <w:szCs w:val="20"/>
          <w:lang w:eastAsia="fr-FR"/>
        </w:rPr>
      </w:pPr>
    </w:p>
    <w:p w14:paraId="34CFD715" w14:textId="77777777" w:rsidR="00ED4694" w:rsidRDefault="00ED4694" w:rsidP="00ED4694">
      <w:pPr>
        <w:pStyle w:val="Sansinterligne"/>
        <w:jc w:val="both"/>
        <w:rPr>
          <w:rFonts w:ascii="Arial" w:hAnsi="Arial" w:cs="Arial"/>
          <w:sz w:val="20"/>
          <w:szCs w:val="20"/>
          <w:lang w:eastAsia="fr-FR"/>
        </w:rPr>
      </w:pPr>
    </w:p>
    <w:p w14:paraId="247B0411" w14:textId="77777777" w:rsidR="00ED4694" w:rsidRDefault="00ED4694" w:rsidP="00ED4694">
      <w:pPr>
        <w:pStyle w:val="Sansinterligne"/>
        <w:jc w:val="both"/>
        <w:rPr>
          <w:rFonts w:ascii="Arial" w:hAnsi="Arial" w:cs="Arial"/>
          <w:sz w:val="20"/>
          <w:szCs w:val="20"/>
          <w:lang w:eastAsia="fr-FR"/>
        </w:rPr>
      </w:pPr>
    </w:p>
    <w:p w14:paraId="1E57C5F0" w14:textId="77777777" w:rsidR="00ED4694" w:rsidRDefault="00ED4694" w:rsidP="00ED4694">
      <w:pPr>
        <w:pStyle w:val="Sansinterligne"/>
        <w:jc w:val="both"/>
        <w:rPr>
          <w:rFonts w:ascii="Arial" w:hAnsi="Arial" w:cs="Arial"/>
          <w:sz w:val="20"/>
          <w:szCs w:val="20"/>
          <w:lang w:eastAsia="fr-FR"/>
        </w:rPr>
      </w:pPr>
    </w:p>
    <w:p w14:paraId="28513FC9" w14:textId="77777777" w:rsidR="00ED4694" w:rsidRDefault="00ED4694" w:rsidP="00ED4694">
      <w:pPr>
        <w:pStyle w:val="Sansinterligne"/>
        <w:jc w:val="both"/>
        <w:rPr>
          <w:rFonts w:ascii="Arial" w:hAnsi="Arial" w:cs="Arial"/>
          <w:sz w:val="20"/>
          <w:szCs w:val="20"/>
          <w:lang w:eastAsia="fr-FR"/>
        </w:rPr>
      </w:pPr>
    </w:p>
    <w:p w14:paraId="5008D351" w14:textId="77777777" w:rsidR="00ED4694" w:rsidRDefault="00ED4694" w:rsidP="00ED4694">
      <w:pPr>
        <w:pStyle w:val="Sansinterligne"/>
        <w:jc w:val="both"/>
        <w:rPr>
          <w:rFonts w:ascii="Arial" w:hAnsi="Arial" w:cs="Arial"/>
          <w:sz w:val="20"/>
          <w:szCs w:val="20"/>
          <w:lang w:eastAsia="fr-FR"/>
        </w:rPr>
      </w:pPr>
    </w:p>
    <w:p w14:paraId="7D9FA755" w14:textId="77777777" w:rsidR="00ED4694" w:rsidRDefault="00ED4694" w:rsidP="00ED4694">
      <w:pPr>
        <w:pStyle w:val="Sansinterligne"/>
        <w:jc w:val="both"/>
        <w:rPr>
          <w:rFonts w:ascii="Arial" w:hAnsi="Arial" w:cs="Arial"/>
          <w:sz w:val="20"/>
          <w:szCs w:val="20"/>
          <w:lang w:eastAsia="fr-FR"/>
        </w:rPr>
      </w:pPr>
    </w:p>
    <w:p w14:paraId="70E37112" w14:textId="77777777" w:rsidR="00ED4694" w:rsidRDefault="00ED4694" w:rsidP="00ED4694">
      <w:pPr>
        <w:pStyle w:val="Sansinterligne"/>
        <w:jc w:val="both"/>
        <w:rPr>
          <w:rFonts w:ascii="Arial" w:hAnsi="Arial" w:cs="Arial"/>
          <w:sz w:val="20"/>
          <w:szCs w:val="20"/>
          <w:lang w:eastAsia="fr-FR"/>
        </w:rPr>
      </w:pPr>
    </w:p>
    <w:p w14:paraId="6075AFDB" w14:textId="77777777" w:rsidR="00ED4694" w:rsidRDefault="00ED4694" w:rsidP="00ED4694">
      <w:pPr>
        <w:pStyle w:val="Sansinterligne"/>
        <w:jc w:val="both"/>
        <w:rPr>
          <w:rFonts w:ascii="Arial" w:hAnsi="Arial" w:cs="Arial"/>
          <w:sz w:val="20"/>
          <w:szCs w:val="20"/>
          <w:lang w:eastAsia="fr-FR"/>
        </w:rPr>
      </w:pPr>
    </w:p>
    <w:p w14:paraId="1DE84931" w14:textId="77777777" w:rsidR="00ED4694" w:rsidRDefault="00ED4694" w:rsidP="00ED4694">
      <w:pPr>
        <w:pStyle w:val="Sansinterligne"/>
        <w:jc w:val="both"/>
        <w:rPr>
          <w:rFonts w:ascii="Arial" w:hAnsi="Arial" w:cs="Arial"/>
          <w:sz w:val="20"/>
          <w:szCs w:val="20"/>
          <w:lang w:eastAsia="fr-FR"/>
        </w:rPr>
      </w:pPr>
    </w:p>
    <w:p w14:paraId="734C8E1A" w14:textId="77777777" w:rsidR="00ED4694" w:rsidRDefault="00ED4694" w:rsidP="00ED4694">
      <w:pPr>
        <w:pStyle w:val="Sansinterligne"/>
        <w:jc w:val="both"/>
        <w:rPr>
          <w:rFonts w:ascii="Arial" w:hAnsi="Arial" w:cs="Arial"/>
          <w:sz w:val="20"/>
          <w:szCs w:val="20"/>
          <w:lang w:eastAsia="fr-FR"/>
        </w:rPr>
      </w:pPr>
    </w:p>
    <w:p w14:paraId="5AF46937" w14:textId="77777777" w:rsidR="00ED4694" w:rsidRDefault="00ED4694" w:rsidP="00ED4694">
      <w:pPr>
        <w:pStyle w:val="Sansinterligne"/>
        <w:jc w:val="both"/>
        <w:rPr>
          <w:rFonts w:ascii="Arial" w:hAnsi="Arial" w:cs="Arial"/>
          <w:sz w:val="20"/>
          <w:szCs w:val="20"/>
          <w:lang w:eastAsia="fr-FR"/>
        </w:rPr>
      </w:pPr>
    </w:p>
    <w:p w14:paraId="6D7540DD" w14:textId="77777777" w:rsidR="00ED469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La régulation des stocks de TG est cruciale pour la survie → sans le TA et ses réserves lipidiques, les organismes auraient besoin de s’alimenter de façon continue. </w:t>
      </w:r>
    </w:p>
    <w:p w14:paraId="46464EFA" w14:textId="77777777" w:rsidR="00ED4694" w:rsidRDefault="00ED4694" w:rsidP="00ED4694">
      <w:pPr>
        <w:pStyle w:val="Sansinterligne"/>
        <w:jc w:val="center"/>
        <w:rPr>
          <w:rFonts w:ascii="Arial" w:hAnsi="Arial" w:cs="Arial"/>
          <w:sz w:val="20"/>
          <w:szCs w:val="20"/>
          <w:lang w:eastAsia="fr-FR"/>
        </w:rPr>
      </w:pPr>
      <w:r w:rsidRPr="00D567D6">
        <w:rPr>
          <w:rFonts w:ascii="Arial" w:hAnsi="Arial" w:cs="Arial"/>
          <w:noProof/>
          <w:sz w:val="20"/>
          <w:szCs w:val="20"/>
          <w:lang w:eastAsia="fr-FR"/>
        </w:rPr>
        <w:drawing>
          <wp:inline distT="0" distB="0" distL="0" distR="0" wp14:anchorId="35F4180E" wp14:editId="704BA873">
            <wp:extent cx="2855409" cy="1226631"/>
            <wp:effectExtent l="0" t="0" r="2540" b="5715"/>
            <wp:docPr id="6729624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962469" name=""/>
                    <pic:cNvPicPr/>
                  </pic:nvPicPr>
                  <pic:blipFill>
                    <a:blip r:embed="rId92"/>
                    <a:stretch>
                      <a:fillRect/>
                    </a:stretch>
                  </pic:blipFill>
                  <pic:spPr>
                    <a:xfrm>
                      <a:off x="0" y="0"/>
                      <a:ext cx="2897365" cy="1244655"/>
                    </a:xfrm>
                    <a:prstGeom prst="rect">
                      <a:avLst/>
                    </a:prstGeom>
                  </pic:spPr>
                </pic:pic>
              </a:graphicData>
            </a:graphic>
          </wp:inline>
        </w:drawing>
      </w:r>
    </w:p>
    <w:p w14:paraId="1250ADDB" w14:textId="77777777" w:rsidR="00ED4694" w:rsidRPr="00B15634" w:rsidRDefault="00ED4694" w:rsidP="00ED4694">
      <w:pPr>
        <w:pStyle w:val="Sansinterligne"/>
        <w:jc w:val="both"/>
        <w:rPr>
          <w:rFonts w:ascii="Arial" w:hAnsi="Arial" w:cs="Arial"/>
          <w:sz w:val="20"/>
          <w:szCs w:val="20"/>
          <w:lang w:eastAsia="fr-FR"/>
        </w:rPr>
      </w:pPr>
    </w:p>
    <w:p w14:paraId="3C2A66A7" w14:textId="77777777" w:rsidR="00ED4694" w:rsidRPr="00D567D6"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Quand obésité</w:t>
      </w:r>
      <w:r>
        <w:rPr>
          <w:rFonts w:ascii="Arial" w:hAnsi="Arial" w:cs="Arial"/>
          <w:sz w:val="20"/>
          <w:szCs w:val="20"/>
          <w:lang w:eastAsia="fr-FR"/>
        </w:rPr>
        <w:t xml:space="preserve"> : modification du TA : </w:t>
      </w:r>
    </w:p>
    <w:p w14:paraId="41B0E212"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hyperplasie </w:t>
      </w:r>
      <w:r w:rsidRPr="00FB215A">
        <w:rPr>
          <w:rFonts w:ascii="Arial" w:hAnsi="Arial" w:cs="Arial"/>
          <w:b/>
          <w:bCs/>
          <w:sz w:val="20"/>
          <w:szCs w:val="20"/>
          <w:lang w:eastAsia="fr-FR"/>
        </w:rPr>
        <w:t>(↑ du nb) des adipocytes</w:t>
      </w:r>
      <w:r w:rsidRPr="00B15634">
        <w:rPr>
          <w:rFonts w:ascii="Arial" w:hAnsi="Arial" w:cs="Arial"/>
          <w:sz w:val="20"/>
          <w:szCs w:val="20"/>
          <w:lang w:eastAsia="fr-FR"/>
        </w:rPr>
        <w:t xml:space="preserve"> </w:t>
      </w:r>
    </w:p>
    <w:p w14:paraId="39DD985E" w14:textId="77777777" w:rsidR="00ED469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hypertrophie </w:t>
      </w:r>
      <w:r w:rsidRPr="00FB215A">
        <w:rPr>
          <w:rFonts w:ascii="Arial" w:hAnsi="Arial" w:cs="Arial"/>
          <w:b/>
          <w:bCs/>
          <w:sz w:val="20"/>
          <w:szCs w:val="20"/>
          <w:lang w:eastAsia="fr-FR"/>
        </w:rPr>
        <w:t>(↑ de la taille) des adipocytes</w:t>
      </w:r>
      <w:r w:rsidRPr="00B15634">
        <w:rPr>
          <w:rFonts w:ascii="Arial" w:hAnsi="Arial" w:cs="Arial"/>
          <w:sz w:val="20"/>
          <w:szCs w:val="20"/>
          <w:lang w:eastAsia="fr-FR"/>
        </w:rPr>
        <w:t xml:space="preserve"> </w:t>
      </w:r>
    </w:p>
    <w:p w14:paraId="052B2119" w14:textId="77777777" w:rsidR="00ED4694" w:rsidRPr="00D567D6" w:rsidRDefault="00ED4694" w:rsidP="00ED4694">
      <w:pPr>
        <w:pStyle w:val="Sansinterligne"/>
        <w:jc w:val="both"/>
        <w:rPr>
          <w:rFonts w:ascii="Arial" w:hAnsi="Arial" w:cs="Arial"/>
          <w:i/>
          <w:iCs/>
          <w:sz w:val="20"/>
          <w:szCs w:val="20"/>
          <w:lang w:eastAsia="fr-FR"/>
        </w:rPr>
      </w:pPr>
      <w:r>
        <w:rPr>
          <w:rFonts w:ascii="Arial" w:hAnsi="Arial" w:cs="Arial"/>
          <w:i/>
          <w:iCs/>
          <w:sz w:val="20"/>
          <w:szCs w:val="20"/>
          <w:lang w:eastAsia="fr-FR"/>
        </w:rPr>
        <w:t>Quand on prend du poids, on augmente le nb d’adipocytes. Mais quand on perd du poids, on ne diminue pas le nb d’adipocytes.</w:t>
      </w:r>
    </w:p>
    <w:p w14:paraId="62A1727A" w14:textId="77777777" w:rsidR="00ED4694" w:rsidRPr="00B15634" w:rsidRDefault="00ED4694" w:rsidP="00ED4694">
      <w:pPr>
        <w:pStyle w:val="Sansinterligne"/>
        <w:jc w:val="both"/>
        <w:rPr>
          <w:rFonts w:ascii="Arial" w:hAnsi="Arial" w:cs="Arial"/>
          <w:sz w:val="20"/>
          <w:szCs w:val="20"/>
          <w:lang w:eastAsia="fr-FR"/>
        </w:rPr>
      </w:pPr>
    </w:p>
    <w:p w14:paraId="66B1AD93"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lastRenderedPageBreak/>
        <w:t xml:space="preserve">Rôle endocrine </w:t>
      </w:r>
    </w:p>
    <w:p w14:paraId="495CD8E3" w14:textId="77777777" w:rsidR="00ED4694" w:rsidRPr="00B15634" w:rsidRDefault="00ED4694" w:rsidP="00ED4694">
      <w:pPr>
        <w:pStyle w:val="Sansinterligne"/>
        <w:jc w:val="both"/>
        <w:rPr>
          <w:rFonts w:ascii="Arial" w:hAnsi="Arial" w:cs="Arial"/>
          <w:sz w:val="20"/>
          <w:szCs w:val="20"/>
          <w:lang w:eastAsia="fr-FR"/>
        </w:rPr>
      </w:pPr>
      <w:r>
        <w:rPr>
          <w:rFonts w:ascii="Arial" w:hAnsi="Arial" w:cs="Arial"/>
          <w:sz w:val="20"/>
          <w:szCs w:val="20"/>
          <w:lang w:eastAsia="fr-FR"/>
        </w:rPr>
        <w:t>Le TA produit des m</w:t>
      </w:r>
      <w:r w:rsidRPr="00B15634">
        <w:rPr>
          <w:rFonts w:ascii="Arial" w:hAnsi="Arial" w:cs="Arial"/>
          <w:sz w:val="20"/>
          <w:szCs w:val="20"/>
          <w:lang w:eastAsia="fr-FR"/>
        </w:rPr>
        <w:t>olécules bioactives par action auto- para- et endocrine = adipokines</w:t>
      </w:r>
      <w:r>
        <w:rPr>
          <w:rFonts w:ascii="Arial" w:hAnsi="Arial" w:cs="Arial"/>
          <w:sz w:val="20"/>
          <w:szCs w:val="20"/>
          <w:lang w:eastAsia="fr-FR"/>
        </w:rPr>
        <w:t xml:space="preserve">. Elles agissent </w:t>
      </w:r>
      <w:r w:rsidRPr="00B15634">
        <w:rPr>
          <w:rFonts w:ascii="Arial" w:hAnsi="Arial" w:cs="Arial"/>
          <w:sz w:val="20"/>
          <w:szCs w:val="20"/>
          <w:lang w:eastAsia="fr-FR"/>
        </w:rPr>
        <w:t>sur le métabolisme du glu</w:t>
      </w:r>
      <w:r>
        <w:rPr>
          <w:rFonts w:ascii="Arial" w:hAnsi="Arial" w:cs="Arial"/>
          <w:sz w:val="20"/>
          <w:szCs w:val="20"/>
          <w:lang w:eastAsia="fr-FR"/>
        </w:rPr>
        <w:t>c</w:t>
      </w:r>
      <w:r w:rsidRPr="00B15634">
        <w:rPr>
          <w:rFonts w:ascii="Arial" w:hAnsi="Arial" w:cs="Arial"/>
          <w:sz w:val="20"/>
          <w:szCs w:val="20"/>
          <w:lang w:eastAsia="fr-FR"/>
        </w:rPr>
        <w:t>, des lip, l’homéostasie énergétique, la prise alimentaire, la sensibilité à l’insuline</w:t>
      </w:r>
    </w:p>
    <w:p w14:paraId="09F9594E" w14:textId="77777777" w:rsidR="00ED469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Tissus cibles : foie, muscles, hypothalamus, ... </w:t>
      </w:r>
    </w:p>
    <w:p w14:paraId="3DE3BAD6" w14:textId="77777777" w:rsidR="00ED4694" w:rsidRPr="00B15634" w:rsidRDefault="00ED4694" w:rsidP="00ED4694">
      <w:pPr>
        <w:pStyle w:val="Sansinterligne"/>
        <w:jc w:val="both"/>
        <w:rPr>
          <w:rFonts w:ascii="Arial" w:hAnsi="Arial" w:cs="Arial"/>
          <w:sz w:val="20"/>
          <w:szCs w:val="20"/>
          <w:lang w:eastAsia="fr-FR"/>
        </w:rPr>
      </w:pPr>
      <w:r>
        <w:rPr>
          <w:rFonts w:ascii="Arial" w:hAnsi="Arial" w:cs="Arial"/>
          <w:sz w:val="20"/>
          <w:szCs w:val="20"/>
          <w:lang w:eastAsia="fr-FR"/>
        </w:rPr>
        <w:t xml:space="preserve">Hormones qui interviennent dans la régulation de la prise alimentaire : </w:t>
      </w:r>
    </w:p>
    <w:p w14:paraId="648371BE"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F847D6">
        <w:rPr>
          <w:rFonts w:ascii="Arial" w:hAnsi="Arial" w:cs="Arial"/>
          <w:b/>
          <w:bCs/>
          <w:sz w:val="20"/>
          <w:szCs w:val="20"/>
          <w:u w:val="single"/>
          <w:lang w:eastAsia="fr-FR"/>
        </w:rPr>
        <w:t>Leptine</w:t>
      </w:r>
      <w:r w:rsidRPr="00B15634">
        <w:rPr>
          <w:rFonts w:ascii="Arial" w:hAnsi="Arial" w:cs="Arial"/>
          <w:sz w:val="20"/>
          <w:szCs w:val="20"/>
          <w:lang w:eastAsia="fr-FR"/>
        </w:rPr>
        <w:t xml:space="preserve"> (</w:t>
      </w:r>
      <w:r>
        <w:rPr>
          <w:rFonts w:ascii="Arial" w:hAnsi="Arial" w:cs="Arial"/>
          <w:sz w:val="20"/>
          <w:szCs w:val="20"/>
          <w:lang w:eastAsia="fr-FR"/>
        </w:rPr>
        <w:t xml:space="preserve">produite par les </w:t>
      </w:r>
      <w:r w:rsidRPr="00B15634">
        <w:rPr>
          <w:rFonts w:ascii="Arial" w:hAnsi="Arial" w:cs="Arial"/>
          <w:sz w:val="20"/>
          <w:szCs w:val="20"/>
          <w:lang w:eastAsia="fr-FR"/>
        </w:rPr>
        <w:t>adipocytes)</w:t>
      </w:r>
      <w:r>
        <w:rPr>
          <w:rFonts w:ascii="Arial" w:hAnsi="Arial" w:cs="Arial"/>
          <w:sz w:val="20"/>
          <w:szCs w:val="20"/>
          <w:lang w:eastAsia="fr-FR"/>
        </w:rPr>
        <w:t xml:space="preserve"> : </w:t>
      </w:r>
    </w:p>
    <w:p w14:paraId="21AF633D"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anorexigène (hypothalamus)</w:t>
      </w:r>
      <w:r>
        <w:rPr>
          <w:rFonts w:ascii="Arial" w:hAnsi="Arial" w:cs="Arial"/>
          <w:sz w:val="20"/>
          <w:szCs w:val="20"/>
          <w:lang w:eastAsia="fr-FR"/>
        </w:rPr>
        <w:t xml:space="preserve"> : limite la prise alimentaire </w:t>
      </w:r>
      <w:r w:rsidRPr="00B15634">
        <w:rPr>
          <w:rFonts w:ascii="Arial" w:hAnsi="Arial" w:cs="Arial"/>
          <w:sz w:val="20"/>
          <w:szCs w:val="20"/>
          <w:lang w:eastAsia="fr-FR"/>
        </w:rPr>
        <w:t xml:space="preserve">. </w:t>
      </w:r>
    </w:p>
    <w:p w14:paraId="607ECD23"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Sécrétion ↑</w:t>
      </w:r>
      <w:r>
        <w:rPr>
          <w:rFonts w:ascii="Arial" w:hAnsi="Arial" w:cs="Arial"/>
          <w:sz w:val="20"/>
          <w:szCs w:val="20"/>
          <w:lang w:eastAsia="fr-FR"/>
        </w:rPr>
        <w:t xml:space="preserve"> </w:t>
      </w:r>
      <w:r w:rsidRPr="00B15634">
        <w:rPr>
          <w:rFonts w:ascii="Arial" w:hAnsi="Arial" w:cs="Arial"/>
          <w:sz w:val="20"/>
          <w:szCs w:val="20"/>
          <w:lang w:eastAsia="fr-FR"/>
        </w:rPr>
        <w:t xml:space="preserve">avec la masse grasse. </w:t>
      </w:r>
    </w:p>
    <w:p w14:paraId="7B909778"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w:t>
      </w:r>
      <w:r>
        <w:rPr>
          <w:rFonts w:ascii="Arial" w:hAnsi="Arial" w:cs="Arial"/>
          <w:sz w:val="20"/>
          <w:szCs w:val="20"/>
          <w:lang w:eastAsia="fr-FR"/>
        </w:rPr>
        <w:t xml:space="preserve"> </w:t>
      </w:r>
      <w:r w:rsidRPr="00B15634">
        <w:rPr>
          <w:rFonts w:ascii="Arial" w:hAnsi="Arial" w:cs="Arial"/>
          <w:sz w:val="20"/>
          <w:szCs w:val="20"/>
          <w:lang w:eastAsia="fr-FR"/>
        </w:rPr>
        <w:t xml:space="preserve">satiété et dépenses énergétiques. </w:t>
      </w:r>
    </w:p>
    <w:p w14:paraId="750FDC0A"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xml:space="preserve">Obésité → </w:t>
      </w:r>
      <w:r w:rsidRPr="003B4075">
        <w:rPr>
          <w:rFonts w:ascii="Arial" w:hAnsi="Arial" w:cs="Arial"/>
          <w:b/>
          <w:bCs/>
          <w:sz w:val="20"/>
          <w:szCs w:val="20"/>
          <w:lang w:eastAsia="fr-FR"/>
        </w:rPr>
        <w:t>résistance à la leptine</w:t>
      </w:r>
      <w:r w:rsidRPr="00B15634">
        <w:rPr>
          <w:rFonts w:ascii="Arial" w:hAnsi="Arial" w:cs="Arial"/>
          <w:sz w:val="20"/>
          <w:szCs w:val="20"/>
          <w:lang w:eastAsia="fr-FR"/>
        </w:rPr>
        <w:t xml:space="preserve"> </w:t>
      </w:r>
    </w:p>
    <w:p w14:paraId="7C7958CD"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F847D6">
        <w:rPr>
          <w:rFonts w:ascii="Arial" w:hAnsi="Arial" w:cs="Arial"/>
          <w:b/>
          <w:bCs/>
          <w:sz w:val="20"/>
          <w:szCs w:val="20"/>
          <w:u w:val="single"/>
          <w:lang w:eastAsia="fr-FR"/>
        </w:rPr>
        <w:t>Adiponectine</w:t>
      </w:r>
      <w:r w:rsidRPr="00B15634">
        <w:rPr>
          <w:rFonts w:ascii="Arial" w:hAnsi="Arial" w:cs="Arial"/>
          <w:sz w:val="20"/>
          <w:szCs w:val="20"/>
          <w:lang w:eastAsia="fr-FR"/>
        </w:rPr>
        <w:t xml:space="preserve"> (</w:t>
      </w:r>
      <w:r>
        <w:rPr>
          <w:rFonts w:ascii="Arial" w:hAnsi="Arial" w:cs="Arial"/>
          <w:sz w:val="20"/>
          <w:szCs w:val="20"/>
          <w:lang w:eastAsia="fr-FR"/>
        </w:rPr>
        <w:t xml:space="preserve">produite par les </w:t>
      </w:r>
      <w:r w:rsidRPr="00B15634">
        <w:rPr>
          <w:rFonts w:ascii="Arial" w:hAnsi="Arial" w:cs="Arial"/>
          <w:sz w:val="20"/>
          <w:szCs w:val="20"/>
          <w:lang w:eastAsia="fr-FR"/>
        </w:rPr>
        <w:t xml:space="preserve">adipocytes) </w:t>
      </w:r>
    </w:p>
    <w:p w14:paraId="5650A356"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xml:space="preserve">Insulinosensibilisante </w:t>
      </w:r>
    </w:p>
    <w:p w14:paraId="6E97059D"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xml:space="preserve">anti-inflammatoire. </w:t>
      </w:r>
    </w:p>
    <w:p w14:paraId="32BF3D0A"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xml:space="preserve">Action sur le foie, muscles squelettiques et cardiaques et ₵β du pancréas. </w:t>
      </w:r>
    </w:p>
    <w:p w14:paraId="6D957CC6"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xml:space="preserve">Stimule l’oxydation des AG </w:t>
      </w:r>
    </w:p>
    <w:p w14:paraId="1AE0B776"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F847D6">
        <w:rPr>
          <w:rFonts w:ascii="Arial" w:hAnsi="Arial" w:cs="Arial"/>
          <w:b/>
          <w:bCs/>
          <w:sz w:val="20"/>
          <w:szCs w:val="20"/>
          <w:u w:val="single"/>
          <w:lang w:eastAsia="fr-FR"/>
        </w:rPr>
        <w:t>Adipsine</w:t>
      </w:r>
      <w:r w:rsidRPr="00B15634">
        <w:rPr>
          <w:rFonts w:ascii="Arial" w:hAnsi="Arial" w:cs="Arial"/>
          <w:sz w:val="20"/>
          <w:szCs w:val="20"/>
          <w:lang w:eastAsia="fr-FR"/>
        </w:rPr>
        <w:t xml:space="preserve"> (</w:t>
      </w:r>
      <w:r>
        <w:rPr>
          <w:rFonts w:ascii="Arial" w:hAnsi="Arial" w:cs="Arial"/>
          <w:sz w:val="20"/>
          <w:szCs w:val="20"/>
          <w:lang w:eastAsia="fr-FR"/>
        </w:rPr>
        <w:t xml:space="preserve">produite par les </w:t>
      </w:r>
      <w:r w:rsidRPr="00B15634">
        <w:rPr>
          <w:rFonts w:ascii="Arial" w:hAnsi="Arial" w:cs="Arial"/>
          <w:sz w:val="20"/>
          <w:szCs w:val="20"/>
          <w:lang w:eastAsia="fr-FR"/>
        </w:rPr>
        <w:t xml:space="preserve">adipocytes) : Stimule le stockage de TG, inhibe la lipolyse </w:t>
      </w:r>
    </w:p>
    <w:p w14:paraId="39EAE356"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D567D6">
        <w:rPr>
          <w:rFonts w:ascii="Arial" w:hAnsi="Arial" w:cs="Arial"/>
          <w:sz w:val="20"/>
          <w:szCs w:val="20"/>
          <w:u w:val="single"/>
          <w:lang w:eastAsia="fr-FR"/>
        </w:rPr>
        <w:t>Cytokines pro-inflammatoire</w:t>
      </w:r>
      <w:r>
        <w:rPr>
          <w:rFonts w:ascii="Arial" w:hAnsi="Arial" w:cs="Arial"/>
          <w:sz w:val="20"/>
          <w:szCs w:val="20"/>
          <w:u w:val="single"/>
          <w:lang w:eastAsia="fr-FR"/>
        </w:rPr>
        <w:t>s</w:t>
      </w:r>
      <w:r w:rsidRPr="00B15634">
        <w:rPr>
          <w:rFonts w:ascii="Arial" w:hAnsi="Arial" w:cs="Arial"/>
          <w:sz w:val="20"/>
          <w:szCs w:val="20"/>
          <w:lang w:eastAsia="fr-FR"/>
        </w:rPr>
        <w:t xml:space="preserve"> : </w:t>
      </w:r>
    </w:p>
    <w:p w14:paraId="0320404C"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xml:space="preserve">IL6 (adipocytes) diminue les voies de signalisation de la leptine et de l’insuline, </w:t>
      </w:r>
    </w:p>
    <w:p w14:paraId="074F6639"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xml:space="preserve">TNFα (macrophages) induit l’insulinoR, ↑ la lipolyse, </w:t>
      </w:r>
    </w:p>
    <w:p w14:paraId="0C115E8C"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xml:space="preserve">IL1... </w:t>
      </w:r>
    </w:p>
    <w:p w14:paraId="1164D00F"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D567D6">
        <w:rPr>
          <w:rFonts w:ascii="Arial" w:hAnsi="Arial" w:cs="Arial"/>
          <w:sz w:val="20"/>
          <w:szCs w:val="20"/>
          <w:u w:val="single"/>
          <w:lang w:eastAsia="fr-FR"/>
        </w:rPr>
        <w:t>Cytokines anti-inflammatoire</w:t>
      </w:r>
      <w:r>
        <w:rPr>
          <w:rFonts w:ascii="Arial" w:hAnsi="Arial" w:cs="Arial"/>
          <w:sz w:val="20"/>
          <w:szCs w:val="20"/>
          <w:u w:val="single"/>
          <w:lang w:eastAsia="fr-FR"/>
        </w:rPr>
        <w:t>s</w:t>
      </w:r>
      <w:r w:rsidRPr="00B15634">
        <w:rPr>
          <w:rFonts w:ascii="Arial" w:hAnsi="Arial" w:cs="Arial"/>
          <w:sz w:val="20"/>
          <w:szCs w:val="20"/>
          <w:lang w:eastAsia="fr-FR"/>
        </w:rPr>
        <w:t xml:space="preserve"> : </w:t>
      </w:r>
    </w:p>
    <w:p w14:paraId="638E844D"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xml:space="preserve">TGFβ (adipocytes, macrophages) facteur de croissance, expression ↑ dans l’obésité, </w:t>
      </w:r>
    </w:p>
    <w:p w14:paraId="6D766166"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xml:space="preserve">IL10, IL8, MCP1, ... </w:t>
      </w:r>
    </w:p>
    <w:p w14:paraId="718387AE"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D567D6">
        <w:rPr>
          <w:rFonts w:ascii="Arial" w:hAnsi="Arial" w:cs="Arial"/>
          <w:sz w:val="20"/>
          <w:szCs w:val="20"/>
          <w:u w:val="single"/>
          <w:lang w:eastAsia="fr-FR"/>
        </w:rPr>
        <w:t>PAI1</w:t>
      </w:r>
      <w:r w:rsidRPr="00B15634">
        <w:rPr>
          <w:rFonts w:ascii="Arial" w:hAnsi="Arial" w:cs="Arial"/>
          <w:sz w:val="20"/>
          <w:szCs w:val="20"/>
          <w:lang w:eastAsia="fr-FR"/>
        </w:rPr>
        <w:t xml:space="preserve"> (adipocytes) : Lié au developpement de l’insulinoR, ↑ dans l’obésité</w:t>
      </w:r>
    </w:p>
    <w:p w14:paraId="5DF90157" w14:textId="77777777" w:rsidR="00ED4694" w:rsidRPr="00B15634" w:rsidRDefault="00ED4694" w:rsidP="00ED4694">
      <w:pPr>
        <w:pStyle w:val="Sansinterligne"/>
        <w:numPr>
          <w:ilvl w:val="0"/>
          <w:numId w:val="107"/>
        </w:numPr>
        <w:jc w:val="both"/>
        <w:rPr>
          <w:rFonts w:ascii="Arial" w:hAnsi="Arial" w:cs="Arial"/>
          <w:sz w:val="20"/>
          <w:szCs w:val="20"/>
          <w:lang w:eastAsia="fr-FR"/>
        </w:rPr>
      </w:pPr>
      <w:r>
        <w:rPr>
          <w:rFonts w:ascii="Arial" w:hAnsi="Arial" w:cs="Arial"/>
          <w:sz w:val="20"/>
          <w:szCs w:val="20"/>
          <w:lang w:eastAsia="fr-FR"/>
        </w:rPr>
        <w:t>Il existe un s</w:t>
      </w:r>
      <w:r w:rsidRPr="00B15634">
        <w:rPr>
          <w:rFonts w:ascii="Arial" w:hAnsi="Arial" w:cs="Arial"/>
          <w:sz w:val="20"/>
          <w:szCs w:val="20"/>
          <w:lang w:eastAsia="fr-FR"/>
        </w:rPr>
        <w:t>écrétome du TA</w:t>
      </w:r>
      <w:r>
        <w:rPr>
          <w:rFonts w:ascii="Arial" w:hAnsi="Arial" w:cs="Arial"/>
          <w:sz w:val="20"/>
          <w:szCs w:val="20"/>
          <w:lang w:eastAsia="fr-FR"/>
        </w:rPr>
        <w:t xml:space="preserve">, avec production de </w:t>
      </w:r>
      <w:r w:rsidRPr="00B15634">
        <w:rPr>
          <w:rFonts w:ascii="Arial" w:hAnsi="Arial" w:cs="Arial"/>
          <w:sz w:val="20"/>
          <w:szCs w:val="20"/>
          <w:lang w:eastAsia="fr-FR"/>
        </w:rPr>
        <w:t xml:space="preserve">prot, lip, métabolites, ARN non codants, ... </w:t>
      </w:r>
    </w:p>
    <w:p w14:paraId="34B54C6F" w14:textId="77777777" w:rsidR="00ED4694" w:rsidRPr="00B15634" w:rsidRDefault="00ED4694" w:rsidP="00ED4694">
      <w:pPr>
        <w:pStyle w:val="Sansinterligne"/>
        <w:jc w:val="both"/>
        <w:rPr>
          <w:rFonts w:ascii="Arial" w:hAnsi="Arial" w:cs="Arial"/>
          <w:sz w:val="20"/>
          <w:szCs w:val="20"/>
          <w:lang w:eastAsia="fr-FR"/>
        </w:rPr>
      </w:pPr>
    </w:p>
    <w:p w14:paraId="2A421265" w14:textId="77777777" w:rsidR="00ED4694" w:rsidRPr="00B15634" w:rsidRDefault="00ED4694" w:rsidP="00ED4694">
      <w:pPr>
        <w:pStyle w:val="Sansinterligne"/>
        <w:numPr>
          <w:ilvl w:val="0"/>
          <w:numId w:val="152"/>
        </w:numPr>
        <w:jc w:val="both"/>
        <w:rPr>
          <w:rFonts w:ascii="Arial" w:hAnsi="Arial" w:cs="Arial"/>
          <w:color w:val="ED7D31" w:themeColor="accent2"/>
          <w:sz w:val="20"/>
          <w:szCs w:val="20"/>
          <w:u w:val="single"/>
          <w:lang w:eastAsia="fr-FR"/>
        </w:rPr>
      </w:pPr>
      <w:r w:rsidRPr="00B15634">
        <w:rPr>
          <w:rFonts w:ascii="Arial" w:hAnsi="Arial" w:cs="Arial"/>
          <w:color w:val="ED7D31" w:themeColor="accent2"/>
          <w:sz w:val="20"/>
          <w:szCs w:val="20"/>
          <w:u w:val="single"/>
          <w:lang w:eastAsia="fr-FR"/>
        </w:rPr>
        <w:t>Tissu adipeux brun</w:t>
      </w:r>
    </w:p>
    <w:p w14:paraId="43C87EE3"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u w:val="single"/>
          <w:lang w:eastAsia="fr-FR"/>
        </w:rPr>
        <w:t>TA brun</w:t>
      </w:r>
      <w:r w:rsidRPr="00B15634">
        <w:rPr>
          <w:rFonts w:ascii="Arial" w:hAnsi="Arial" w:cs="Arial"/>
          <w:sz w:val="20"/>
          <w:szCs w:val="20"/>
          <w:lang w:eastAsia="fr-FR"/>
        </w:rPr>
        <w:t xml:space="preserve"> : Adipocytes bruns (car richement </w:t>
      </w:r>
      <w:r w:rsidRPr="00C71B21">
        <w:rPr>
          <w:rFonts w:ascii="Arial" w:hAnsi="Arial" w:cs="Arial"/>
          <w:b/>
          <w:bCs/>
          <w:sz w:val="20"/>
          <w:szCs w:val="20"/>
          <w:lang w:eastAsia="fr-FR"/>
        </w:rPr>
        <w:t>vascularisé</w:t>
      </w:r>
      <w:r w:rsidRPr="00B15634">
        <w:rPr>
          <w:rFonts w:ascii="Arial" w:hAnsi="Arial" w:cs="Arial"/>
          <w:sz w:val="20"/>
          <w:szCs w:val="20"/>
          <w:lang w:eastAsia="fr-FR"/>
        </w:rPr>
        <w:t>) → multiloculaires</w:t>
      </w:r>
      <w:r>
        <w:rPr>
          <w:rFonts w:ascii="Arial" w:hAnsi="Arial" w:cs="Arial"/>
          <w:sz w:val="20"/>
          <w:szCs w:val="20"/>
          <w:lang w:eastAsia="fr-FR"/>
        </w:rPr>
        <w:t xml:space="preserve"> (pls gouttelettes lipidiques)</w:t>
      </w:r>
      <w:r w:rsidRPr="00B15634">
        <w:rPr>
          <w:rFonts w:ascii="Arial" w:hAnsi="Arial" w:cs="Arial"/>
          <w:sz w:val="20"/>
          <w:szCs w:val="20"/>
          <w:lang w:eastAsia="fr-FR"/>
        </w:rPr>
        <w:t xml:space="preserve">. </w:t>
      </w:r>
      <w:r>
        <w:rPr>
          <w:rFonts w:ascii="Arial" w:hAnsi="Arial" w:cs="Arial"/>
          <w:sz w:val="20"/>
          <w:szCs w:val="20"/>
          <w:lang w:eastAsia="fr-FR"/>
        </w:rPr>
        <w:t xml:space="preserve">Présence de </w:t>
      </w:r>
      <w:r w:rsidRPr="00C71B21">
        <w:rPr>
          <w:rFonts w:ascii="Arial" w:hAnsi="Arial" w:cs="Arial"/>
          <w:b/>
          <w:bCs/>
          <w:sz w:val="20"/>
          <w:szCs w:val="20"/>
          <w:lang w:eastAsia="fr-FR"/>
        </w:rPr>
        <w:t>mithochondries</w:t>
      </w:r>
      <w:r w:rsidRPr="00B15634">
        <w:rPr>
          <w:rFonts w:ascii="Arial" w:hAnsi="Arial" w:cs="Arial"/>
          <w:sz w:val="20"/>
          <w:szCs w:val="20"/>
          <w:lang w:eastAsia="fr-FR"/>
        </w:rPr>
        <w:t xml:space="preserve"> ++</w:t>
      </w:r>
      <w:r>
        <w:rPr>
          <w:rFonts w:ascii="Arial" w:hAnsi="Arial" w:cs="Arial"/>
          <w:sz w:val="20"/>
          <w:szCs w:val="20"/>
          <w:lang w:eastAsia="fr-FR"/>
        </w:rPr>
        <w:t xml:space="preserve"> (reflet d’une activité énergétique intense)</w:t>
      </w:r>
      <w:r w:rsidRPr="00B15634">
        <w:rPr>
          <w:rFonts w:ascii="Arial" w:hAnsi="Arial" w:cs="Arial"/>
          <w:sz w:val="20"/>
          <w:szCs w:val="20"/>
          <w:lang w:eastAsia="fr-FR"/>
        </w:rPr>
        <w:t xml:space="preserve">. Rôle : </w:t>
      </w:r>
    </w:p>
    <w:p w14:paraId="7DB8AE44"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D567D6">
        <w:rPr>
          <w:rFonts w:ascii="Arial" w:hAnsi="Arial" w:cs="Arial"/>
          <w:sz w:val="20"/>
          <w:szCs w:val="20"/>
          <w:u w:val="single"/>
          <w:lang w:eastAsia="fr-FR"/>
        </w:rPr>
        <w:t xml:space="preserve">Régulation de la </w:t>
      </w:r>
      <w:r w:rsidRPr="003B4075">
        <w:rPr>
          <w:rFonts w:ascii="Arial" w:hAnsi="Arial" w:cs="Arial"/>
          <w:b/>
          <w:bCs/>
          <w:sz w:val="20"/>
          <w:szCs w:val="20"/>
          <w:u w:val="single"/>
          <w:lang w:eastAsia="fr-FR"/>
        </w:rPr>
        <w:t>T° corporelle</w:t>
      </w:r>
      <w:r w:rsidRPr="00B15634">
        <w:rPr>
          <w:rFonts w:ascii="Arial" w:hAnsi="Arial" w:cs="Arial"/>
          <w:sz w:val="20"/>
          <w:szCs w:val="20"/>
          <w:lang w:eastAsia="fr-FR"/>
        </w:rPr>
        <w:t xml:space="preserve"> : </w:t>
      </w:r>
    </w:p>
    <w:p w14:paraId="310264CF"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Dissipe l’énergie sous forme de chaleur</w:t>
      </w:r>
      <w:r>
        <w:rPr>
          <w:rFonts w:ascii="Arial" w:hAnsi="Arial" w:cs="Arial"/>
          <w:sz w:val="20"/>
          <w:szCs w:val="20"/>
          <w:lang w:eastAsia="fr-FR"/>
        </w:rPr>
        <w:t xml:space="preserve"> </w:t>
      </w:r>
      <w:r w:rsidRPr="00B15634">
        <w:rPr>
          <w:rFonts w:ascii="Arial" w:hAnsi="Arial" w:cs="Arial"/>
          <w:sz w:val="20"/>
          <w:szCs w:val="20"/>
          <w:lang w:eastAsia="fr-FR"/>
        </w:rPr>
        <w:t>→</w:t>
      </w:r>
      <w:r>
        <w:rPr>
          <w:rFonts w:ascii="Arial" w:hAnsi="Arial" w:cs="Arial"/>
          <w:sz w:val="20"/>
          <w:szCs w:val="20"/>
          <w:lang w:eastAsia="fr-FR"/>
        </w:rPr>
        <w:t xml:space="preserve"> </w:t>
      </w:r>
      <w:r w:rsidRPr="00B15634">
        <w:rPr>
          <w:rFonts w:ascii="Arial" w:hAnsi="Arial" w:cs="Arial"/>
          <w:sz w:val="20"/>
          <w:szCs w:val="20"/>
          <w:lang w:eastAsia="fr-FR"/>
        </w:rPr>
        <w:t xml:space="preserve">thermogenèse sans frisson. </w:t>
      </w:r>
    </w:p>
    <w:p w14:paraId="43E227A6"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Si exposition au froid</w:t>
      </w:r>
      <w:r>
        <w:rPr>
          <w:rFonts w:ascii="Arial" w:hAnsi="Arial" w:cs="Arial"/>
          <w:sz w:val="20"/>
          <w:szCs w:val="20"/>
          <w:lang w:eastAsia="fr-FR"/>
        </w:rPr>
        <w:t xml:space="preserve"> </w:t>
      </w:r>
      <w:r w:rsidRPr="00B15634">
        <w:rPr>
          <w:rFonts w:ascii="Arial" w:hAnsi="Arial" w:cs="Arial"/>
          <w:sz w:val="20"/>
          <w:szCs w:val="20"/>
          <w:lang w:eastAsia="fr-FR"/>
        </w:rPr>
        <w:t>→</w:t>
      </w:r>
      <w:r>
        <w:rPr>
          <w:rFonts w:ascii="Arial" w:hAnsi="Arial" w:cs="Arial"/>
          <w:sz w:val="20"/>
          <w:szCs w:val="20"/>
          <w:lang w:eastAsia="fr-FR"/>
        </w:rPr>
        <w:t xml:space="preserve"> </w:t>
      </w:r>
      <w:r w:rsidRPr="00B15634">
        <w:rPr>
          <w:rFonts w:ascii="Arial" w:hAnsi="Arial" w:cs="Arial"/>
          <w:sz w:val="20"/>
          <w:szCs w:val="20"/>
          <w:lang w:eastAsia="fr-FR"/>
        </w:rPr>
        <w:t>↑ protéine UCP1 au niveau de la mb de la mitochondrie →</w:t>
      </w:r>
      <w:r>
        <w:rPr>
          <w:rFonts w:ascii="Arial" w:hAnsi="Arial" w:cs="Arial"/>
          <w:sz w:val="20"/>
          <w:szCs w:val="20"/>
          <w:lang w:eastAsia="fr-FR"/>
        </w:rPr>
        <w:t xml:space="preserve"> </w:t>
      </w:r>
      <w:r w:rsidRPr="00B15634">
        <w:rPr>
          <w:rFonts w:ascii="Arial" w:hAnsi="Arial" w:cs="Arial"/>
          <w:sz w:val="20"/>
          <w:szCs w:val="20"/>
          <w:lang w:eastAsia="fr-FR"/>
        </w:rPr>
        <w:t>↑ la respiration et l’oxydation des substrats</w:t>
      </w:r>
      <w:r>
        <w:rPr>
          <w:rFonts w:ascii="Arial" w:hAnsi="Arial" w:cs="Arial"/>
          <w:sz w:val="20"/>
          <w:szCs w:val="20"/>
          <w:lang w:eastAsia="fr-FR"/>
        </w:rPr>
        <w:t xml:space="preserve"> </w:t>
      </w:r>
      <w:r w:rsidRPr="00B15634">
        <w:rPr>
          <w:rFonts w:ascii="Arial" w:hAnsi="Arial" w:cs="Arial"/>
          <w:sz w:val="20"/>
          <w:szCs w:val="20"/>
          <w:lang w:eastAsia="fr-FR"/>
        </w:rPr>
        <w:t>→</w:t>
      </w:r>
      <w:r>
        <w:rPr>
          <w:rFonts w:ascii="Arial" w:hAnsi="Arial" w:cs="Arial"/>
          <w:sz w:val="20"/>
          <w:szCs w:val="20"/>
          <w:lang w:eastAsia="fr-FR"/>
        </w:rPr>
        <w:t xml:space="preserve"> </w:t>
      </w:r>
      <w:r w:rsidRPr="00B15634">
        <w:rPr>
          <w:rFonts w:ascii="Arial" w:hAnsi="Arial" w:cs="Arial"/>
          <w:sz w:val="20"/>
          <w:szCs w:val="20"/>
          <w:lang w:eastAsia="fr-FR"/>
        </w:rPr>
        <w:t xml:space="preserve">production de chaleur plutôt que d’ATP </w:t>
      </w:r>
    </w:p>
    <w:p w14:paraId="5617EBF6"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D567D6">
        <w:rPr>
          <w:rFonts w:ascii="Arial" w:hAnsi="Arial" w:cs="Arial"/>
          <w:sz w:val="20"/>
          <w:szCs w:val="20"/>
          <w:u w:val="single"/>
          <w:lang w:eastAsia="fr-FR"/>
        </w:rPr>
        <w:t xml:space="preserve">Régulation de la </w:t>
      </w:r>
      <w:r w:rsidRPr="003B4075">
        <w:rPr>
          <w:rFonts w:ascii="Arial" w:hAnsi="Arial" w:cs="Arial"/>
          <w:b/>
          <w:bCs/>
          <w:sz w:val="20"/>
          <w:szCs w:val="20"/>
          <w:u w:val="single"/>
          <w:lang w:eastAsia="fr-FR"/>
        </w:rPr>
        <w:t>dépense énergétique</w:t>
      </w:r>
      <w:r w:rsidRPr="00B15634">
        <w:rPr>
          <w:rFonts w:ascii="Arial" w:hAnsi="Arial" w:cs="Arial"/>
          <w:sz w:val="20"/>
          <w:szCs w:val="20"/>
          <w:lang w:eastAsia="fr-FR"/>
        </w:rPr>
        <w:t xml:space="preserve"> : protègerait contre le développement de l’obésité en ↑ l’oxydation du glu et de AG </w:t>
      </w:r>
    </w:p>
    <w:p w14:paraId="6EC42258"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sensation de rassasiement et de satiété.</w:t>
      </w:r>
    </w:p>
    <w:p w14:paraId="75666BF9"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Rôle dans le stress red-ox </w:t>
      </w:r>
    </w:p>
    <w:p w14:paraId="75491FC6" w14:textId="77777777" w:rsidR="00ED4694" w:rsidRPr="00B15634" w:rsidRDefault="00ED4694" w:rsidP="00ED4694">
      <w:pPr>
        <w:pStyle w:val="Sansinterligne"/>
        <w:jc w:val="both"/>
        <w:rPr>
          <w:rFonts w:ascii="Arial" w:hAnsi="Arial" w:cs="Arial"/>
          <w:sz w:val="20"/>
          <w:szCs w:val="20"/>
          <w:lang w:eastAsia="fr-FR"/>
        </w:rPr>
      </w:pPr>
    </w:p>
    <w:p w14:paraId="1154D390" w14:textId="77777777" w:rsidR="00ED4694" w:rsidRPr="00B15634" w:rsidRDefault="00ED4694" w:rsidP="00ED4694">
      <w:pPr>
        <w:pStyle w:val="Sansinterligne"/>
        <w:jc w:val="both"/>
        <w:rPr>
          <w:rFonts w:ascii="Arial" w:hAnsi="Arial" w:cs="Arial"/>
          <w:sz w:val="20"/>
          <w:szCs w:val="20"/>
          <w:lang w:eastAsia="fr-FR"/>
        </w:rPr>
      </w:pPr>
      <w:r w:rsidRPr="003B4075">
        <w:rPr>
          <w:rFonts w:ascii="Arial" w:hAnsi="Arial" w:cs="Arial"/>
          <w:b/>
          <w:bCs/>
          <w:sz w:val="20"/>
          <w:szCs w:val="20"/>
          <w:u w:val="single"/>
          <w:lang w:eastAsia="fr-FR"/>
        </w:rPr>
        <w:t>TA beige</w:t>
      </w:r>
      <w:r w:rsidRPr="00B15634">
        <w:rPr>
          <w:rFonts w:ascii="Arial" w:hAnsi="Arial" w:cs="Arial"/>
          <w:sz w:val="20"/>
          <w:szCs w:val="20"/>
          <w:lang w:eastAsia="fr-FR"/>
        </w:rPr>
        <w:t xml:space="preserve"> : caractéristique</w:t>
      </w:r>
      <w:r>
        <w:rPr>
          <w:rFonts w:ascii="Arial" w:hAnsi="Arial" w:cs="Arial"/>
          <w:sz w:val="20"/>
          <w:szCs w:val="20"/>
          <w:lang w:eastAsia="fr-FR"/>
        </w:rPr>
        <w:t>s semblables au</w:t>
      </w:r>
      <w:r w:rsidRPr="00B15634">
        <w:rPr>
          <w:rFonts w:ascii="Arial" w:hAnsi="Arial" w:cs="Arial"/>
          <w:sz w:val="20"/>
          <w:szCs w:val="20"/>
          <w:lang w:eastAsia="fr-FR"/>
        </w:rPr>
        <w:t xml:space="preserve"> TA brun mais </w:t>
      </w:r>
      <w:r>
        <w:rPr>
          <w:rFonts w:ascii="Arial" w:hAnsi="Arial" w:cs="Arial"/>
          <w:sz w:val="20"/>
          <w:szCs w:val="20"/>
          <w:lang w:eastAsia="fr-FR"/>
        </w:rPr>
        <w:t xml:space="preserve">présent </w:t>
      </w:r>
      <w:r w:rsidRPr="00B15634">
        <w:rPr>
          <w:rFonts w:ascii="Arial" w:hAnsi="Arial" w:cs="Arial"/>
          <w:sz w:val="20"/>
          <w:szCs w:val="20"/>
          <w:lang w:eastAsia="fr-FR"/>
        </w:rPr>
        <w:t xml:space="preserve">au sein du TA blanc. </w:t>
      </w:r>
    </w:p>
    <w:p w14:paraId="7E44ECB0" w14:textId="77777777" w:rsidR="00ED4694" w:rsidRPr="00B15634" w:rsidRDefault="00ED4694" w:rsidP="00ED4694">
      <w:pPr>
        <w:pStyle w:val="Sansinterligne"/>
        <w:jc w:val="both"/>
        <w:rPr>
          <w:rFonts w:ascii="Arial" w:hAnsi="Arial" w:cs="Arial"/>
          <w:sz w:val="20"/>
          <w:szCs w:val="20"/>
          <w:lang w:eastAsia="fr-FR"/>
        </w:rPr>
      </w:pPr>
    </w:p>
    <w:p w14:paraId="353910AD" w14:textId="77777777" w:rsidR="00ED4694" w:rsidRPr="00B15634" w:rsidRDefault="00ED4694" w:rsidP="00ED4694">
      <w:pPr>
        <w:pStyle w:val="Sansinterligne"/>
        <w:numPr>
          <w:ilvl w:val="0"/>
          <w:numId w:val="152"/>
        </w:numPr>
        <w:jc w:val="both"/>
        <w:rPr>
          <w:rFonts w:ascii="Arial" w:hAnsi="Arial" w:cs="Arial"/>
          <w:color w:val="ED7D31" w:themeColor="accent2"/>
          <w:sz w:val="20"/>
          <w:szCs w:val="20"/>
          <w:u w:val="single"/>
          <w:lang w:eastAsia="fr-FR"/>
        </w:rPr>
      </w:pPr>
      <w:r w:rsidRPr="00B15634">
        <w:rPr>
          <w:rFonts w:ascii="Arial" w:hAnsi="Arial" w:cs="Arial"/>
          <w:noProof/>
          <w:color w:val="ED7D31" w:themeColor="accent2"/>
          <w:sz w:val="20"/>
          <w:szCs w:val="20"/>
          <w:u w:val="single"/>
          <w:lang w:eastAsia="fr-FR"/>
        </w:rPr>
        <w:drawing>
          <wp:anchor distT="0" distB="0" distL="114300" distR="114300" simplePos="0" relativeHeight="251704320" behindDoc="1" locked="0" layoutInCell="1" allowOverlap="1" wp14:anchorId="218A3C0A" wp14:editId="5A6F1AD1">
            <wp:simplePos x="0" y="0"/>
            <wp:positionH relativeFrom="column">
              <wp:posOffset>5183332</wp:posOffset>
            </wp:positionH>
            <wp:positionV relativeFrom="paragraph">
              <wp:posOffset>29614</wp:posOffset>
            </wp:positionV>
            <wp:extent cx="1569085" cy="1068705"/>
            <wp:effectExtent l="0" t="0" r="5715" b="0"/>
            <wp:wrapTight wrapText="bothSides">
              <wp:wrapPolygon edited="0">
                <wp:start x="0" y="0"/>
                <wp:lineTo x="0" y="21305"/>
                <wp:lineTo x="21504" y="21305"/>
                <wp:lineTo x="21504" y="0"/>
                <wp:lineTo x="0" y="0"/>
              </wp:wrapPolygon>
            </wp:wrapTight>
            <wp:docPr id="115018606" name="Image 253" descr="page11image55209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11image55209553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69085" cy="1068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color w:val="ED7D31" w:themeColor="accent2"/>
          <w:sz w:val="20"/>
          <w:szCs w:val="20"/>
          <w:u w:val="single"/>
          <w:lang w:eastAsia="fr-FR"/>
        </w:rPr>
        <w:t xml:space="preserve">TA </w:t>
      </w:r>
      <w:r>
        <w:rPr>
          <w:rFonts w:ascii="Arial" w:hAnsi="Arial" w:cs="Arial"/>
          <w:color w:val="ED7D31" w:themeColor="accent2"/>
          <w:sz w:val="20"/>
          <w:szCs w:val="20"/>
          <w:u w:val="single"/>
          <w:lang w:eastAsia="fr-FR"/>
        </w:rPr>
        <w:t xml:space="preserve">blanc </w:t>
      </w:r>
      <w:r w:rsidRPr="00B15634">
        <w:rPr>
          <w:rFonts w:ascii="Arial" w:hAnsi="Arial" w:cs="Arial"/>
          <w:color w:val="ED7D31" w:themeColor="accent2"/>
          <w:sz w:val="20"/>
          <w:szCs w:val="20"/>
          <w:u w:val="single"/>
          <w:lang w:eastAsia="fr-FR"/>
        </w:rPr>
        <w:t xml:space="preserve">sous-cutané et viscéral </w:t>
      </w:r>
    </w:p>
    <w:p w14:paraId="694196AF"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TA sous-cutané : </w:t>
      </w:r>
    </w:p>
    <w:p w14:paraId="143EAF9D" w14:textId="77777777" w:rsidR="00ED4694" w:rsidRPr="002D5966" w:rsidRDefault="00ED4694" w:rsidP="00ED4694">
      <w:pPr>
        <w:pStyle w:val="Sansinterligne"/>
        <w:numPr>
          <w:ilvl w:val="0"/>
          <w:numId w:val="140"/>
        </w:numPr>
        <w:jc w:val="both"/>
        <w:rPr>
          <w:rFonts w:ascii="Arial" w:hAnsi="Arial" w:cs="Arial"/>
          <w:b/>
          <w:bCs/>
          <w:sz w:val="20"/>
          <w:szCs w:val="20"/>
          <w:lang w:eastAsia="fr-FR"/>
        </w:rPr>
      </w:pPr>
      <w:r w:rsidRPr="002D5966">
        <w:rPr>
          <w:rFonts w:ascii="Arial" w:hAnsi="Arial" w:cs="Arial"/>
          <w:b/>
          <w:bCs/>
          <w:sz w:val="20"/>
          <w:szCs w:val="20"/>
          <w:lang w:eastAsia="fr-FR"/>
        </w:rPr>
        <w:t>Distribution gynoïde</w:t>
      </w:r>
    </w:p>
    <w:p w14:paraId="43E3CD10"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Localisation 2 couches : 1 profonde (plus touchée par l’obésité) et 1 superficielle </w:t>
      </w:r>
    </w:p>
    <w:p w14:paraId="153EAD0A"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Réparti sur tou</w:t>
      </w:r>
      <w:r>
        <w:rPr>
          <w:rFonts w:ascii="Arial" w:hAnsi="Arial" w:cs="Arial"/>
          <w:sz w:val="20"/>
          <w:szCs w:val="20"/>
          <w:lang w:eastAsia="fr-FR"/>
        </w:rPr>
        <w:t>t</w:t>
      </w:r>
      <w:r w:rsidRPr="00B15634">
        <w:rPr>
          <w:rFonts w:ascii="Arial" w:hAnsi="Arial" w:cs="Arial"/>
          <w:sz w:val="20"/>
          <w:szCs w:val="20"/>
          <w:lang w:eastAsia="fr-FR"/>
        </w:rPr>
        <w:t xml:space="preserve"> le corps mais épaisseur variable </w:t>
      </w:r>
    </w:p>
    <w:p w14:paraId="20812463"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xml:space="preserve">Au dessus de la ceinture pour les hommes (ventre, épaules) </w:t>
      </w:r>
    </w:p>
    <w:p w14:paraId="155DB5F2"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xml:space="preserve">En dessous de la ceinture pour les femmes (cuisses-hanches-fesses) </w:t>
      </w:r>
    </w:p>
    <w:p w14:paraId="4719BF6F"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fldChar w:fldCharType="begin"/>
      </w:r>
      <w:r w:rsidRPr="00B15634">
        <w:rPr>
          <w:rFonts w:ascii="Arial" w:hAnsi="Arial" w:cs="Arial"/>
          <w:sz w:val="20"/>
          <w:szCs w:val="20"/>
          <w:lang w:eastAsia="fr-FR"/>
        </w:rPr>
        <w:instrText xml:space="preserve"> INCLUDEPICTURE "/Users/alienorprudhomme/Library/Group Containers/UBF8T346G9.ms/WebArchiveCopyPasteTempFiles/com.microsoft.Word/page11image552095232" \* MERGEFORMATINET </w:instrText>
      </w:r>
      <w:r w:rsidRPr="00B15634">
        <w:rPr>
          <w:rFonts w:ascii="Arial" w:hAnsi="Arial" w:cs="Arial"/>
          <w:sz w:val="20"/>
          <w:szCs w:val="20"/>
          <w:lang w:eastAsia="fr-FR"/>
        </w:rPr>
        <w:fldChar w:fldCharType="separate"/>
      </w:r>
      <w:r w:rsidRPr="00B15634">
        <w:rPr>
          <w:rFonts w:ascii="Arial" w:hAnsi="Arial" w:cs="Arial"/>
          <w:sz w:val="20"/>
          <w:szCs w:val="20"/>
          <w:lang w:eastAsia="fr-FR"/>
        </w:rPr>
        <w:fldChar w:fldCharType="end"/>
      </w:r>
      <w:r w:rsidRPr="00B15634">
        <w:rPr>
          <w:rFonts w:ascii="Arial" w:hAnsi="Arial" w:cs="Arial"/>
          <w:sz w:val="20"/>
          <w:szCs w:val="20"/>
          <w:lang w:eastAsia="fr-FR"/>
        </w:rPr>
        <w:fldChar w:fldCharType="begin"/>
      </w:r>
      <w:r w:rsidRPr="00B15634">
        <w:rPr>
          <w:rFonts w:ascii="Arial" w:hAnsi="Arial" w:cs="Arial"/>
          <w:sz w:val="20"/>
          <w:szCs w:val="20"/>
          <w:lang w:eastAsia="fr-FR"/>
        </w:rPr>
        <w:instrText xml:space="preserve"> INCLUDEPICTURE "/Users/alienorprudhomme/Library/Group Containers/UBF8T346G9.ms/WebArchiveCopyPasteTempFiles/com.microsoft.Word/page11image552095536" \* MERGEFORMATINET </w:instrText>
      </w:r>
      <w:r w:rsidRPr="00B15634">
        <w:rPr>
          <w:rFonts w:ascii="Arial" w:hAnsi="Arial" w:cs="Arial"/>
          <w:sz w:val="20"/>
          <w:szCs w:val="20"/>
          <w:lang w:eastAsia="fr-FR"/>
        </w:rPr>
        <w:fldChar w:fldCharType="separate"/>
      </w:r>
      <w:r w:rsidRPr="00B15634">
        <w:rPr>
          <w:rFonts w:ascii="Arial" w:hAnsi="Arial" w:cs="Arial"/>
          <w:sz w:val="20"/>
          <w:szCs w:val="20"/>
          <w:lang w:eastAsia="fr-FR"/>
        </w:rPr>
        <w:fldChar w:fldCharType="end"/>
      </w:r>
      <w:r w:rsidRPr="00B15634">
        <w:rPr>
          <w:rFonts w:ascii="Arial" w:hAnsi="Arial" w:cs="Arial"/>
          <w:sz w:val="20"/>
          <w:szCs w:val="20"/>
          <w:lang w:eastAsia="fr-FR"/>
        </w:rPr>
        <w:t xml:space="preserve">Pas de sensibilité notable à l’insuline </w:t>
      </w:r>
    </w:p>
    <w:p w14:paraId="41D1D9D8" w14:textId="77777777" w:rsidR="00ED4694" w:rsidRPr="00B15634" w:rsidRDefault="00ED4694" w:rsidP="00ED4694">
      <w:pPr>
        <w:pStyle w:val="Sansinterligne"/>
        <w:jc w:val="both"/>
        <w:rPr>
          <w:rFonts w:ascii="Arial" w:hAnsi="Arial" w:cs="Arial"/>
          <w:sz w:val="20"/>
          <w:szCs w:val="20"/>
          <w:lang w:eastAsia="fr-FR"/>
        </w:rPr>
      </w:pPr>
    </w:p>
    <w:p w14:paraId="2A9F091D"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TA viscéral : </w:t>
      </w:r>
    </w:p>
    <w:p w14:paraId="322D689D"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Distribution androïde </w:t>
      </w:r>
    </w:p>
    <w:p w14:paraId="13132907"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Localisation : Autour des </w:t>
      </w:r>
      <w:r w:rsidRPr="00066E74">
        <w:rPr>
          <w:rFonts w:ascii="Arial" w:hAnsi="Arial" w:cs="Arial"/>
          <w:b/>
          <w:bCs/>
          <w:sz w:val="20"/>
          <w:szCs w:val="20"/>
          <w:lang w:eastAsia="fr-FR"/>
        </w:rPr>
        <w:t>organes internes</w:t>
      </w:r>
      <w:r w:rsidRPr="00B15634">
        <w:rPr>
          <w:rFonts w:ascii="Arial" w:hAnsi="Arial" w:cs="Arial"/>
          <w:sz w:val="20"/>
          <w:szCs w:val="20"/>
          <w:lang w:eastAsia="fr-FR"/>
        </w:rPr>
        <w:t xml:space="preserve"> : omental (autour du foie, de l’intestin) et mésentérique (accolé à l’intestin) et en rétropéritonéal </w:t>
      </w:r>
    </w:p>
    <w:p w14:paraId="6119AAC9"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Infiltration de ₵ immunitaires→cytokines proinflammatoires. </w:t>
      </w:r>
    </w:p>
    <w:p w14:paraId="30B9D888"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Sensibilité à l’insuline +++ </w:t>
      </w:r>
      <w:r>
        <w:rPr>
          <w:rFonts w:ascii="Arial" w:hAnsi="Arial" w:cs="Arial"/>
          <w:sz w:val="20"/>
          <w:szCs w:val="20"/>
          <w:lang w:eastAsia="fr-FR"/>
        </w:rPr>
        <w:t xml:space="preserve">par rapport au </w:t>
      </w:r>
      <w:r w:rsidRPr="00B15634">
        <w:rPr>
          <w:rFonts w:ascii="Arial" w:hAnsi="Arial" w:cs="Arial"/>
          <w:sz w:val="20"/>
          <w:szCs w:val="20"/>
          <w:lang w:eastAsia="fr-FR"/>
        </w:rPr>
        <w:t xml:space="preserve">TA </w:t>
      </w:r>
      <w:r>
        <w:rPr>
          <w:rFonts w:ascii="Arial" w:hAnsi="Arial" w:cs="Arial"/>
          <w:sz w:val="20"/>
          <w:szCs w:val="20"/>
          <w:lang w:eastAsia="fr-FR"/>
        </w:rPr>
        <w:t>sous-cutané (SC)</w:t>
      </w:r>
    </w:p>
    <w:p w14:paraId="64B4A861"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Drainé par le système porte → peut favoriser les dysfonctions hépatiques. </w:t>
      </w:r>
    </w:p>
    <w:p w14:paraId="01AC7C51"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Chez individus minces SC</w:t>
      </w:r>
      <w:r>
        <w:rPr>
          <w:rFonts w:ascii="Arial" w:hAnsi="Arial" w:cs="Arial"/>
          <w:sz w:val="20"/>
          <w:szCs w:val="20"/>
          <w:lang w:eastAsia="fr-FR"/>
        </w:rPr>
        <w:t xml:space="preserve"> </w:t>
      </w:r>
      <w:r w:rsidRPr="00B15634">
        <w:rPr>
          <w:rFonts w:ascii="Arial" w:hAnsi="Arial" w:cs="Arial"/>
          <w:sz w:val="20"/>
          <w:szCs w:val="20"/>
          <w:lang w:eastAsia="fr-FR"/>
        </w:rPr>
        <w:t>≈</w:t>
      </w:r>
      <w:r>
        <w:rPr>
          <w:rFonts w:ascii="Arial" w:hAnsi="Arial" w:cs="Arial"/>
          <w:sz w:val="20"/>
          <w:szCs w:val="20"/>
          <w:lang w:eastAsia="fr-FR"/>
        </w:rPr>
        <w:t xml:space="preserve"> </w:t>
      </w:r>
      <w:r w:rsidRPr="00B15634">
        <w:rPr>
          <w:rFonts w:ascii="Arial" w:hAnsi="Arial" w:cs="Arial"/>
          <w:sz w:val="20"/>
          <w:szCs w:val="20"/>
          <w:lang w:eastAsia="fr-FR"/>
        </w:rPr>
        <w:t>80% et V</w:t>
      </w:r>
      <w:r>
        <w:rPr>
          <w:rFonts w:ascii="Arial" w:hAnsi="Arial" w:cs="Arial"/>
          <w:sz w:val="20"/>
          <w:szCs w:val="20"/>
          <w:lang w:eastAsia="fr-FR"/>
        </w:rPr>
        <w:t xml:space="preserve"> </w:t>
      </w:r>
      <w:r w:rsidRPr="00B15634">
        <w:rPr>
          <w:rFonts w:ascii="Arial" w:hAnsi="Arial" w:cs="Arial"/>
          <w:sz w:val="20"/>
          <w:szCs w:val="20"/>
          <w:lang w:eastAsia="fr-FR"/>
        </w:rPr>
        <w:t>≈</w:t>
      </w:r>
      <w:r>
        <w:rPr>
          <w:rFonts w:ascii="Arial" w:hAnsi="Arial" w:cs="Arial"/>
          <w:sz w:val="20"/>
          <w:szCs w:val="20"/>
          <w:lang w:eastAsia="fr-FR"/>
        </w:rPr>
        <w:t xml:space="preserve"> </w:t>
      </w:r>
      <w:r w:rsidRPr="00B15634">
        <w:rPr>
          <w:rFonts w:ascii="Arial" w:hAnsi="Arial" w:cs="Arial"/>
          <w:sz w:val="20"/>
          <w:szCs w:val="20"/>
          <w:lang w:eastAsia="fr-FR"/>
        </w:rPr>
        <w:t>20%</w:t>
      </w:r>
    </w:p>
    <w:p w14:paraId="5129D231"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TA viscérale→</w:t>
      </w:r>
      <w:r>
        <w:rPr>
          <w:rFonts w:ascii="Arial" w:hAnsi="Arial" w:cs="Arial"/>
          <w:sz w:val="20"/>
          <w:szCs w:val="20"/>
          <w:lang w:eastAsia="fr-FR"/>
        </w:rPr>
        <w:t xml:space="preserve"> </w:t>
      </w:r>
      <w:r w:rsidRPr="00B15634">
        <w:rPr>
          <w:rFonts w:ascii="Arial" w:hAnsi="Arial" w:cs="Arial"/>
          <w:sz w:val="20"/>
          <w:szCs w:val="20"/>
          <w:lang w:eastAsia="fr-FR"/>
        </w:rPr>
        <w:t xml:space="preserve">risque ↑ de comorbidités </w:t>
      </w:r>
    </w:p>
    <w:p w14:paraId="4C71866E" w14:textId="77777777" w:rsidR="00ED4694" w:rsidRPr="00B15634" w:rsidRDefault="00ED4694" w:rsidP="00ED4694">
      <w:pPr>
        <w:pStyle w:val="Sansinterligne"/>
        <w:jc w:val="both"/>
        <w:rPr>
          <w:rFonts w:ascii="Arial" w:hAnsi="Arial" w:cs="Arial"/>
          <w:sz w:val="20"/>
          <w:szCs w:val="20"/>
          <w:lang w:eastAsia="fr-FR"/>
        </w:rPr>
      </w:pPr>
    </w:p>
    <w:p w14:paraId="3A3F18A1" w14:textId="77777777" w:rsidR="00ED4694" w:rsidRPr="00B15634" w:rsidRDefault="00ED4694" w:rsidP="00ED4694">
      <w:pPr>
        <w:pStyle w:val="Sansinterligne"/>
        <w:numPr>
          <w:ilvl w:val="0"/>
          <w:numId w:val="152"/>
        </w:numPr>
        <w:jc w:val="both"/>
        <w:rPr>
          <w:rFonts w:ascii="Arial" w:hAnsi="Arial" w:cs="Arial"/>
          <w:color w:val="ED7D31" w:themeColor="accent2"/>
          <w:sz w:val="20"/>
          <w:szCs w:val="20"/>
          <w:u w:val="single"/>
          <w:lang w:eastAsia="fr-FR"/>
        </w:rPr>
      </w:pPr>
      <w:r w:rsidRPr="00B15634">
        <w:rPr>
          <w:rFonts w:ascii="Arial" w:hAnsi="Arial" w:cs="Arial"/>
          <w:color w:val="ED7D31" w:themeColor="accent2"/>
          <w:sz w:val="20"/>
          <w:szCs w:val="20"/>
          <w:u w:val="single"/>
          <w:lang w:eastAsia="fr-FR"/>
        </w:rPr>
        <w:t xml:space="preserve">Apports caloriques des nutriments </w:t>
      </w:r>
    </w:p>
    <w:p w14:paraId="21A0BD32" w14:textId="77777777" w:rsidR="00ED4694" w:rsidRPr="00B15634" w:rsidRDefault="00ED4694" w:rsidP="00ED4694">
      <w:pPr>
        <w:pStyle w:val="Sansinterligne"/>
        <w:numPr>
          <w:ilvl w:val="0"/>
          <w:numId w:val="153"/>
        </w:numPr>
        <w:jc w:val="both"/>
        <w:rPr>
          <w:rFonts w:ascii="Arial" w:hAnsi="Arial" w:cs="Arial"/>
          <w:sz w:val="20"/>
          <w:szCs w:val="20"/>
          <w:u w:val="single"/>
          <w:lang w:eastAsia="fr-FR"/>
        </w:rPr>
      </w:pPr>
      <w:r w:rsidRPr="00B15634">
        <w:rPr>
          <w:rFonts w:ascii="Arial" w:hAnsi="Arial" w:cs="Arial"/>
          <w:sz w:val="20"/>
          <w:szCs w:val="20"/>
          <w:u w:val="single"/>
          <w:lang w:eastAsia="fr-FR"/>
        </w:rPr>
        <w:t>Lipides = 9 kcal/g</w:t>
      </w:r>
    </w:p>
    <w:p w14:paraId="2E86DF70"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Aliments gras → grande densité énergétique + effet rassasiant ↓ </w:t>
      </w:r>
    </w:p>
    <w:p w14:paraId="07368EFA"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Capacité de Stockage des lipides sous forme de TG quasi illimitée. </w:t>
      </w:r>
    </w:p>
    <w:p w14:paraId="5317C4A4" w14:textId="77777777" w:rsidR="00ED4694" w:rsidRPr="00B15634" w:rsidRDefault="00ED4694" w:rsidP="00ED4694">
      <w:pPr>
        <w:pStyle w:val="Sansinterligne"/>
        <w:numPr>
          <w:ilvl w:val="0"/>
          <w:numId w:val="153"/>
        </w:numPr>
        <w:jc w:val="both"/>
        <w:rPr>
          <w:rFonts w:ascii="Arial" w:hAnsi="Arial" w:cs="Arial"/>
          <w:sz w:val="20"/>
          <w:szCs w:val="20"/>
          <w:u w:val="single"/>
          <w:lang w:eastAsia="fr-FR"/>
        </w:rPr>
      </w:pPr>
      <w:r w:rsidRPr="00B15634">
        <w:rPr>
          <w:rFonts w:ascii="Arial" w:hAnsi="Arial" w:cs="Arial"/>
          <w:sz w:val="20"/>
          <w:szCs w:val="20"/>
          <w:u w:val="single"/>
          <w:lang w:eastAsia="fr-FR"/>
        </w:rPr>
        <w:t>Glucides = 4 kcal/g</w:t>
      </w:r>
    </w:p>
    <w:p w14:paraId="51DFADC8"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Stock de glycogène faible. Donc quand besoins </w:t>
      </w:r>
    </w:p>
    <w:p w14:paraId="0D1AA235"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Si peu de glucides</w:t>
      </w:r>
      <w:r>
        <w:rPr>
          <w:rFonts w:ascii="Arial" w:hAnsi="Arial" w:cs="Arial"/>
          <w:sz w:val="20"/>
          <w:szCs w:val="20"/>
          <w:lang w:eastAsia="fr-FR"/>
        </w:rPr>
        <w:t xml:space="preserve"> </w:t>
      </w:r>
      <w:r w:rsidRPr="00B15634">
        <w:rPr>
          <w:rFonts w:ascii="Arial" w:hAnsi="Arial" w:cs="Arial"/>
          <w:sz w:val="20"/>
          <w:szCs w:val="20"/>
          <w:lang w:eastAsia="fr-FR"/>
        </w:rPr>
        <w:t>→</w:t>
      </w:r>
      <w:r>
        <w:rPr>
          <w:rFonts w:ascii="Arial" w:hAnsi="Arial" w:cs="Arial"/>
          <w:sz w:val="20"/>
          <w:szCs w:val="20"/>
          <w:lang w:eastAsia="fr-FR"/>
        </w:rPr>
        <w:t xml:space="preserve"> </w:t>
      </w:r>
      <w:r w:rsidRPr="00B15634">
        <w:rPr>
          <w:rFonts w:ascii="Arial" w:hAnsi="Arial" w:cs="Arial"/>
          <w:sz w:val="20"/>
          <w:szCs w:val="20"/>
          <w:lang w:eastAsia="fr-FR"/>
        </w:rPr>
        <w:t>consommation glycogène puis de TG</w:t>
      </w:r>
    </w:p>
    <w:p w14:paraId="51CD88D8"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lastRenderedPageBreak/>
        <w:t>→ Si apport de sucre</w:t>
      </w:r>
      <w:r>
        <w:rPr>
          <w:rFonts w:ascii="Arial" w:hAnsi="Arial" w:cs="Arial"/>
          <w:sz w:val="20"/>
          <w:szCs w:val="20"/>
          <w:lang w:eastAsia="fr-FR"/>
        </w:rPr>
        <w:t xml:space="preserve"> </w:t>
      </w:r>
      <w:r w:rsidRPr="00B15634">
        <w:rPr>
          <w:rFonts w:ascii="Arial" w:hAnsi="Arial" w:cs="Arial"/>
          <w:sz w:val="20"/>
          <w:szCs w:val="20"/>
          <w:lang w:eastAsia="fr-FR"/>
        </w:rPr>
        <w:t>→</w:t>
      </w:r>
      <w:r>
        <w:rPr>
          <w:rFonts w:ascii="Arial" w:hAnsi="Arial" w:cs="Arial"/>
          <w:sz w:val="20"/>
          <w:szCs w:val="20"/>
          <w:lang w:eastAsia="fr-FR"/>
        </w:rPr>
        <w:t xml:space="preserve"> </w:t>
      </w:r>
      <w:r w:rsidRPr="00B15634">
        <w:rPr>
          <w:rFonts w:ascii="Arial" w:hAnsi="Arial" w:cs="Arial"/>
          <w:sz w:val="20"/>
          <w:szCs w:val="20"/>
          <w:lang w:eastAsia="fr-FR"/>
        </w:rPr>
        <w:t>pas de consommation de TG → ↑</w:t>
      </w:r>
      <w:r>
        <w:rPr>
          <w:rFonts w:ascii="Arial" w:hAnsi="Arial" w:cs="Arial"/>
          <w:sz w:val="20"/>
          <w:szCs w:val="20"/>
          <w:lang w:eastAsia="fr-FR"/>
        </w:rPr>
        <w:t xml:space="preserve"> </w:t>
      </w:r>
      <w:r w:rsidRPr="00B15634">
        <w:rPr>
          <w:rFonts w:ascii="Arial" w:hAnsi="Arial" w:cs="Arial"/>
          <w:sz w:val="20"/>
          <w:szCs w:val="20"/>
          <w:lang w:eastAsia="fr-FR"/>
        </w:rPr>
        <w:t xml:space="preserve">Stockage des TG </w:t>
      </w:r>
    </w:p>
    <w:p w14:paraId="5507AC25" w14:textId="77777777" w:rsidR="00ED4694" w:rsidRPr="00B15634" w:rsidRDefault="00ED4694" w:rsidP="00ED4694">
      <w:pPr>
        <w:pStyle w:val="Sansinterligne"/>
        <w:numPr>
          <w:ilvl w:val="0"/>
          <w:numId w:val="153"/>
        </w:numPr>
        <w:jc w:val="both"/>
        <w:rPr>
          <w:rFonts w:ascii="Arial" w:hAnsi="Arial" w:cs="Arial"/>
          <w:sz w:val="20"/>
          <w:szCs w:val="20"/>
          <w:lang w:eastAsia="fr-FR"/>
        </w:rPr>
      </w:pPr>
      <w:r w:rsidRPr="00B15634">
        <w:rPr>
          <w:rFonts w:ascii="Arial" w:hAnsi="Arial" w:cs="Arial"/>
          <w:sz w:val="20"/>
          <w:szCs w:val="20"/>
          <w:u w:val="single"/>
          <w:lang w:eastAsia="fr-FR"/>
        </w:rPr>
        <w:t>Protéines = 4 kcal/g</w:t>
      </w:r>
    </w:p>
    <w:p w14:paraId="2263F3F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Induisent une forte thermogenèse d’alimentation </w:t>
      </w:r>
    </w:p>
    <w:p w14:paraId="6F9218A0"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Induisent un fort rassasiement</w:t>
      </w:r>
    </w:p>
    <w:p w14:paraId="52C7952E"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Fonction non énergétique si apport suffisant. </w:t>
      </w:r>
    </w:p>
    <w:p w14:paraId="4DB2E4A5" w14:textId="77777777" w:rsidR="00ED4694" w:rsidRPr="00B15634" w:rsidRDefault="00ED4694" w:rsidP="00ED4694">
      <w:pPr>
        <w:pStyle w:val="Sansinterligne"/>
        <w:numPr>
          <w:ilvl w:val="0"/>
          <w:numId w:val="153"/>
        </w:numPr>
        <w:jc w:val="both"/>
        <w:rPr>
          <w:rFonts w:ascii="Arial" w:hAnsi="Arial" w:cs="Arial"/>
          <w:sz w:val="20"/>
          <w:szCs w:val="20"/>
          <w:u w:val="single"/>
          <w:lang w:eastAsia="fr-FR"/>
        </w:rPr>
      </w:pPr>
      <w:r w:rsidRPr="00B15634">
        <w:rPr>
          <w:rFonts w:ascii="Arial" w:hAnsi="Arial" w:cs="Arial"/>
          <w:sz w:val="20"/>
          <w:szCs w:val="20"/>
          <w:u w:val="single"/>
          <w:lang w:eastAsia="fr-FR"/>
        </w:rPr>
        <w:t>Fibres alimentaires = 2 kcal/g</w:t>
      </w:r>
    </w:p>
    <w:p w14:paraId="62FA6D19"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Induisent un fort rassasiement, ralentissement vidange gastrique </w:t>
      </w:r>
    </w:p>
    <w:p w14:paraId="3C384C26" w14:textId="77777777" w:rsidR="00ED4694" w:rsidRPr="00B15634" w:rsidRDefault="00ED4694" w:rsidP="00ED4694">
      <w:pPr>
        <w:pStyle w:val="Sansinterligne"/>
        <w:numPr>
          <w:ilvl w:val="0"/>
          <w:numId w:val="153"/>
        </w:numPr>
        <w:jc w:val="both"/>
        <w:rPr>
          <w:rFonts w:ascii="Arial" w:hAnsi="Arial" w:cs="Arial"/>
          <w:sz w:val="20"/>
          <w:szCs w:val="20"/>
          <w:u w:val="single"/>
          <w:lang w:eastAsia="fr-FR"/>
        </w:rPr>
      </w:pPr>
      <w:r w:rsidRPr="00B15634">
        <w:rPr>
          <w:rFonts w:ascii="Arial" w:hAnsi="Arial" w:cs="Arial"/>
          <w:sz w:val="20"/>
          <w:szCs w:val="20"/>
          <w:u w:val="single"/>
          <w:lang w:eastAsia="fr-FR"/>
        </w:rPr>
        <w:t>Alcool = 7 kcal/g</w:t>
      </w:r>
    </w:p>
    <w:p w14:paraId="56CE0F24"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En faible quantité → peut ↑ la balance énergétique</w:t>
      </w:r>
    </w:p>
    <w:p w14:paraId="3A27C0E7"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En forte quantité → perte de poids (gaspillage métabolique) </w:t>
      </w:r>
    </w:p>
    <w:p w14:paraId="22203C2E"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1L de vin à 12° = 680 Kcal</w:t>
      </w:r>
    </w:p>
    <w:p w14:paraId="49B17785"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1L de bière à 4° = 320 kcal + 160kcal par le malt</w:t>
      </w:r>
      <w:r>
        <w:rPr>
          <w:rFonts w:ascii="Arial" w:hAnsi="Arial" w:cs="Arial"/>
          <w:sz w:val="20"/>
          <w:szCs w:val="20"/>
          <w:lang w:eastAsia="fr-FR"/>
        </w:rPr>
        <w:t xml:space="preserve"> </w:t>
      </w:r>
      <w:r w:rsidRPr="00B15634">
        <w:rPr>
          <w:rFonts w:ascii="Arial" w:hAnsi="Arial" w:cs="Arial"/>
          <w:sz w:val="20"/>
          <w:szCs w:val="20"/>
          <w:lang w:eastAsia="fr-FR"/>
        </w:rPr>
        <w:t xml:space="preserve">→ 480 kcal </w:t>
      </w:r>
    </w:p>
    <w:p w14:paraId="3842F5BE" w14:textId="77777777" w:rsidR="00ED4694" w:rsidRPr="00B15634" w:rsidRDefault="00ED4694" w:rsidP="00ED4694">
      <w:pPr>
        <w:pStyle w:val="Sansinterligne"/>
        <w:numPr>
          <w:ilvl w:val="0"/>
          <w:numId w:val="153"/>
        </w:numPr>
        <w:jc w:val="both"/>
        <w:rPr>
          <w:rFonts w:ascii="Arial" w:hAnsi="Arial" w:cs="Arial"/>
          <w:sz w:val="20"/>
          <w:szCs w:val="20"/>
          <w:u w:val="single"/>
          <w:lang w:eastAsia="fr-FR"/>
        </w:rPr>
      </w:pPr>
      <w:r w:rsidRPr="00B15634">
        <w:rPr>
          <w:rFonts w:ascii="Arial" w:hAnsi="Arial" w:cs="Arial"/>
          <w:sz w:val="20"/>
          <w:szCs w:val="20"/>
          <w:u w:val="single"/>
          <w:lang w:eastAsia="fr-FR"/>
        </w:rPr>
        <w:t>Edulcorants = 0 à 2,6 kcal/g.</w:t>
      </w:r>
    </w:p>
    <w:p w14:paraId="7BDA5E59"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Associés à un risque de prise de poids, de syndrome métabolique et de DT2 </w:t>
      </w:r>
    </w:p>
    <w:p w14:paraId="036284DB"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de l’effet freinateur des rpt du sucré.</w:t>
      </w:r>
    </w:p>
    <w:p w14:paraId="758F773C"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 possible de l’appétit et de la prise alimentaire... </w:t>
      </w:r>
    </w:p>
    <w:p w14:paraId="1BDE230C" w14:textId="77777777" w:rsidR="00ED4694" w:rsidRPr="00B15634" w:rsidRDefault="00ED4694" w:rsidP="00ED4694">
      <w:pPr>
        <w:pStyle w:val="Sansinterligne"/>
        <w:jc w:val="both"/>
        <w:rPr>
          <w:rFonts w:ascii="Arial" w:hAnsi="Arial" w:cs="Arial"/>
          <w:color w:val="891438"/>
          <w:sz w:val="20"/>
          <w:szCs w:val="20"/>
          <w:lang w:eastAsia="fr-FR"/>
        </w:rPr>
      </w:pPr>
    </w:p>
    <w:p w14:paraId="33F34CB7" w14:textId="77777777" w:rsidR="00ED4694" w:rsidRPr="00B15634" w:rsidRDefault="00ED4694" w:rsidP="00ED4694">
      <w:pPr>
        <w:pStyle w:val="Sansinterligne"/>
        <w:numPr>
          <w:ilvl w:val="0"/>
          <w:numId w:val="154"/>
        </w:numPr>
        <w:jc w:val="both"/>
        <w:rPr>
          <w:rFonts w:ascii="Arial" w:hAnsi="Arial" w:cs="Arial"/>
          <w:b/>
          <w:bCs/>
          <w:color w:val="00B0F0"/>
          <w:sz w:val="20"/>
          <w:szCs w:val="20"/>
          <w:u w:val="single"/>
          <w:lang w:eastAsia="fr-FR"/>
        </w:rPr>
      </w:pPr>
      <w:r w:rsidRPr="00B15634">
        <w:rPr>
          <w:rFonts w:ascii="Arial" w:hAnsi="Arial" w:cs="Arial"/>
          <w:b/>
          <w:bCs/>
          <w:color w:val="00B0F0"/>
          <w:sz w:val="20"/>
          <w:szCs w:val="20"/>
          <w:u w:val="single"/>
          <w:lang w:eastAsia="fr-FR"/>
        </w:rPr>
        <w:t xml:space="preserve">Obésité </w:t>
      </w:r>
    </w:p>
    <w:p w14:paraId="17D2DBA7"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Le diagnostic de l’obésité se base sur l’indice de masse corporelle (IMC) = poids (kg)/ taille2 (m) (=BMI) </w:t>
      </w:r>
    </w:p>
    <w:p w14:paraId="0F4160F9"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Chez l’adulte, l’obésité = IMC supérieur à 30 kg/m2 : </w:t>
      </w:r>
    </w:p>
    <w:p w14:paraId="5A31F8FD"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Surpoids : IMC entre 25 et 29,9 kg/m2</w:t>
      </w:r>
    </w:p>
    <w:p w14:paraId="4A29D528"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Grade I ou obésité modérée : IMC entre 30 et 34,9 kg/m2</w:t>
      </w:r>
    </w:p>
    <w:p w14:paraId="41E331CD"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noProof/>
          <w:sz w:val="20"/>
          <w:szCs w:val="20"/>
          <w:lang w:eastAsia="fr-FR"/>
        </w:rPr>
        <w:drawing>
          <wp:anchor distT="0" distB="0" distL="114300" distR="114300" simplePos="0" relativeHeight="251705344" behindDoc="1" locked="0" layoutInCell="1" allowOverlap="1" wp14:anchorId="35B44369" wp14:editId="5F8ADBE6">
            <wp:simplePos x="0" y="0"/>
            <wp:positionH relativeFrom="column">
              <wp:posOffset>4765231</wp:posOffset>
            </wp:positionH>
            <wp:positionV relativeFrom="paragraph">
              <wp:posOffset>110138</wp:posOffset>
            </wp:positionV>
            <wp:extent cx="781685" cy="990600"/>
            <wp:effectExtent l="0" t="0" r="5715" b="0"/>
            <wp:wrapTight wrapText="bothSides">
              <wp:wrapPolygon edited="0">
                <wp:start x="0" y="0"/>
                <wp:lineTo x="0" y="21323"/>
                <wp:lineTo x="21407" y="21323"/>
                <wp:lineTo x="21407" y="0"/>
                <wp:lineTo x="0" y="0"/>
              </wp:wrapPolygon>
            </wp:wrapTight>
            <wp:docPr id="1832969440" name="Image 251" descr="page15image582416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15image58241625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81685"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noProof/>
          <w:sz w:val="20"/>
          <w:szCs w:val="20"/>
          <w:lang w:eastAsia="fr-FR"/>
        </w:rPr>
        <w:drawing>
          <wp:anchor distT="0" distB="0" distL="114300" distR="114300" simplePos="0" relativeHeight="251707392" behindDoc="1" locked="0" layoutInCell="1" allowOverlap="1" wp14:anchorId="6D22EEB4" wp14:editId="2A2EA4A5">
            <wp:simplePos x="0" y="0"/>
            <wp:positionH relativeFrom="column">
              <wp:posOffset>5551782</wp:posOffset>
            </wp:positionH>
            <wp:positionV relativeFrom="paragraph">
              <wp:posOffset>109565</wp:posOffset>
            </wp:positionV>
            <wp:extent cx="644525" cy="991235"/>
            <wp:effectExtent l="0" t="0" r="3175" b="0"/>
            <wp:wrapTight wrapText="bothSides">
              <wp:wrapPolygon edited="0">
                <wp:start x="0" y="0"/>
                <wp:lineTo x="0" y="21309"/>
                <wp:lineTo x="21281" y="21309"/>
                <wp:lineTo x="21281" y="0"/>
                <wp:lineTo x="0" y="0"/>
              </wp:wrapPolygon>
            </wp:wrapTight>
            <wp:docPr id="1981728704" name="Image 249" descr="page15image582416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15image582416864"/>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23950" r="32743"/>
                    <a:stretch/>
                  </pic:blipFill>
                  <pic:spPr bwMode="auto">
                    <a:xfrm>
                      <a:off x="0" y="0"/>
                      <a:ext cx="644525" cy="991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634">
        <w:rPr>
          <w:rFonts w:ascii="Arial" w:hAnsi="Arial" w:cs="Arial"/>
          <w:sz w:val="20"/>
          <w:szCs w:val="20"/>
          <w:lang w:eastAsia="fr-FR"/>
        </w:rPr>
        <w:t>Grade II ou obésité sévère : IMC entre 35 et 39,9 kg/m2</w:t>
      </w:r>
    </w:p>
    <w:p w14:paraId="43FA703F"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Grade III ou obésité morbide : IMC supérieur ou égal à 40 kg/m2 </w:t>
      </w:r>
    </w:p>
    <w:p w14:paraId="79B0F481"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Attention facile à utiliser mais indicateur grossier </w:t>
      </w:r>
    </w:p>
    <w:p w14:paraId="14A0EDFB" w14:textId="77777777" w:rsidR="00ED4694" w:rsidRPr="00B15634" w:rsidRDefault="00ED4694" w:rsidP="00ED4694">
      <w:pPr>
        <w:pStyle w:val="Sansinterligne"/>
        <w:jc w:val="both"/>
        <w:rPr>
          <w:rFonts w:ascii="Arial" w:hAnsi="Arial" w:cs="Arial"/>
          <w:sz w:val="20"/>
          <w:szCs w:val="20"/>
          <w:lang w:eastAsia="fr-FR"/>
        </w:rPr>
      </w:pPr>
    </w:p>
    <w:p w14:paraId="7CD6660F" w14:textId="77777777" w:rsidR="00ED4694" w:rsidRPr="00B1563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color w:val="000000" w:themeColor="text1"/>
          <w:sz w:val="20"/>
          <w:szCs w:val="20"/>
          <w:u w:val="single"/>
          <w:lang w:eastAsia="fr-FR"/>
        </w:rPr>
        <w:t xml:space="preserve">Méfiance </w:t>
      </w:r>
    </w:p>
    <w:p w14:paraId="48165046" w14:textId="77777777" w:rsidR="00ED4694" w:rsidRPr="00D564FD" w:rsidRDefault="00ED4694" w:rsidP="00ED4694">
      <w:pPr>
        <w:pStyle w:val="Sansinterligne"/>
        <w:numPr>
          <w:ilvl w:val="0"/>
          <w:numId w:val="140"/>
        </w:numPr>
        <w:jc w:val="both"/>
        <w:rPr>
          <w:rFonts w:ascii="Arial" w:hAnsi="Arial" w:cs="Arial"/>
          <w:sz w:val="20"/>
          <w:szCs w:val="20"/>
          <w:lang w:eastAsia="fr-FR"/>
        </w:rPr>
      </w:pPr>
      <w:r w:rsidRPr="00D564FD">
        <w:rPr>
          <w:rFonts w:ascii="Arial" w:hAnsi="Arial" w:cs="Arial"/>
          <w:sz w:val="20"/>
          <w:szCs w:val="20"/>
          <w:lang w:eastAsia="fr-FR"/>
        </w:rPr>
        <w:t xml:space="preserve">Arnold Schwarzenegger 188 cm - 106kg - IMC= 30 : </w:t>
      </w:r>
      <w:r w:rsidRPr="00D564FD">
        <w:rPr>
          <w:rFonts w:ascii="Arial" w:hAnsi="Arial" w:cs="Arial"/>
          <w:color w:val="FF0000"/>
          <w:sz w:val="20"/>
          <w:szCs w:val="20"/>
          <w:lang w:eastAsia="fr-FR"/>
        </w:rPr>
        <w:t xml:space="preserve">Obésité modéré </w:t>
      </w:r>
    </w:p>
    <w:p w14:paraId="1B126CF7" w14:textId="77777777" w:rsidR="00ED4694" w:rsidRPr="00B15634" w:rsidRDefault="00ED4694" w:rsidP="00ED4694">
      <w:pPr>
        <w:pStyle w:val="Sansinterligne"/>
        <w:numPr>
          <w:ilvl w:val="0"/>
          <w:numId w:val="140"/>
        </w:numPr>
        <w:jc w:val="both"/>
        <w:rPr>
          <w:rFonts w:ascii="Arial" w:hAnsi="Arial" w:cs="Arial"/>
          <w:sz w:val="20"/>
          <w:szCs w:val="20"/>
          <w:lang w:val="en-US" w:eastAsia="fr-FR"/>
        </w:rPr>
      </w:pPr>
      <w:r w:rsidRPr="00B15634">
        <w:rPr>
          <w:rFonts w:ascii="Arial" w:hAnsi="Arial" w:cs="Arial"/>
          <w:sz w:val="20"/>
          <w:szCs w:val="20"/>
          <w:lang w:val="en-US" w:eastAsia="fr-FR"/>
        </w:rPr>
        <w:t xml:space="preserve">Teddy Riner : </w:t>
      </w:r>
    </w:p>
    <w:p w14:paraId="2CEB09E9" w14:textId="77777777" w:rsidR="00ED4694" w:rsidRPr="00D564FD" w:rsidRDefault="00ED4694" w:rsidP="00ED4694">
      <w:pPr>
        <w:pStyle w:val="Sansinterligne"/>
        <w:ind w:left="360"/>
        <w:jc w:val="both"/>
        <w:rPr>
          <w:rFonts w:ascii="Arial" w:hAnsi="Arial" w:cs="Arial"/>
          <w:color w:val="FF0000"/>
          <w:sz w:val="20"/>
          <w:szCs w:val="20"/>
          <w:lang w:val="en-US" w:eastAsia="fr-FR"/>
        </w:rPr>
      </w:pPr>
      <w:r w:rsidRPr="00B15634">
        <w:rPr>
          <w:rFonts w:ascii="Arial" w:hAnsi="Arial" w:cs="Arial"/>
          <w:noProof/>
          <w:sz w:val="20"/>
          <w:szCs w:val="20"/>
          <w:lang w:eastAsia="fr-FR"/>
        </w:rPr>
        <w:drawing>
          <wp:anchor distT="0" distB="0" distL="114300" distR="114300" simplePos="0" relativeHeight="251706368" behindDoc="1" locked="0" layoutInCell="1" allowOverlap="1" wp14:anchorId="70C54E5D" wp14:editId="5C5C3C3F">
            <wp:simplePos x="0" y="0"/>
            <wp:positionH relativeFrom="column">
              <wp:posOffset>4764244</wp:posOffset>
            </wp:positionH>
            <wp:positionV relativeFrom="paragraph">
              <wp:posOffset>78105</wp:posOffset>
            </wp:positionV>
            <wp:extent cx="1359535" cy="826135"/>
            <wp:effectExtent l="0" t="0" r="0" b="0"/>
            <wp:wrapTight wrapText="bothSides">
              <wp:wrapPolygon edited="0">
                <wp:start x="0" y="0"/>
                <wp:lineTo x="0" y="21251"/>
                <wp:lineTo x="21388" y="21251"/>
                <wp:lineTo x="21388" y="0"/>
                <wp:lineTo x="0" y="0"/>
              </wp:wrapPolygon>
            </wp:wrapTight>
            <wp:docPr id="395908080" name="Image 250" descr="page15image58241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15image58241656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59535" cy="826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64FD">
        <w:rPr>
          <w:rFonts w:ascii="Arial" w:hAnsi="Arial" w:cs="Arial"/>
          <w:sz w:val="20"/>
          <w:szCs w:val="20"/>
          <w:lang w:val="en-US" w:eastAsia="fr-FR"/>
        </w:rPr>
        <w:t xml:space="preserve">En période compétition 204 cm - 140kg - IMC= 33,6 : </w:t>
      </w:r>
      <w:r w:rsidRPr="00D564FD">
        <w:rPr>
          <w:rFonts w:ascii="Arial" w:hAnsi="Arial" w:cs="Arial"/>
          <w:color w:val="FF0000"/>
          <w:sz w:val="20"/>
          <w:szCs w:val="20"/>
          <w:lang w:val="en-US" w:eastAsia="fr-FR"/>
        </w:rPr>
        <w:t>Obésité modéré</w:t>
      </w:r>
    </w:p>
    <w:p w14:paraId="4FE802BD" w14:textId="77777777" w:rsidR="00ED4694" w:rsidRPr="00B15634" w:rsidRDefault="00ED4694" w:rsidP="00ED4694">
      <w:pPr>
        <w:pStyle w:val="Sansinterligne"/>
        <w:ind w:left="360"/>
        <w:jc w:val="both"/>
        <w:rPr>
          <w:rFonts w:ascii="Arial" w:hAnsi="Arial" w:cs="Arial"/>
          <w:sz w:val="20"/>
          <w:szCs w:val="20"/>
          <w:lang w:val="en-US" w:eastAsia="fr-FR"/>
        </w:rPr>
      </w:pPr>
      <w:r w:rsidRPr="00B15634">
        <w:rPr>
          <w:rFonts w:ascii="Arial" w:hAnsi="Arial" w:cs="Arial"/>
          <w:sz w:val="20"/>
          <w:szCs w:val="20"/>
          <w:lang w:val="en-US" w:eastAsia="fr-FR"/>
        </w:rPr>
        <w:t xml:space="preserve">Hors période compétition 204 cm – 160kg –IMC= 38,4 : </w:t>
      </w:r>
      <w:r w:rsidRPr="00B15634">
        <w:rPr>
          <w:rFonts w:ascii="Arial" w:hAnsi="Arial" w:cs="Arial"/>
          <w:color w:val="BF0000"/>
          <w:sz w:val="20"/>
          <w:szCs w:val="20"/>
          <w:lang w:val="en-US" w:eastAsia="fr-FR"/>
        </w:rPr>
        <w:t xml:space="preserve">Obésité sévère </w:t>
      </w:r>
    </w:p>
    <w:p w14:paraId="12BDF75C" w14:textId="77777777" w:rsidR="00ED4694" w:rsidRPr="00D564FD" w:rsidRDefault="00ED4694" w:rsidP="00ED4694">
      <w:pPr>
        <w:pStyle w:val="Sansinterligne"/>
        <w:numPr>
          <w:ilvl w:val="0"/>
          <w:numId w:val="140"/>
        </w:numPr>
        <w:jc w:val="both"/>
        <w:rPr>
          <w:rFonts w:ascii="Arial" w:hAnsi="Arial" w:cs="Arial"/>
          <w:sz w:val="20"/>
          <w:szCs w:val="20"/>
          <w:lang w:val="en-US" w:eastAsia="fr-FR"/>
        </w:rPr>
      </w:pPr>
      <w:r w:rsidRPr="00D564FD">
        <w:rPr>
          <w:rFonts w:ascii="Arial" w:hAnsi="Arial" w:cs="Arial"/>
          <w:sz w:val="20"/>
          <w:szCs w:val="20"/>
          <w:lang w:val="en-US" w:eastAsia="fr-FR"/>
        </w:rPr>
        <w:t xml:space="preserve">Antoine Dupont : 174 cm- 88kg- IMC = 29,1 : </w:t>
      </w:r>
      <w:r w:rsidRPr="00D564FD">
        <w:rPr>
          <w:rFonts w:ascii="Arial" w:hAnsi="Arial" w:cs="Arial"/>
          <w:color w:val="FFBF00"/>
          <w:sz w:val="20"/>
          <w:szCs w:val="20"/>
          <w:lang w:val="en-US" w:eastAsia="fr-FR"/>
        </w:rPr>
        <w:t xml:space="preserve">Surpoids </w:t>
      </w:r>
    </w:p>
    <w:p w14:paraId="1CC75113" w14:textId="77777777" w:rsidR="00ED4694" w:rsidRPr="00D564FD" w:rsidRDefault="00ED4694" w:rsidP="00ED4694">
      <w:pPr>
        <w:pStyle w:val="Sansinterligne"/>
        <w:jc w:val="both"/>
        <w:rPr>
          <w:rFonts w:ascii="Arial" w:hAnsi="Arial" w:cs="Arial"/>
          <w:sz w:val="20"/>
          <w:szCs w:val="20"/>
          <w:lang w:val="en-US" w:eastAsia="fr-FR"/>
        </w:rPr>
      </w:pPr>
      <w:r w:rsidRPr="00B15634">
        <w:rPr>
          <w:rFonts w:ascii="Arial" w:hAnsi="Arial" w:cs="Arial"/>
          <w:sz w:val="20"/>
          <w:szCs w:val="20"/>
          <w:lang w:eastAsia="fr-FR"/>
        </w:rPr>
        <w:fldChar w:fldCharType="begin"/>
      </w:r>
      <w:r w:rsidRPr="00D564FD">
        <w:rPr>
          <w:rFonts w:ascii="Arial" w:hAnsi="Arial" w:cs="Arial"/>
          <w:sz w:val="20"/>
          <w:szCs w:val="20"/>
          <w:lang w:val="en-US" w:eastAsia="fr-FR"/>
        </w:rPr>
        <w:instrText xml:space="preserve"> INCLUDEPICTURE "/Users/alienorprudhomme/Library/Group Containers/UBF8T346G9.ms/WebArchiveCopyPasteTempFiles/com.microsoft.Word/page15image582416256" \* MERGEFORMATINET </w:instrText>
      </w:r>
      <w:r w:rsidRPr="00B15634">
        <w:rPr>
          <w:rFonts w:ascii="Arial" w:hAnsi="Arial" w:cs="Arial"/>
          <w:sz w:val="20"/>
          <w:szCs w:val="20"/>
          <w:lang w:eastAsia="fr-FR"/>
        </w:rPr>
        <w:fldChar w:fldCharType="separate"/>
      </w:r>
      <w:r w:rsidRPr="00B15634">
        <w:rPr>
          <w:rFonts w:ascii="Arial" w:hAnsi="Arial" w:cs="Arial"/>
          <w:sz w:val="20"/>
          <w:szCs w:val="20"/>
          <w:lang w:eastAsia="fr-FR"/>
        </w:rPr>
        <w:fldChar w:fldCharType="end"/>
      </w:r>
      <w:r w:rsidRPr="00B15634">
        <w:rPr>
          <w:rFonts w:ascii="Arial" w:hAnsi="Arial" w:cs="Arial"/>
          <w:sz w:val="20"/>
          <w:szCs w:val="20"/>
          <w:lang w:eastAsia="fr-FR"/>
        </w:rPr>
        <w:fldChar w:fldCharType="begin"/>
      </w:r>
      <w:r w:rsidRPr="00D564FD">
        <w:rPr>
          <w:rFonts w:ascii="Arial" w:hAnsi="Arial" w:cs="Arial"/>
          <w:sz w:val="20"/>
          <w:szCs w:val="20"/>
          <w:lang w:val="en-US" w:eastAsia="fr-FR"/>
        </w:rPr>
        <w:instrText xml:space="preserve"> INCLUDEPICTURE "/Users/alienorprudhomme/Library/Group Containers/UBF8T346G9.ms/WebArchiveCopyPasteTempFiles/com.microsoft.Word/page15image582416560" \* MERGEFORMATINET </w:instrText>
      </w:r>
      <w:r w:rsidRPr="00B15634">
        <w:rPr>
          <w:rFonts w:ascii="Arial" w:hAnsi="Arial" w:cs="Arial"/>
          <w:sz w:val="20"/>
          <w:szCs w:val="20"/>
          <w:lang w:eastAsia="fr-FR"/>
        </w:rPr>
        <w:fldChar w:fldCharType="separate"/>
      </w:r>
      <w:r w:rsidRPr="00B15634">
        <w:rPr>
          <w:rFonts w:ascii="Arial" w:hAnsi="Arial" w:cs="Arial"/>
          <w:sz w:val="20"/>
          <w:szCs w:val="20"/>
          <w:lang w:eastAsia="fr-FR"/>
        </w:rPr>
        <w:fldChar w:fldCharType="end"/>
      </w:r>
      <w:r w:rsidRPr="00B15634">
        <w:rPr>
          <w:rFonts w:ascii="Arial" w:hAnsi="Arial" w:cs="Arial"/>
          <w:sz w:val="20"/>
          <w:szCs w:val="20"/>
          <w:lang w:eastAsia="fr-FR"/>
        </w:rPr>
        <w:fldChar w:fldCharType="begin"/>
      </w:r>
      <w:r w:rsidRPr="00D564FD">
        <w:rPr>
          <w:rFonts w:ascii="Arial" w:hAnsi="Arial" w:cs="Arial"/>
          <w:sz w:val="20"/>
          <w:szCs w:val="20"/>
          <w:lang w:val="en-US" w:eastAsia="fr-FR"/>
        </w:rPr>
        <w:instrText xml:space="preserve"> INCLUDEPICTURE "/Users/alienorprudhomme/Library/Group Containers/UBF8T346G9.ms/WebArchiveCopyPasteTempFiles/com.microsoft.Word/page15image582416864" \* MERGEFORMATINET </w:instrText>
      </w:r>
      <w:r w:rsidRPr="00B15634">
        <w:rPr>
          <w:rFonts w:ascii="Arial" w:hAnsi="Arial" w:cs="Arial"/>
          <w:sz w:val="20"/>
          <w:szCs w:val="20"/>
          <w:lang w:eastAsia="fr-FR"/>
        </w:rPr>
        <w:fldChar w:fldCharType="separate"/>
      </w:r>
      <w:r w:rsidRPr="00B15634">
        <w:rPr>
          <w:rFonts w:ascii="Arial" w:hAnsi="Arial" w:cs="Arial"/>
          <w:sz w:val="20"/>
          <w:szCs w:val="20"/>
          <w:lang w:eastAsia="fr-FR"/>
        </w:rPr>
        <w:fldChar w:fldCharType="end"/>
      </w:r>
    </w:p>
    <w:p w14:paraId="257E18C6" w14:textId="77777777" w:rsidR="00ED4694" w:rsidRPr="00D564FD" w:rsidRDefault="00ED4694" w:rsidP="00ED4694">
      <w:pPr>
        <w:pStyle w:val="Sansinterligne"/>
        <w:jc w:val="both"/>
        <w:rPr>
          <w:rFonts w:ascii="Arial" w:hAnsi="Arial" w:cs="Arial"/>
          <w:sz w:val="20"/>
          <w:szCs w:val="20"/>
          <w:lang w:val="en-US" w:eastAsia="fr-FR"/>
        </w:rPr>
      </w:pPr>
    </w:p>
    <w:p w14:paraId="718939B8" w14:textId="77777777" w:rsidR="00ED4694" w:rsidRPr="00D564FD" w:rsidRDefault="00ED4694" w:rsidP="00ED4694">
      <w:pPr>
        <w:pStyle w:val="Sansinterligne"/>
        <w:jc w:val="both"/>
        <w:rPr>
          <w:rFonts w:ascii="Arial" w:hAnsi="Arial" w:cs="Arial"/>
          <w:sz w:val="20"/>
          <w:szCs w:val="20"/>
          <w:lang w:val="en-US" w:eastAsia="fr-FR"/>
        </w:rPr>
      </w:pPr>
    </w:p>
    <w:p w14:paraId="38784739"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D’autres paramètres peuvent affiner la définition de l’obésité. </w:t>
      </w:r>
    </w:p>
    <w:p w14:paraId="79512773"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Tour de taille : Indicateur de la graisse au niveau abdominale à mi-distance entre la dernière côte et le sommet de la crête iliaque (≥ 80 cm chez la femme, ≥ 94 cm chez l’homme) pour les caucasien. </w:t>
      </w:r>
    </w:p>
    <w:p w14:paraId="39636D80"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Analyse de la composition corporelle : </w:t>
      </w:r>
    </w:p>
    <w:p w14:paraId="366C91C1"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Impédancemétrie bioélectrique : Permet d’estimer le pourcentage de masse grasse. Simple et non invasif Obésité si taux de graisse corporelle :  &gt; 25% chez l’homme, &gt; 32% chez la femme</w:t>
      </w:r>
    </w:p>
    <w:p w14:paraId="7E20732C" w14:textId="77777777" w:rsidR="00ED4694" w:rsidRPr="00B15634" w:rsidRDefault="00ED4694" w:rsidP="00ED4694">
      <w:pPr>
        <w:pStyle w:val="Sansinterligne"/>
        <w:numPr>
          <w:ilvl w:val="1"/>
          <w:numId w:val="140"/>
        </w:numPr>
        <w:jc w:val="both"/>
        <w:rPr>
          <w:rFonts w:ascii="Arial" w:hAnsi="Arial" w:cs="Arial"/>
          <w:sz w:val="20"/>
          <w:szCs w:val="20"/>
          <w:lang w:eastAsia="fr-FR"/>
        </w:rPr>
      </w:pPr>
      <w:r w:rsidRPr="00B15634">
        <w:rPr>
          <w:rFonts w:ascii="Arial" w:hAnsi="Arial" w:cs="Arial"/>
          <w:sz w:val="20"/>
          <w:szCs w:val="20"/>
          <w:lang w:eastAsia="fr-FR"/>
        </w:rPr>
        <w:t xml:space="preserve">DEXA scan : Utiliser en routine pour évaluer la densité osseuse, permet la quantification de la masse grasse et d’accéder à sa distribution. </w:t>
      </w:r>
    </w:p>
    <w:p w14:paraId="3DEF6BED" w14:textId="77777777" w:rsidR="00ED4694" w:rsidRPr="00B15634" w:rsidRDefault="00ED4694" w:rsidP="00ED4694">
      <w:pPr>
        <w:pStyle w:val="Sansinterligne"/>
        <w:jc w:val="both"/>
        <w:rPr>
          <w:rFonts w:ascii="Arial" w:hAnsi="Arial" w:cs="Arial"/>
          <w:sz w:val="20"/>
          <w:szCs w:val="20"/>
          <w:lang w:eastAsia="fr-FR"/>
        </w:rPr>
      </w:pPr>
    </w:p>
    <w:p w14:paraId="250C3033"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Chez l’enfant, la corpulence est évaluée par :</w:t>
      </w:r>
    </w:p>
    <w:p w14:paraId="5FA1EAD8"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la courbe IOTF30 établie par l’</w:t>
      </w:r>
      <w:r w:rsidRPr="00B15634">
        <w:rPr>
          <w:rFonts w:ascii="Arial" w:hAnsi="Arial" w:cs="Arial"/>
          <w:i/>
          <w:iCs/>
          <w:sz w:val="20"/>
          <w:szCs w:val="20"/>
          <w:lang w:eastAsia="fr-FR"/>
        </w:rPr>
        <w:t xml:space="preserve">International Obesity Task Force </w:t>
      </w:r>
      <w:r w:rsidRPr="00B15634">
        <w:rPr>
          <w:rFonts w:ascii="Arial" w:hAnsi="Arial" w:cs="Arial"/>
          <w:sz w:val="20"/>
          <w:szCs w:val="20"/>
          <w:lang w:eastAsia="fr-FR"/>
        </w:rPr>
        <w:t xml:space="preserve">(Annexe 1) = courbe la plus utilisée en pratique clinique. Présente dans le carnet de santé depuis 2018. </w:t>
      </w:r>
    </w:p>
    <w:p w14:paraId="61BB43E6"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 xml:space="preserve">le Z-score de l’IMC (différence entre une valeur individuelle et la médiane d’une population de référence, divisée par l’écart type de la population de référence). </w:t>
      </w:r>
    </w:p>
    <w:p w14:paraId="6828A9D1"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B15634">
        <w:rPr>
          <w:rFonts w:ascii="Arial" w:hAnsi="Arial" w:cs="Arial"/>
          <w:sz w:val="20"/>
          <w:szCs w:val="20"/>
          <w:lang w:eastAsia="fr-FR"/>
        </w:rPr>
        <w:t>Il permet d’obtenir une meilleure précision.</w:t>
      </w:r>
    </w:p>
    <w:p w14:paraId="7B0799E7"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L’obésité se définit soit par un IMC dépassant la courbe IOTF30 soit pour un Zscore de l’IMC ≥+ 3 DS </w:t>
      </w:r>
    </w:p>
    <w:p w14:paraId="6DA83118" w14:textId="77777777" w:rsidR="00ED4694" w:rsidRPr="00B15634" w:rsidRDefault="00ED4694" w:rsidP="00ED4694">
      <w:pPr>
        <w:pStyle w:val="Sansinterligne"/>
        <w:jc w:val="both"/>
        <w:rPr>
          <w:rFonts w:ascii="Arial" w:hAnsi="Arial" w:cs="Arial"/>
          <w:sz w:val="20"/>
          <w:szCs w:val="20"/>
          <w:lang w:eastAsia="fr-FR"/>
        </w:rPr>
      </w:pPr>
    </w:p>
    <w:p w14:paraId="6870616C"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Histoire naturelle de la maladie</w:t>
      </w:r>
      <w:r>
        <w:rPr>
          <w:rFonts w:ascii="Arial" w:hAnsi="Arial" w:cs="Arial"/>
          <w:sz w:val="20"/>
          <w:szCs w:val="20"/>
          <w:u w:val="single"/>
          <w:lang w:eastAsia="fr-FR"/>
        </w:rPr>
        <w:t xml:space="preserve"> : </w:t>
      </w:r>
    </w:p>
    <w:p w14:paraId="3A56683E"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 xml:space="preserve">Obésité = pathologie du tissu adipeux = </w:t>
      </w:r>
      <w:r>
        <w:rPr>
          <w:rFonts w:ascii="Arial" w:hAnsi="Arial" w:cs="Arial"/>
          <w:sz w:val="20"/>
          <w:szCs w:val="20"/>
          <w:lang w:eastAsia="fr-FR"/>
        </w:rPr>
        <w:t xml:space="preserve">résultat d’une </w:t>
      </w:r>
      <w:r w:rsidRPr="00B15634">
        <w:rPr>
          <w:rFonts w:ascii="Arial" w:hAnsi="Arial" w:cs="Arial"/>
          <w:sz w:val="20"/>
          <w:szCs w:val="20"/>
          <w:lang w:eastAsia="fr-FR"/>
        </w:rPr>
        <w:t>évolution chronique avec ≠ phases successives</w:t>
      </w:r>
      <w:r>
        <w:rPr>
          <w:rFonts w:ascii="Arial" w:hAnsi="Arial" w:cs="Arial"/>
          <w:sz w:val="20"/>
          <w:szCs w:val="20"/>
          <w:lang w:eastAsia="fr-FR"/>
        </w:rPr>
        <w:t> :</w:t>
      </w:r>
    </w:p>
    <w:p w14:paraId="1FE9DD9B"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43509E">
        <w:rPr>
          <w:rFonts w:ascii="Arial" w:hAnsi="Arial" w:cs="Arial"/>
          <w:sz w:val="20"/>
          <w:szCs w:val="20"/>
          <w:u w:val="single"/>
          <w:lang w:eastAsia="fr-FR"/>
        </w:rPr>
        <w:t>Constitution</w:t>
      </w:r>
      <w:r w:rsidRPr="00B15634">
        <w:rPr>
          <w:rFonts w:ascii="Arial" w:hAnsi="Arial" w:cs="Arial"/>
          <w:sz w:val="20"/>
          <w:szCs w:val="20"/>
          <w:lang w:eastAsia="fr-FR"/>
        </w:rPr>
        <w:t xml:space="preserve"> = déséquilibre énergétique → ↑ stock adipeux. </w:t>
      </w:r>
    </w:p>
    <w:p w14:paraId="69E736EF"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43509E">
        <w:rPr>
          <w:rFonts w:ascii="Arial" w:hAnsi="Arial" w:cs="Arial"/>
          <w:sz w:val="20"/>
          <w:szCs w:val="20"/>
          <w:u w:val="single"/>
          <w:lang w:eastAsia="fr-FR"/>
        </w:rPr>
        <w:t>Maintien</w:t>
      </w:r>
      <w:r w:rsidRPr="00B15634">
        <w:rPr>
          <w:rFonts w:ascii="Arial" w:hAnsi="Arial" w:cs="Arial"/>
          <w:sz w:val="20"/>
          <w:szCs w:val="20"/>
          <w:lang w:eastAsia="fr-FR"/>
        </w:rPr>
        <w:t xml:space="preserve"> = nouvel équilibre énergétique et modification des capacités de stockage </w:t>
      </w:r>
    </w:p>
    <w:p w14:paraId="66334E6E" w14:textId="77777777" w:rsidR="00ED4694" w:rsidRPr="00B15634" w:rsidRDefault="00ED4694" w:rsidP="00ED4694">
      <w:pPr>
        <w:pStyle w:val="Sansinterligne"/>
        <w:numPr>
          <w:ilvl w:val="0"/>
          <w:numId w:val="140"/>
        </w:numPr>
        <w:jc w:val="both"/>
        <w:rPr>
          <w:rFonts w:ascii="Arial" w:hAnsi="Arial" w:cs="Arial"/>
          <w:sz w:val="20"/>
          <w:szCs w:val="20"/>
          <w:lang w:eastAsia="fr-FR"/>
        </w:rPr>
      </w:pPr>
      <w:r w:rsidRPr="0043509E">
        <w:rPr>
          <w:rFonts w:ascii="Arial" w:hAnsi="Arial" w:cs="Arial"/>
          <w:sz w:val="20"/>
          <w:szCs w:val="20"/>
          <w:u w:val="single"/>
          <w:lang w:eastAsia="fr-FR"/>
        </w:rPr>
        <w:t>Aggravation</w:t>
      </w:r>
      <w:r w:rsidRPr="00B15634">
        <w:rPr>
          <w:rFonts w:ascii="Arial" w:hAnsi="Arial" w:cs="Arial"/>
          <w:sz w:val="20"/>
          <w:szCs w:val="20"/>
          <w:lang w:eastAsia="fr-FR"/>
        </w:rPr>
        <w:t xml:space="preserve"> = obésité constitué avec comorbidité métaboliques (DT2, HTA, dyslipidémie, NASH) et mécaniques (Apnée du sommeil, atteintes rhumatologiques, insuffisance veineuse, ...)</w:t>
      </w:r>
    </w:p>
    <w:p w14:paraId="5954C978" w14:textId="77777777" w:rsidR="00ED4694" w:rsidRPr="00B15634" w:rsidRDefault="00ED4694" w:rsidP="00ED4694">
      <w:pPr>
        <w:pStyle w:val="Sansinterligne"/>
        <w:jc w:val="both"/>
        <w:rPr>
          <w:rFonts w:ascii="Arial" w:hAnsi="Arial" w:cs="Arial"/>
          <w:sz w:val="20"/>
          <w:szCs w:val="20"/>
          <w:lang w:eastAsia="fr-FR"/>
        </w:rPr>
      </w:pPr>
      <w:r w:rsidRPr="0043509E">
        <w:rPr>
          <w:rFonts w:ascii="Arial" w:hAnsi="Arial" w:cs="Arial"/>
          <w:noProof/>
          <w:sz w:val="20"/>
          <w:szCs w:val="20"/>
          <w:lang w:eastAsia="fr-FR"/>
        </w:rPr>
        <w:drawing>
          <wp:anchor distT="0" distB="0" distL="114300" distR="114300" simplePos="0" relativeHeight="251710464" behindDoc="1" locked="0" layoutInCell="1" allowOverlap="1" wp14:anchorId="59801D78" wp14:editId="22F7639B">
            <wp:simplePos x="0" y="0"/>
            <wp:positionH relativeFrom="column">
              <wp:posOffset>5093970</wp:posOffset>
            </wp:positionH>
            <wp:positionV relativeFrom="paragraph">
              <wp:posOffset>155575</wp:posOffset>
            </wp:positionV>
            <wp:extent cx="1711960" cy="1019810"/>
            <wp:effectExtent l="0" t="0" r="2540" b="0"/>
            <wp:wrapTight wrapText="bothSides">
              <wp:wrapPolygon edited="0">
                <wp:start x="0" y="0"/>
                <wp:lineTo x="0" y="21250"/>
                <wp:lineTo x="21472" y="21250"/>
                <wp:lineTo x="21472" y="0"/>
                <wp:lineTo x="0" y="0"/>
              </wp:wrapPolygon>
            </wp:wrapTight>
            <wp:docPr id="4468396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839684"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11960" cy="1019810"/>
                    </a:xfrm>
                    <a:prstGeom prst="rect">
                      <a:avLst/>
                    </a:prstGeom>
                  </pic:spPr>
                </pic:pic>
              </a:graphicData>
            </a:graphic>
            <wp14:sizeRelH relativeFrom="page">
              <wp14:pctWidth>0</wp14:pctWidth>
            </wp14:sizeRelH>
            <wp14:sizeRelV relativeFrom="page">
              <wp14:pctHeight>0</wp14:pctHeight>
            </wp14:sizeRelV>
          </wp:anchor>
        </w:drawing>
      </w:r>
      <w:r w:rsidRPr="00B15634">
        <w:rPr>
          <w:rFonts w:ascii="Arial" w:hAnsi="Arial" w:cs="Arial"/>
          <w:sz w:val="20"/>
          <w:szCs w:val="20"/>
          <w:lang w:eastAsia="fr-FR"/>
        </w:rPr>
        <w:t>→ fluctuations pondérales (yoyo)</w:t>
      </w:r>
      <w:r>
        <w:rPr>
          <w:rFonts w:ascii="Arial" w:hAnsi="Arial" w:cs="Arial"/>
          <w:sz w:val="20"/>
          <w:szCs w:val="20"/>
          <w:lang w:eastAsia="fr-FR"/>
        </w:rPr>
        <w:t xml:space="preserve"> </w:t>
      </w:r>
      <w:r w:rsidRPr="00B15634">
        <w:rPr>
          <w:rFonts w:ascii="Arial" w:hAnsi="Arial" w:cs="Arial"/>
          <w:sz w:val="20"/>
          <w:szCs w:val="20"/>
          <w:lang w:eastAsia="fr-FR"/>
        </w:rPr>
        <w:t>→</w:t>
      </w:r>
      <w:r>
        <w:rPr>
          <w:rFonts w:ascii="Arial" w:hAnsi="Arial" w:cs="Arial"/>
          <w:sz w:val="20"/>
          <w:szCs w:val="20"/>
          <w:lang w:eastAsia="fr-FR"/>
        </w:rPr>
        <w:t xml:space="preserve"> </w:t>
      </w:r>
      <w:r w:rsidRPr="00B15634">
        <w:rPr>
          <w:rFonts w:ascii="Arial" w:hAnsi="Arial" w:cs="Arial"/>
          <w:sz w:val="20"/>
          <w:szCs w:val="20"/>
          <w:lang w:eastAsia="fr-FR"/>
        </w:rPr>
        <w:t>aggravation</w:t>
      </w:r>
      <w:r>
        <w:rPr>
          <w:rFonts w:ascii="Arial" w:hAnsi="Arial" w:cs="Arial"/>
          <w:sz w:val="20"/>
          <w:szCs w:val="20"/>
          <w:lang w:eastAsia="fr-FR"/>
        </w:rPr>
        <w:t xml:space="preserve"> </w:t>
      </w:r>
      <w:r w:rsidRPr="00B15634">
        <w:rPr>
          <w:rFonts w:ascii="Arial" w:hAnsi="Arial" w:cs="Arial"/>
          <w:sz w:val="20"/>
          <w:szCs w:val="20"/>
          <w:lang w:eastAsia="fr-FR"/>
        </w:rPr>
        <w:t>→</w:t>
      </w:r>
      <w:r>
        <w:rPr>
          <w:rFonts w:ascii="Arial" w:hAnsi="Arial" w:cs="Arial"/>
          <w:sz w:val="20"/>
          <w:szCs w:val="20"/>
          <w:lang w:eastAsia="fr-FR"/>
        </w:rPr>
        <w:t xml:space="preserve"> </w:t>
      </w:r>
      <w:r w:rsidRPr="00B15634">
        <w:rPr>
          <w:rFonts w:ascii="Arial" w:hAnsi="Arial" w:cs="Arial"/>
          <w:sz w:val="20"/>
          <w:szCs w:val="20"/>
          <w:lang w:eastAsia="fr-FR"/>
        </w:rPr>
        <w:t xml:space="preserve">résistance à l’amaigrissement </w:t>
      </w:r>
    </w:p>
    <w:p w14:paraId="24C1F5EF" w14:textId="77777777" w:rsidR="00ED4694" w:rsidRPr="00B15634" w:rsidRDefault="00ED4694" w:rsidP="00ED4694">
      <w:pPr>
        <w:pStyle w:val="Sansinterligne"/>
        <w:jc w:val="both"/>
        <w:rPr>
          <w:rFonts w:ascii="Arial" w:hAnsi="Arial" w:cs="Arial"/>
          <w:sz w:val="20"/>
          <w:szCs w:val="20"/>
          <w:lang w:eastAsia="fr-FR"/>
        </w:rPr>
      </w:pPr>
    </w:p>
    <w:p w14:paraId="40049689" w14:textId="77777777" w:rsidR="00ED4694" w:rsidRPr="00B1563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Les 5 Stades de l’Edmonton obesity staging system </w:t>
      </w:r>
    </w:p>
    <w:p w14:paraId="0B0FCEE7" w14:textId="77777777" w:rsidR="00ED469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t>Pour mieux évaluer le stade d’évolution, la gravité et le pronostic → prise en charge</w:t>
      </w:r>
      <w:r>
        <w:rPr>
          <w:rFonts w:ascii="Arial" w:hAnsi="Arial" w:cs="Arial"/>
          <w:sz w:val="20"/>
          <w:szCs w:val="20"/>
          <w:lang w:eastAsia="fr-FR"/>
        </w:rPr>
        <w:t xml:space="preserve">. On ne prend pas en compte que l’IMC, mais aussi les répercussions de l’obésité sur les paramètres médicaux, mentaux et fonctionnels. </w:t>
      </w:r>
    </w:p>
    <w:p w14:paraId="7881322E" w14:textId="77777777" w:rsidR="00ED4694" w:rsidRDefault="00ED4694" w:rsidP="00ED4694">
      <w:pPr>
        <w:pStyle w:val="Sansinterligne"/>
        <w:jc w:val="both"/>
        <w:rPr>
          <w:rFonts w:ascii="Arial" w:hAnsi="Arial" w:cs="Arial"/>
          <w:sz w:val="20"/>
          <w:szCs w:val="20"/>
          <w:lang w:eastAsia="fr-FR"/>
        </w:rPr>
      </w:pPr>
    </w:p>
    <w:p w14:paraId="0F6F0CBE" w14:textId="77777777" w:rsidR="00ED4694" w:rsidRDefault="00ED4694" w:rsidP="00ED4694">
      <w:pPr>
        <w:pStyle w:val="Sansinterligne"/>
        <w:jc w:val="both"/>
        <w:rPr>
          <w:rFonts w:ascii="Arial" w:hAnsi="Arial" w:cs="Arial"/>
          <w:sz w:val="20"/>
          <w:szCs w:val="20"/>
          <w:lang w:eastAsia="fr-FR"/>
        </w:rPr>
      </w:pPr>
    </w:p>
    <w:p w14:paraId="32489C95" w14:textId="77777777" w:rsidR="00ED4694" w:rsidRDefault="00ED4694" w:rsidP="00ED4694">
      <w:pPr>
        <w:pStyle w:val="Sansinterligne"/>
        <w:jc w:val="both"/>
        <w:rPr>
          <w:rFonts w:ascii="Arial" w:hAnsi="Arial" w:cs="Arial"/>
          <w:sz w:val="20"/>
          <w:szCs w:val="20"/>
          <w:lang w:eastAsia="fr-FR"/>
        </w:rPr>
      </w:pPr>
      <w:r w:rsidRPr="00B15634">
        <w:rPr>
          <w:rFonts w:ascii="Arial" w:hAnsi="Arial" w:cs="Arial"/>
          <w:noProof/>
          <w:sz w:val="20"/>
          <w:szCs w:val="20"/>
          <w:lang w:eastAsia="fr-FR"/>
        </w:rPr>
        <w:lastRenderedPageBreak/>
        <w:drawing>
          <wp:anchor distT="0" distB="0" distL="114300" distR="114300" simplePos="0" relativeHeight="251711488" behindDoc="1" locked="0" layoutInCell="1" allowOverlap="1" wp14:anchorId="07B4F114" wp14:editId="43912F7B">
            <wp:simplePos x="0" y="0"/>
            <wp:positionH relativeFrom="column">
              <wp:posOffset>3957232</wp:posOffset>
            </wp:positionH>
            <wp:positionV relativeFrom="paragraph">
              <wp:posOffset>372</wp:posOffset>
            </wp:positionV>
            <wp:extent cx="2757170" cy="2035175"/>
            <wp:effectExtent l="0" t="0" r="0" b="0"/>
            <wp:wrapTight wrapText="bothSides">
              <wp:wrapPolygon edited="0">
                <wp:start x="0" y="0"/>
                <wp:lineTo x="0" y="21432"/>
                <wp:lineTo x="21491" y="21432"/>
                <wp:lineTo x="21491" y="0"/>
                <wp:lineTo x="0" y="0"/>
              </wp:wrapPolygon>
            </wp:wrapTight>
            <wp:docPr id="977558460" name="Image 242" descr="page20image582717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20image58271780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57170" cy="2035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ABC584" w14:textId="77777777" w:rsidR="00ED4694" w:rsidRDefault="00ED4694" w:rsidP="00ED4694">
      <w:pPr>
        <w:pStyle w:val="Sansinterligne"/>
        <w:jc w:val="both"/>
        <w:rPr>
          <w:rFonts w:ascii="Arial" w:hAnsi="Arial" w:cs="Arial"/>
          <w:sz w:val="20"/>
          <w:szCs w:val="20"/>
          <w:lang w:eastAsia="fr-FR"/>
        </w:rPr>
      </w:pPr>
    </w:p>
    <w:p w14:paraId="26C51413" w14:textId="77777777" w:rsidR="00ED4694" w:rsidRDefault="00ED4694" w:rsidP="00ED4694">
      <w:pPr>
        <w:pStyle w:val="Sansinterligne"/>
        <w:jc w:val="both"/>
        <w:rPr>
          <w:rFonts w:ascii="Arial" w:hAnsi="Arial" w:cs="Arial"/>
          <w:sz w:val="20"/>
          <w:szCs w:val="20"/>
          <w:lang w:eastAsia="fr-FR"/>
        </w:rPr>
      </w:pPr>
    </w:p>
    <w:p w14:paraId="719FDC70" w14:textId="77777777" w:rsidR="00ED4694" w:rsidRDefault="00ED4694" w:rsidP="00ED4694">
      <w:pPr>
        <w:pStyle w:val="Sansinterligne"/>
        <w:jc w:val="both"/>
        <w:rPr>
          <w:rFonts w:ascii="Arial" w:hAnsi="Arial" w:cs="Arial"/>
          <w:sz w:val="20"/>
          <w:szCs w:val="20"/>
          <w:lang w:eastAsia="fr-FR"/>
        </w:rPr>
      </w:pPr>
      <w:r>
        <w:rPr>
          <w:rFonts w:ascii="Arial" w:hAnsi="Arial" w:cs="Arial"/>
          <w:sz w:val="20"/>
          <w:szCs w:val="20"/>
          <w:lang w:eastAsia="fr-FR"/>
        </w:rPr>
        <w:t xml:space="preserve">Quand il y a apparition d’obésité, le TA blanc produit des adipokines. Lorsque ses augmentations de masses graisseuses sont très importantes, des dépôts de graisse se font ailleurs que dans le TA = dépôts ectopiques, qui ont lieu au niveau du cœur, des coronaires, foie, pancréas…. </w:t>
      </w:r>
    </w:p>
    <w:p w14:paraId="1CD8B617" w14:textId="77777777" w:rsidR="00ED4694" w:rsidRPr="00B15634" w:rsidRDefault="00ED4694" w:rsidP="00ED4694">
      <w:pPr>
        <w:pStyle w:val="Sansinterligne"/>
        <w:jc w:val="both"/>
        <w:rPr>
          <w:rFonts w:ascii="Arial" w:hAnsi="Arial" w:cs="Arial"/>
          <w:sz w:val="20"/>
          <w:szCs w:val="20"/>
          <w:lang w:eastAsia="fr-FR"/>
        </w:rPr>
      </w:pPr>
      <w:r>
        <w:rPr>
          <w:rFonts w:ascii="Arial" w:hAnsi="Arial" w:cs="Arial"/>
          <w:sz w:val="20"/>
          <w:szCs w:val="20"/>
          <w:lang w:eastAsia="fr-FR"/>
        </w:rPr>
        <w:t xml:space="preserve"> </w:t>
      </w:r>
    </w:p>
    <w:p w14:paraId="40CE5E82" w14:textId="77777777" w:rsidR="00ED4694" w:rsidRPr="00B15634" w:rsidRDefault="00ED4694" w:rsidP="00ED4694">
      <w:pPr>
        <w:pStyle w:val="Sansinterligne"/>
        <w:jc w:val="center"/>
        <w:rPr>
          <w:rFonts w:ascii="Arial" w:hAnsi="Arial" w:cs="Arial"/>
          <w:sz w:val="20"/>
          <w:szCs w:val="20"/>
          <w:lang w:eastAsia="fr-FR"/>
        </w:rPr>
      </w:pPr>
      <w:r w:rsidRPr="00B15634">
        <w:rPr>
          <w:rFonts w:ascii="Arial" w:hAnsi="Arial" w:cs="Arial"/>
          <w:sz w:val="20"/>
          <w:szCs w:val="20"/>
          <w:lang w:eastAsia="fr-FR"/>
        </w:rPr>
        <w:fldChar w:fldCharType="begin"/>
      </w:r>
      <w:r w:rsidRPr="00B15634">
        <w:rPr>
          <w:rFonts w:ascii="Arial" w:hAnsi="Arial" w:cs="Arial"/>
          <w:sz w:val="20"/>
          <w:szCs w:val="20"/>
          <w:lang w:eastAsia="fr-FR"/>
        </w:rPr>
        <w:instrText xml:space="preserve"> INCLUDEPICTURE "/Users/alienorprudhomme/Library/Group Containers/UBF8T346G9.ms/WebArchiveCopyPasteTempFiles/com.microsoft.Word/page20image582717808" \* MERGEFORMATINET </w:instrText>
      </w:r>
      <w:r w:rsidRPr="00B15634">
        <w:rPr>
          <w:rFonts w:ascii="Arial" w:hAnsi="Arial" w:cs="Arial"/>
          <w:sz w:val="20"/>
          <w:szCs w:val="20"/>
          <w:lang w:eastAsia="fr-FR"/>
        </w:rPr>
        <w:fldChar w:fldCharType="separate"/>
      </w:r>
      <w:r w:rsidRPr="00B15634">
        <w:rPr>
          <w:rFonts w:ascii="Arial" w:hAnsi="Arial" w:cs="Arial"/>
          <w:sz w:val="20"/>
          <w:szCs w:val="20"/>
          <w:lang w:eastAsia="fr-FR"/>
        </w:rPr>
        <w:fldChar w:fldCharType="end"/>
      </w:r>
    </w:p>
    <w:p w14:paraId="480C6603" w14:textId="77777777" w:rsidR="00ED4694" w:rsidRDefault="00ED4694" w:rsidP="00ED4694">
      <w:pPr>
        <w:pStyle w:val="Sansinterligne"/>
        <w:jc w:val="both"/>
        <w:rPr>
          <w:rFonts w:ascii="Arial" w:hAnsi="Arial" w:cs="Arial"/>
          <w:sz w:val="20"/>
          <w:szCs w:val="20"/>
          <w:lang w:eastAsia="fr-FR"/>
        </w:rPr>
      </w:pPr>
    </w:p>
    <w:p w14:paraId="1EB25131" w14:textId="77777777" w:rsidR="00ED4694" w:rsidRDefault="00ED4694" w:rsidP="00ED4694">
      <w:pPr>
        <w:pStyle w:val="Sansinterligne"/>
        <w:jc w:val="both"/>
        <w:rPr>
          <w:rFonts w:ascii="Arial" w:hAnsi="Arial" w:cs="Arial"/>
          <w:sz w:val="20"/>
          <w:szCs w:val="20"/>
          <w:lang w:eastAsia="fr-FR"/>
        </w:rPr>
      </w:pPr>
      <w:r w:rsidRPr="00B15634">
        <w:rPr>
          <w:rFonts w:ascii="Arial" w:hAnsi="Arial" w:cs="Arial"/>
          <w:noProof/>
          <w:sz w:val="20"/>
          <w:szCs w:val="20"/>
          <w:lang w:eastAsia="fr-FR"/>
        </w:rPr>
        <w:drawing>
          <wp:anchor distT="0" distB="0" distL="114300" distR="114300" simplePos="0" relativeHeight="251712512" behindDoc="1" locked="0" layoutInCell="1" allowOverlap="1" wp14:anchorId="33D769C3" wp14:editId="19C94CB6">
            <wp:simplePos x="0" y="0"/>
            <wp:positionH relativeFrom="column">
              <wp:posOffset>-149225</wp:posOffset>
            </wp:positionH>
            <wp:positionV relativeFrom="paragraph">
              <wp:posOffset>144780</wp:posOffset>
            </wp:positionV>
            <wp:extent cx="4582795" cy="2948305"/>
            <wp:effectExtent l="0" t="0" r="1905" b="0"/>
            <wp:wrapTight wrapText="bothSides">
              <wp:wrapPolygon edited="0">
                <wp:start x="0" y="0"/>
                <wp:lineTo x="0" y="21493"/>
                <wp:lineTo x="21549" y="21493"/>
                <wp:lineTo x="21549" y="0"/>
                <wp:lineTo x="0" y="0"/>
              </wp:wrapPolygon>
            </wp:wrapTight>
            <wp:docPr id="1525556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5631" name=""/>
                    <pic:cNvPicPr/>
                  </pic:nvPicPr>
                  <pic:blipFill rotWithShape="1">
                    <a:blip r:embed="rId99" cstate="print">
                      <a:extLst>
                        <a:ext uri="{28A0092B-C50C-407E-A947-70E740481C1C}">
                          <a14:useLocalDpi xmlns:a14="http://schemas.microsoft.com/office/drawing/2010/main" val="0"/>
                        </a:ext>
                      </a:extLst>
                    </a:blip>
                    <a:srcRect t="7437"/>
                    <a:stretch/>
                  </pic:blipFill>
                  <pic:spPr bwMode="auto">
                    <a:xfrm>
                      <a:off x="0" y="0"/>
                      <a:ext cx="4582795" cy="2948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E17EF2" w14:textId="77777777" w:rsidR="00ED4694" w:rsidRDefault="00ED4694" w:rsidP="00ED4694">
      <w:pPr>
        <w:pStyle w:val="Sansinterligne"/>
        <w:jc w:val="both"/>
        <w:rPr>
          <w:rFonts w:ascii="Arial" w:hAnsi="Arial" w:cs="Arial"/>
          <w:sz w:val="20"/>
          <w:szCs w:val="20"/>
          <w:lang w:eastAsia="fr-FR"/>
        </w:rPr>
      </w:pPr>
    </w:p>
    <w:p w14:paraId="1ACFE1F5" w14:textId="77777777" w:rsidR="00ED4694" w:rsidRDefault="00ED4694" w:rsidP="00ED4694">
      <w:pPr>
        <w:pStyle w:val="Sansinterligne"/>
        <w:jc w:val="both"/>
        <w:rPr>
          <w:rFonts w:ascii="Arial" w:hAnsi="Arial" w:cs="Arial"/>
          <w:sz w:val="20"/>
          <w:szCs w:val="20"/>
          <w:lang w:eastAsia="fr-FR"/>
        </w:rPr>
      </w:pPr>
    </w:p>
    <w:p w14:paraId="341C37E4" w14:textId="77777777" w:rsidR="00ED4694" w:rsidRPr="00C2418B" w:rsidRDefault="00ED4694" w:rsidP="00ED4694">
      <w:pPr>
        <w:pStyle w:val="Sansinterligne"/>
        <w:jc w:val="both"/>
        <w:rPr>
          <w:rFonts w:ascii="Arial" w:hAnsi="Arial" w:cs="Arial"/>
          <w:sz w:val="20"/>
          <w:szCs w:val="20"/>
          <w:u w:val="single"/>
          <w:lang w:eastAsia="fr-FR"/>
        </w:rPr>
      </w:pPr>
    </w:p>
    <w:p w14:paraId="3998EF09" w14:textId="77777777" w:rsidR="00ED4694" w:rsidRPr="00C2418B" w:rsidRDefault="00ED4694" w:rsidP="00ED4694">
      <w:pPr>
        <w:pStyle w:val="Sansinterligne"/>
        <w:jc w:val="both"/>
        <w:rPr>
          <w:rFonts w:ascii="Arial" w:hAnsi="Arial" w:cs="Arial"/>
          <w:sz w:val="20"/>
          <w:szCs w:val="20"/>
          <w:u w:val="single"/>
          <w:lang w:eastAsia="fr-FR"/>
        </w:rPr>
      </w:pPr>
      <w:r w:rsidRPr="00C2418B">
        <w:rPr>
          <w:rFonts w:ascii="Arial" w:hAnsi="Arial" w:cs="Arial"/>
          <w:sz w:val="20"/>
          <w:szCs w:val="20"/>
          <w:u w:val="single"/>
          <w:lang w:eastAsia="fr-FR"/>
        </w:rPr>
        <w:t xml:space="preserve">Les déterminants de l’obésité : </w:t>
      </w:r>
    </w:p>
    <w:p w14:paraId="3B16F181" w14:textId="77777777" w:rsidR="00ED4694" w:rsidRDefault="00ED4694" w:rsidP="00ED4694">
      <w:pPr>
        <w:pStyle w:val="Sansinterligne"/>
        <w:numPr>
          <w:ilvl w:val="0"/>
          <w:numId w:val="140"/>
        </w:numPr>
        <w:jc w:val="both"/>
        <w:rPr>
          <w:rFonts w:ascii="Arial" w:hAnsi="Arial" w:cs="Arial"/>
          <w:sz w:val="20"/>
          <w:szCs w:val="20"/>
          <w:lang w:eastAsia="fr-FR"/>
        </w:rPr>
      </w:pPr>
      <w:r>
        <w:rPr>
          <w:rFonts w:ascii="Arial" w:hAnsi="Arial" w:cs="Arial"/>
          <w:sz w:val="20"/>
          <w:szCs w:val="20"/>
          <w:lang w:eastAsia="fr-FR"/>
        </w:rPr>
        <w:t>Prédispositions génétiques : 70% des obèses ont un parent obèse</w:t>
      </w:r>
    </w:p>
    <w:p w14:paraId="7A3BB568" w14:textId="77777777" w:rsidR="00ED4694" w:rsidRPr="00B15634" w:rsidRDefault="00ED4694" w:rsidP="00ED4694">
      <w:pPr>
        <w:pStyle w:val="Sansinterligne"/>
        <w:numPr>
          <w:ilvl w:val="0"/>
          <w:numId w:val="140"/>
        </w:numPr>
        <w:jc w:val="both"/>
        <w:rPr>
          <w:rFonts w:ascii="Arial" w:hAnsi="Arial" w:cs="Arial"/>
          <w:sz w:val="20"/>
          <w:szCs w:val="20"/>
          <w:lang w:eastAsia="fr-FR"/>
        </w:rPr>
      </w:pPr>
      <w:r>
        <w:rPr>
          <w:rFonts w:ascii="Arial" w:hAnsi="Arial" w:cs="Arial"/>
          <w:sz w:val="20"/>
          <w:szCs w:val="20"/>
          <w:lang w:eastAsia="fr-FR"/>
        </w:rPr>
        <w:t xml:space="preserve">La capacité à prendre ou perdre du poids est identique chez les vrais jumeaux mais différente chez les faux. </w:t>
      </w:r>
    </w:p>
    <w:p w14:paraId="5FAB44ED" w14:textId="77777777" w:rsidR="00ED4694" w:rsidRPr="00B15634" w:rsidRDefault="00ED4694" w:rsidP="00ED4694">
      <w:pPr>
        <w:pStyle w:val="Sansinterligne"/>
        <w:jc w:val="center"/>
        <w:rPr>
          <w:rFonts w:ascii="Arial" w:hAnsi="Arial" w:cs="Arial"/>
          <w:sz w:val="20"/>
          <w:szCs w:val="20"/>
          <w:lang w:eastAsia="fr-FR"/>
        </w:rPr>
      </w:pPr>
    </w:p>
    <w:p w14:paraId="48801289" w14:textId="77777777" w:rsidR="00ED4694" w:rsidRDefault="00ED4694" w:rsidP="00ED4694">
      <w:pPr>
        <w:pStyle w:val="Sansinterligne"/>
        <w:jc w:val="both"/>
        <w:rPr>
          <w:rFonts w:ascii="Arial" w:hAnsi="Arial" w:cs="Arial"/>
          <w:sz w:val="20"/>
          <w:szCs w:val="20"/>
          <w:lang w:eastAsia="fr-FR"/>
        </w:rPr>
      </w:pPr>
      <w:r w:rsidRPr="00C2418B">
        <w:rPr>
          <w:rFonts w:ascii="Arial" w:hAnsi="Arial" w:cs="Arial"/>
          <w:sz w:val="20"/>
          <w:szCs w:val="20"/>
          <w:u w:val="single"/>
          <w:lang w:eastAsia="fr-FR"/>
        </w:rPr>
        <w:t>Facteurs favorisant l’obésité</w:t>
      </w:r>
      <w:r>
        <w:rPr>
          <w:rFonts w:ascii="Arial" w:hAnsi="Arial" w:cs="Arial"/>
          <w:sz w:val="20"/>
          <w:szCs w:val="20"/>
          <w:lang w:eastAsia="fr-FR"/>
        </w:rPr>
        <w:t xml:space="preserve"> : influence métabolique, nutrition, environnement physique, social…. </w:t>
      </w:r>
    </w:p>
    <w:p w14:paraId="7453F4D2" w14:textId="77777777" w:rsidR="00ED4694" w:rsidRDefault="00ED4694" w:rsidP="00ED4694">
      <w:pPr>
        <w:pStyle w:val="Sansinterligne"/>
        <w:jc w:val="both"/>
        <w:rPr>
          <w:rFonts w:ascii="Arial" w:hAnsi="Arial" w:cs="Arial"/>
          <w:sz w:val="20"/>
          <w:szCs w:val="20"/>
          <w:lang w:eastAsia="fr-FR"/>
        </w:rPr>
      </w:pPr>
    </w:p>
    <w:p w14:paraId="53E42170" w14:textId="77777777" w:rsidR="00ED4694" w:rsidRDefault="00ED4694" w:rsidP="00ED4694">
      <w:pPr>
        <w:pStyle w:val="Sansinterligne"/>
        <w:jc w:val="both"/>
        <w:rPr>
          <w:rFonts w:ascii="Arial" w:hAnsi="Arial" w:cs="Arial"/>
          <w:sz w:val="20"/>
          <w:szCs w:val="20"/>
          <w:lang w:eastAsia="fr-FR"/>
        </w:rPr>
      </w:pPr>
    </w:p>
    <w:p w14:paraId="71E396FB" w14:textId="77777777" w:rsidR="00ED4694" w:rsidRDefault="00ED4694" w:rsidP="00ED4694">
      <w:pPr>
        <w:pStyle w:val="Sansinterligne"/>
        <w:jc w:val="both"/>
        <w:rPr>
          <w:rFonts w:ascii="Arial" w:hAnsi="Arial" w:cs="Arial"/>
          <w:sz w:val="20"/>
          <w:szCs w:val="20"/>
          <w:lang w:eastAsia="fr-FR"/>
        </w:rPr>
      </w:pPr>
      <w:r w:rsidRPr="00B15634">
        <w:rPr>
          <w:rFonts w:ascii="Arial" w:hAnsi="Arial" w:cs="Arial"/>
          <w:noProof/>
          <w:sz w:val="20"/>
          <w:szCs w:val="20"/>
          <w:lang w:eastAsia="fr-FR"/>
        </w:rPr>
        <w:drawing>
          <wp:anchor distT="0" distB="0" distL="114300" distR="114300" simplePos="0" relativeHeight="251713536" behindDoc="1" locked="0" layoutInCell="1" allowOverlap="1" wp14:anchorId="47B9EE50" wp14:editId="42F83BBE">
            <wp:simplePos x="0" y="0"/>
            <wp:positionH relativeFrom="column">
              <wp:posOffset>2513965</wp:posOffset>
            </wp:positionH>
            <wp:positionV relativeFrom="paragraph">
              <wp:posOffset>255576</wp:posOffset>
            </wp:positionV>
            <wp:extent cx="4431519" cy="3182429"/>
            <wp:effectExtent l="0" t="0" r="1270" b="5715"/>
            <wp:wrapTight wrapText="bothSides">
              <wp:wrapPolygon edited="0">
                <wp:start x="0" y="0"/>
                <wp:lineTo x="0" y="21553"/>
                <wp:lineTo x="21544" y="21553"/>
                <wp:lineTo x="21544" y="0"/>
                <wp:lineTo x="0" y="0"/>
              </wp:wrapPolygon>
            </wp:wrapTight>
            <wp:docPr id="4634625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462502"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431519" cy="3182429"/>
                    </a:xfrm>
                    <a:prstGeom prst="rect">
                      <a:avLst/>
                    </a:prstGeom>
                  </pic:spPr>
                </pic:pic>
              </a:graphicData>
            </a:graphic>
            <wp14:sizeRelH relativeFrom="page">
              <wp14:pctWidth>0</wp14:pctWidth>
            </wp14:sizeRelH>
            <wp14:sizeRelV relativeFrom="page">
              <wp14:pctHeight>0</wp14:pctHeight>
            </wp14:sizeRelV>
          </wp:anchor>
        </w:drawing>
      </w:r>
    </w:p>
    <w:p w14:paraId="43241E75" w14:textId="77777777" w:rsidR="00ED4694" w:rsidRDefault="00ED4694" w:rsidP="00ED4694">
      <w:pPr>
        <w:pStyle w:val="Sansinterligne"/>
        <w:jc w:val="both"/>
        <w:rPr>
          <w:rFonts w:ascii="Arial" w:hAnsi="Arial" w:cs="Arial"/>
          <w:sz w:val="20"/>
          <w:szCs w:val="20"/>
          <w:lang w:eastAsia="fr-FR"/>
        </w:rPr>
      </w:pPr>
    </w:p>
    <w:p w14:paraId="5BB15155" w14:textId="77777777" w:rsidR="00ED4694" w:rsidRPr="00B15634" w:rsidRDefault="00ED4694" w:rsidP="00ED4694">
      <w:pPr>
        <w:pStyle w:val="Sansinterligne"/>
        <w:jc w:val="both"/>
        <w:rPr>
          <w:rFonts w:ascii="Arial" w:hAnsi="Arial" w:cs="Arial"/>
          <w:sz w:val="20"/>
          <w:szCs w:val="20"/>
          <w:lang w:eastAsia="fr-FR"/>
        </w:rPr>
      </w:pPr>
    </w:p>
    <w:p w14:paraId="3C8A1A1F" w14:textId="77777777" w:rsidR="00ED4694" w:rsidRPr="00B15634" w:rsidRDefault="00ED4694" w:rsidP="00ED4694">
      <w:pPr>
        <w:pStyle w:val="Sansinterligne"/>
        <w:jc w:val="center"/>
        <w:rPr>
          <w:rFonts w:ascii="Arial" w:hAnsi="Arial" w:cs="Arial"/>
          <w:sz w:val="20"/>
          <w:szCs w:val="20"/>
          <w:lang w:eastAsia="fr-FR"/>
        </w:rPr>
      </w:pPr>
    </w:p>
    <w:p w14:paraId="1918F4DA" w14:textId="77777777" w:rsidR="00ED4694" w:rsidRDefault="00ED4694" w:rsidP="00ED4694">
      <w:pPr>
        <w:pStyle w:val="Sansinterligne"/>
        <w:jc w:val="both"/>
        <w:rPr>
          <w:rFonts w:ascii="Arial" w:hAnsi="Arial" w:cs="Arial"/>
          <w:sz w:val="20"/>
          <w:szCs w:val="20"/>
          <w:u w:val="single"/>
          <w:lang w:eastAsia="fr-FR"/>
        </w:rPr>
      </w:pPr>
    </w:p>
    <w:p w14:paraId="6D75FDA6" w14:textId="77777777" w:rsidR="00ED4694" w:rsidRDefault="00ED4694" w:rsidP="00ED4694">
      <w:pPr>
        <w:pStyle w:val="Sansinterligne"/>
        <w:jc w:val="both"/>
        <w:rPr>
          <w:rFonts w:ascii="Arial" w:hAnsi="Arial" w:cs="Arial"/>
          <w:sz w:val="20"/>
          <w:szCs w:val="20"/>
          <w:lang w:eastAsia="fr-FR"/>
        </w:rPr>
      </w:pPr>
      <w:r>
        <w:rPr>
          <w:rFonts w:ascii="Arial" w:hAnsi="Arial" w:cs="Arial"/>
          <w:sz w:val="20"/>
          <w:szCs w:val="20"/>
          <w:lang w:eastAsia="fr-FR"/>
        </w:rPr>
        <w:t xml:space="preserve">Des messages qui proviennent de l’intestin, du TA, estomac, foie et pancréas, et qui remontent vers le SNC et notamment au niveau de l’hypothalamus. </w:t>
      </w:r>
    </w:p>
    <w:p w14:paraId="6290BAD2" w14:textId="77777777" w:rsidR="00ED4694" w:rsidRDefault="00ED4694" w:rsidP="00ED4694">
      <w:pPr>
        <w:pStyle w:val="Sansinterligne"/>
        <w:jc w:val="both"/>
        <w:rPr>
          <w:rFonts w:ascii="Arial" w:hAnsi="Arial" w:cs="Arial"/>
          <w:sz w:val="20"/>
          <w:szCs w:val="20"/>
          <w:lang w:eastAsia="fr-FR"/>
        </w:rPr>
      </w:pPr>
      <w:r>
        <w:rPr>
          <w:rFonts w:ascii="Arial" w:hAnsi="Arial" w:cs="Arial"/>
          <w:sz w:val="20"/>
          <w:szCs w:val="20"/>
          <w:lang w:eastAsia="fr-FR"/>
        </w:rPr>
        <w:t>La leptine (anorexigène) et ghréline (orexigène) agissent au niveau du noyau arqué.</w:t>
      </w:r>
    </w:p>
    <w:p w14:paraId="655BEB52" w14:textId="77777777" w:rsidR="00ED4694" w:rsidRPr="00743094" w:rsidRDefault="00ED4694" w:rsidP="00ED4694">
      <w:pPr>
        <w:pStyle w:val="Sansinterligne"/>
        <w:jc w:val="both"/>
        <w:rPr>
          <w:rFonts w:ascii="Arial" w:hAnsi="Arial" w:cs="Arial"/>
          <w:sz w:val="20"/>
          <w:szCs w:val="20"/>
          <w:lang w:eastAsia="fr-FR"/>
        </w:rPr>
      </w:pPr>
      <w:r>
        <w:rPr>
          <w:rFonts w:ascii="Arial" w:hAnsi="Arial" w:cs="Arial"/>
          <w:sz w:val="20"/>
          <w:szCs w:val="20"/>
          <w:lang w:eastAsia="fr-FR"/>
        </w:rPr>
        <w:t xml:space="preserve">Il y a aussi des voies descendantes qui partent du SNC vers le muscle, le TA brun et blanc,  pour permettre la régulation de l’homéostasie énergétique et du stockage des sucres au niveau de ces tissus. </w:t>
      </w:r>
    </w:p>
    <w:p w14:paraId="125F8B3F" w14:textId="77777777" w:rsidR="00ED4694" w:rsidRDefault="00ED4694" w:rsidP="00ED4694">
      <w:pPr>
        <w:pStyle w:val="Sansinterligne"/>
        <w:jc w:val="both"/>
        <w:rPr>
          <w:rFonts w:ascii="Arial" w:hAnsi="Arial" w:cs="Arial"/>
          <w:sz w:val="20"/>
          <w:szCs w:val="20"/>
          <w:u w:val="single"/>
          <w:lang w:eastAsia="fr-FR"/>
        </w:rPr>
      </w:pPr>
    </w:p>
    <w:p w14:paraId="766DBD49" w14:textId="77777777" w:rsidR="00ED4694" w:rsidRDefault="00ED4694" w:rsidP="00ED4694">
      <w:pPr>
        <w:pStyle w:val="Sansinterligne"/>
        <w:jc w:val="both"/>
        <w:rPr>
          <w:rFonts w:ascii="Arial" w:hAnsi="Arial" w:cs="Arial"/>
          <w:sz w:val="20"/>
          <w:szCs w:val="20"/>
          <w:u w:val="single"/>
          <w:lang w:eastAsia="fr-FR"/>
        </w:rPr>
      </w:pPr>
    </w:p>
    <w:p w14:paraId="6B038BB5" w14:textId="77777777" w:rsidR="00ED4694" w:rsidRDefault="00ED4694" w:rsidP="00ED4694">
      <w:pPr>
        <w:pStyle w:val="Sansinterligne"/>
        <w:jc w:val="both"/>
        <w:rPr>
          <w:rFonts w:ascii="Arial" w:hAnsi="Arial" w:cs="Arial"/>
          <w:sz w:val="20"/>
          <w:szCs w:val="20"/>
          <w:u w:val="single"/>
          <w:lang w:eastAsia="fr-FR"/>
        </w:rPr>
      </w:pPr>
    </w:p>
    <w:p w14:paraId="02139811" w14:textId="77777777" w:rsidR="00ED4694" w:rsidRDefault="00ED4694" w:rsidP="00ED4694">
      <w:pPr>
        <w:pStyle w:val="Sansinterligne"/>
        <w:jc w:val="both"/>
        <w:rPr>
          <w:rFonts w:ascii="Arial" w:hAnsi="Arial" w:cs="Arial"/>
          <w:sz w:val="20"/>
          <w:szCs w:val="20"/>
          <w:u w:val="single"/>
          <w:lang w:eastAsia="fr-FR"/>
        </w:rPr>
      </w:pPr>
    </w:p>
    <w:p w14:paraId="44BD7AA6" w14:textId="77777777" w:rsidR="00ED4694" w:rsidRDefault="00ED4694" w:rsidP="00ED4694">
      <w:pPr>
        <w:pStyle w:val="Sansinterligne"/>
        <w:jc w:val="both"/>
        <w:rPr>
          <w:rFonts w:ascii="Arial" w:hAnsi="Arial" w:cs="Arial"/>
          <w:sz w:val="20"/>
          <w:szCs w:val="20"/>
          <w:u w:val="single"/>
          <w:lang w:eastAsia="fr-FR"/>
        </w:rPr>
      </w:pPr>
    </w:p>
    <w:p w14:paraId="34170E2C" w14:textId="77777777" w:rsidR="00ED4694" w:rsidRDefault="00ED4694" w:rsidP="00ED4694">
      <w:pPr>
        <w:pStyle w:val="Sansinterligne"/>
        <w:jc w:val="both"/>
        <w:rPr>
          <w:rFonts w:ascii="Arial" w:hAnsi="Arial" w:cs="Arial"/>
          <w:sz w:val="20"/>
          <w:szCs w:val="20"/>
          <w:u w:val="single"/>
          <w:lang w:eastAsia="fr-FR"/>
        </w:rPr>
      </w:pPr>
    </w:p>
    <w:p w14:paraId="73876C9F" w14:textId="77777777" w:rsidR="00ED4694" w:rsidRDefault="00ED4694" w:rsidP="00ED4694">
      <w:pPr>
        <w:pStyle w:val="Sansinterligne"/>
        <w:jc w:val="both"/>
        <w:rPr>
          <w:rFonts w:ascii="Arial" w:hAnsi="Arial" w:cs="Arial"/>
          <w:sz w:val="20"/>
          <w:szCs w:val="20"/>
          <w:u w:val="single"/>
          <w:lang w:eastAsia="fr-FR"/>
        </w:rPr>
      </w:pPr>
      <w:r w:rsidRPr="00B15634">
        <w:rPr>
          <w:rFonts w:ascii="Arial" w:hAnsi="Arial" w:cs="Arial"/>
          <w:sz w:val="20"/>
          <w:szCs w:val="20"/>
          <w:u w:val="single"/>
          <w:lang w:eastAsia="fr-FR"/>
        </w:rPr>
        <w:t xml:space="preserve">Obésité et peptides de la prise alimentaire </w:t>
      </w:r>
    </w:p>
    <w:p w14:paraId="2D5F0A45" w14:textId="77777777" w:rsidR="00ED4694" w:rsidRPr="00B616CF" w:rsidRDefault="00ED4694" w:rsidP="00ED4694">
      <w:pPr>
        <w:pStyle w:val="Sansinterligne"/>
        <w:jc w:val="both"/>
        <w:rPr>
          <w:rFonts w:ascii="Arial" w:hAnsi="Arial" w:cs="Arial"/>
          <w:sz w:val="20"/>
          <w:szCs w:val="20"/>
          <w:u w:val="single"/>
          <w:lang w:eastAsia="fr-FR"/>
        </w:rPr>
      </w:pPr>
      <w:r w:rsidRPr="00B15634">
        <w:rPr>
          <w:rFonts w:ascii="Arial" w:hAnsi="Arial" w:cs="Arial"/>
          <w:noProof/>
          <w:sz w:val="20"/>
          <w:szCs w:val="20"/>
          <w:lang w:eastAsia="fr-FR"/>
        </w:rPr>
        <w:drawing>
          <wp:anchor distT="0" distB="0" distL="114300" distR="114300" simplePos="0" relativeHeight="251714560" behindDoc="1" locked="0" layoutInCell="1" allowOverlap="1" wp14:anchorId="4818C935" wp14:editId="79EBC048">
            <wp:simplePos x="0" y="0"/>
            <wp:positionH relativeFrom="column">
              <wp:posOffset>19264</wp:posOffset>
            </wp:positionH>
            <wp:positionV relativeFrom="paragraph">
              <wp:posOffset>95885</wp:posOffset>
            </wp:positionV>
            <wp:extent cx="3666490" cy="1499235"/>
            <wp:effectExtent l="0" t="0" r="3810" b="0"/>
            <wp:wrapTight wrapText="bothSides">
              <wp:wrapPolygon edited="0">
                <wp:start x="0" y="0"/>
                <wp:lineTo x="0" y="21408"/>
                <wp:lineTo x="21548" y="21408"/>
                <wp:lineTo x="21548" y="0"/>
                <wp:lineTo x="0" y="0"/>
              </wp:wrapPolygon>
            </wp:wrapTight>
            <wp:docPr id="4266920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692009"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666490" cy="1499235"/>
                    </a:xfrm>
                    <a:prstGeom prst="rect">
                      <a:avLst/>
                    </a:prstGeom>
                  </pic:spPr>
                </pic:pic>
              </a:graphicData>
            </a:graphic>
            <wp14:sizeRelH relativeFrom="page">
              <wp14:pctWidth>0</wp14:pctWidth>
            </wp14:sizeRelH>
            <wp14:sizeRelV relativeFrom="page">
              <wp14:pctHeight>0</wp14:pctHeight>
            </wp14:sizeRelV>
          </wp:anchor>
        </w:drawing>
      </w:r>
    </w:p>
    <w:p w14:paraId="3219D24F" w14:textId="77777777" w:rsidR="00ED4694" w:rsidRPr="00B15634" w:rsidRDefault="00ED4694" w:rsidP="00ED4694">
      <w:pPr>
        <w:pStyle w:val="Sansinterligne"/>
        <w:rPr>
          <w:rFonts w:ascii="Arial" w:hAnsi="Arial" w:cs="Arial"/>
          <w:sz w:val="20"/>
          <w:szCs w:val="20"/>
          <w:lang w:eastAsia="fr-FR"/>
        </w:rPr>
      </w:pPr>
    </w:p>
    <w:p w14:paraId="23A5E0FD" w14:textId="77777777" w:rsidR="00ED4694" w:rsidRPr="00C2418B" w:rsidRDefault="00ED4694" w:rsidP="00ED4694">
      <w:pPr>
        <w:pStyle w:val="Sansinterligne"/>
        <w:jc w:val="both"/>
        <w:rPr>
          <w:rFonts w:ascii="Arial" w:hAnsi="Arial" w:cs="Arial"/>
          <w:color w:val="000000" w:themeColor="text1"/>
          <w:sz w:val="20"/>
          <w:szCs w:val="20"/>
          <w:u w:val="single"/>
          <w:lang w:eastAsia="fr-FR"/>
        </w:rPr>
      </w:pPr>
      <w:r w:rsidRPr="00C2418B">
        <w:rPr>
          <w:rFonts w:ascii="Arial" w:hAnsi="Arial" w:cs="Arial"/>
          <w:color w:val="000000" w:themeColor="text1"/>
          <w:sz w:val="20"/>
          <w:szCs w:val="20"/>
          <w:u w:val="single"/>
          <w:lang w:eastAsia="fr-FR"/>
        </w:rPr>
        <w:t>Lors du 1</w:t>
      </w:r>
      <w:r w:rsidRPr="00C2418B">
        <w:rPr>
          <w:rFonts w:ascii="Arial" w:hAnsi="Arial" w:cs="Arial"/>
          <w:color w:val="000000" w:themeColor="text1"/>
          <w:sz w:val="20"/>
          <w:szCs w:val="20"/>
          <w:u w:val="single"/>
          <w:vertAlign w:val="superscript"/>
          <w:lang w:eastAsia="fr-FR"/>
        </w:rPr>
        <w:t>er</w:t>
      </w:r>
      <w:r w:rsidRPr="00C2418B">
        <w:rPr>
          <w:rFonts w:ascii="Arial" w:hAnsi="Arial" w:cs="Arial"/>
          <w:color w:val="000000" w:themeColor="text1"/>
          <w:sz w:val="20"/>
          <w:szCs w:val="20"/>
          <w:u w:val="single"/>
          <w:lang w:eastAsia="fr-FR"/>
        </w:rPr>
        <w:t xml:space="preserve"> passage à l’état obèse : </w:t>
      </w:r>
    </w:p>
    <w:p w14:paraId="2DB51DE8" w14:textId="77777777" w:rsidR="00ED4694" w:rsidRDefault="00ED4694" w:rsidP="00ED4694">
      <w:pPr>
        <w:pStyle w:val="Sansinterligne"/>
        <w:jc w:val="both"/>
        <w:rPr>
          <w:rFonts w:ascii="Arial" w:hAnsi="Arial" w:cs="Arial"/>
          <w:sz w:val="20"/>
          <w:szCs w:val="20"/>
          <w:lang w:eastAsia="fr-FR"/>
        </w:rPr>
      </w:pPr>
      <w:r>
        <w:rPr>
          <w:rFonts w:ascii="Arial" w:hAnsi="Arial" w:cs="Arial"/>
          <w:color w:val="000000" w:themeColor="text1"/>
          <w:sz w:val="20"/>
          <w:szCs w:val="20"/>
          <w:lang w:eastAsia="fr-FR"/>
        </w:rPr>
        <w:t xml:space="preserve">- </w:t>
      </w:r>
      <w:r w:rsidRPr="00B15634">
        <w:rPr>
          <w:rFonts w:ascii="Arial" w:hAnsi="Arial" w:cs="Arial"/>
          <w:sz w:val="20"/>
          <w:szCs w:val="20"/>
          <w:lang w:eastAsia="fr-FR"/>
        </w:rPr>
        <w:t>↑</w:t>
      </w:r>
      <w:r>
        <w:rPr>
          <w:rFonts w:ascii="Arial" w:hAnsi="Arial" w:cs="Arial"/>
          <w:sz w:val="20"/>
          <w:szCs w:val="20"/>
          <w:lang w:eastAsia="fr-FR"/>
        </w:rPr>
        <w:t xml:space="preserve"> du nb et de la taille des adipocytes</w:t>
      </w:r>
    </w:p>
    <w:p w14:paraId="18491883" w14:textId="77777777" w:rsidR="00ED4694" w:rsidRDefault="00ED4694" w:rsidP="00ED4694">
      <w:pPr>
        <w:pStyle w:val="Sansinterligne"/>
        <w:jc w:val="both"/>
        <w:rPr>
          <w:rFonts w:ascii="Arial" w:hAnsi="Arial" w:cs="Arial"/>
          <w:sz w:val="20"/>
          <w:szCs w:val="20"/>
          <w:lang w:eastAsia="fr-FR"/>
        </w:rPr>
      </w:pPr>
      <w:r>
        <w:rPr>
          <w:rFonts w:ascii="Arial" w:hAnsi="Arial" w:cs="Arial"/>
          <w:sz w:val="20"/>
          <w:szCs w:val="20"/>
          <w:lang w:eastAsia="fr-FR"/>
        </w:rPr>
        <w:t xml:space="preserve">- accumulation de la matrice extra cellulaire </w:t>
      </w:r>
    </w:p>
    <w:p w14:paraId="473E1B27" w14:textId="77777777" w:rsidR="00ED4694" w:rsidRPr="00B616CF" w:rsidRDefault="00ED4694" w:rsidP="00ED4694">
      <w:pPr>
        <w:pStyle w:val="Sansinterligne"/>
        <w:jc w:val="both"/>
        <w:rPr>
          <w:rFonts w:ascii="Arial" w:hAnsi="Arial" w:cs="Arial"/>
          <w:color w:val="000000" w:themeColor="text1"/>
          <w:sz w:val="20"/>
          <w:szCs w:val="20"/>
          <w:lang w:eastAsia="fr-FR"/>
        </w:rPr>
      </w:pPr>
      <w:r>
        <w:rPr>
          <w:rFonts w:ascii="Arial" w:hAnsi="Arial" w:cs="Arial"/>
          <w:sz w:val="20"/>
          <w:szCs w:val="20"/>
          <w:lang w:eastAsia="fr-FR"/>
        </w:rPr>
        <w:t xml:space="preserve">- </w:t>
      </w:r>
      <w:r w:rsidRPr="00B15634">
        <w:rPr>
          <w:rFonts w:ascii="Arial" w:hAnsi="Arial" w:cs="Arial"/>
          <w:sz w:val="20"/>
          <w:szCs w:val="20"/>
          <w:lang w:eastAsia="fr-FR"/>
        </w:rPr>
        <w:t>↑</w:t>
      </w:r>
      <w:r>
        <w:rPr>
          <w:rFonts w:ascii="Arial" w:hAnsi="Arial" w:cs="Arial"/>
          <w:sz w:val="20"/>
          <w:szCs w:val="20"/>
          <w:lang w:eastAsia="fr-FR"/>
        </w:rPr>
        <w:t xml:space="preserve"> nb macrophages</w:t>
      </w:r>
    </w:p>
    <w:p w14:paraId="34A47E89" w14:textId="77777777" w:rsidR="00ED4694" w:rsidRDefault="00ED4694" w:rsidP="00ED4694">
      <w:pPr>
        <w:pStyle w:val="Sansinterligne"/>
        <w:jc w:val="both"/>
        <w:rPr>
          <w:rFonts w:ascii="Arial" w:hAnsi="Arial" w:cs="Arial"/>
          <w:color w:val="000000" w:themeColor="text1"/>
          <w:sz w:val="20"/>
          <w:szCs w:val="20"/>
          <w:u w:val="single"/>
          <w:lang w:eastAsia="fr-FR"/>
        </w:rPr>
      </w:pPr>
    </w:p>
    <w:p w14:paraId="25971FAB" w14:textId="77777777" w:rsidR="00ED4694" w:rsidRDefault="00ED4694" w:rsidP="00ED4694">
      <w:pPr>
        <w:pStyle w:val="Sansinterligne"/>
        <w:jc w:val="both"/>
        <w:rPr>
          <w:rFonts w:ascii="Arial" w:hAnsi="Arial" w:cs="Arial"/>
          <w:color w:val="000000" w:themeColor="text1"/>
          <w:sz w:val="20"/>
          <w:szCs w:val="20"/>
          <w:u w:val="single"/>
          <w:lang w:eastAsia="fr-FR"/>
        </w:rPr>
      </w:pPr>
    </w:p>
    <w:p w14:paraId="31A6AB0E" w14:textId="77777777" w:rsidR="00ED4694" w:rsidRDefault="00ED4694" w:rsidP="00ED4694">
      <w:pPr>
        <w:pStyle w:val="Sansinterligne"/>
        <w:jc w:val="both"/>
        <w:rPr>
          <w:rFonts w:ascii="Arial" w:hAnsi="Arial" w:cs="Arial"/>
          <w:color w:val="000000" w:themeColor="text1"/>
          <w:sz w:val="20"/>
          <w:szCs w:val="20"/>
          <w:u w:val="single"/>
          <w:lang w:eastAsia="fr-FR"/>
        </w:rPr>
      </w:pPr>
    </w:p>
    <w:p w14:paraId="61FCF9F2" w14:textId="77777777" w:rsidR="00ED4694" w:rsidRDefault="00ED4694" w:rsidP="00ED4694">
      <w:pPr>
        <w:pStyle w:val="Sansinterligne"/>
        <w:jc w:val="both"/>
        <w:rPr>
          <w:rFonts w:ascii="Arial" w:hAnsi="Arial" w:cs="Arial"/>
          <w:color w:val="000000" w:themeColor="text1"/>
          <w:sz w:val="20"/>
          <w:szCs w:val="20"/>
          <w:u w:val="single"/>
          <w:lang w:eastAsia="fr-FR"/>
        </w:rPr>
      </w:pPr>
    </w:p>
    <w:p w14:paraId="410DAC27" w14:textId="77777777" w:rsidR="00ED4694" w:rsidRPr="00440C8F" w:rsidRDefault="00ED4694" w:rsidP="00ED4694">
      <w:pPr>
        <w:pStyle w:val="Sansinterligne"/>
        <w:numPr>
          <w:ilvl w:val="0"/>
          <w:numId w:val="156"/>
        </w:numPr>
        <w:jc w:val="both"/>
        <w:rPr>
          <w:rFonts w:ascii="Arial" w:hAnsi="Arial" w:cs="Arial"/>
          <w:color w:val="ED7D31" w:themeColor="accent2"/>
          <w:sz w:val="20"/>
          <w:szCs w:val="20"/>
          <w:u w:val="single"/>
          <w:lang w:eastAsia="fr-FR"/>
        </w:rPr>
      </w:pPr>
      <w:r w:rsidRPr="00440C8F">
        <w:rPr>
          <w:rFonts w:ascii="Arial" w:hAnsi="Arial" w:cs="Arial"/>
          <w:color w:val="ED7D31" w:themeColor="accent2"/>
          <w:sz w:val="20"/>
          <w:szCs w:val="20"/>
          <w:u w:val="single"/>
          <w:lang w:eastAsia="fr-FR"/>
        </w:rPr>
        <w:lastRenderedPageBreak/>
        <w:t xml:space="preserve">Complications de l’obésité </w:t>
      </w:r>
    </w:p>
    <w:p w14:paraId="44923BF2" w14:textId="77777777" w:rsidR="00ED4694" w:rsidRPr="00B15634" w:rsidRDefault="00ED4694" w:rsidP="00ED4694">
      <w:pPr>
        <w:pStyle w:val="Sansinterligne"/>
        <w:jc w:val="center"/>
        <w:rPr>
          <w:rFonts w:ascii="Arial" w:hAnsi="Arial" w:cs="Arial"/>
          <w:sz w:val="20"/>
          <w:szCs w:val="20"/>
          <w:lang w:eastAsia="fr-FR"/>
        </w:rPr>
      </w:pPr>
      <w:r w:rsidRPr="00B15634">
        <w:rPr>
          <w:rFonts w:ascii="Arial" w:hAnsi="Arial" w:cs="Arial"/>
          <w:noProof/>
          <w:sz w:val="20"/>
          <w:szCs w:val="20"/>
          <w:lang w:eastAsia="fr-FR"/>
        </w:rPr>
        <w:drawing>
          <wp:anchor distT="0" distB="0" distL="114300" distR="114300" simplePos="0" relativeHeight="251715584" behindDoc="1" locked="0" layoutInCell="1" allowOverlap="1" wp14:anchorId="643C75AD" wp14:editId="7E7B60DC">
            <wp:simplePos x="0" y="0"/>
            <wp:positionH relativeFrom="column">
              <wp:posOffset>-215257</wp:posOffset>
            </wp:positionH>
            <wp:positionV relativeFrom="paragraph">
              <wp:posOffset>90805</wp:posOffset>
            </wp:positionV>
            <wp:extent cx="4825461" cy="2991600"/>
            <wp:effectExtent l="0" t="0" r="635" b="5715"/>
            <wp:wrapTight wrapText="bothSides">
              <wp:wrapPolygon edited="0">
                <wp:start x="0" y="0"/>
                <wp:lineTo x="0" y="21550"/>
                <wp:lineTo x="21546" y="21550"/>
                <wp:lineTo x="21546" y="0"/>
                <wp:lineTo x="0" y="0"/>
              </wp:wrapPolygon>
            </wp:wrapTight>
            <wp:docPr id="5353058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05878" name=""/>
                    <pic:cNvPicPr/>
                  </pic:nvPicPr>
                  <pic:blipFill>
                    <a:blip r:embed="rId102">
                      <a:extLst>
                        <a:ext uri="{28A0092B-C50C-407E-A947-70E740481C1C}">
                          <a14:useLocalDpi xmlns:a14="http://schemas.microsoft.com/office/drawing/2010/main" val="0"/>
                        </a:ext>
                      </a:extLst>
                    </a:blip>
                    <a:stretch>
                      <a:fillRect/>
                    </a:stretch>
                  </pic:blipFill>
                  <pic:spPr>
                    <a:xfrm>
                      <a:off x="0" y="0"/>
                      <a:ext cx="4825461" cy="2991600"/>
                    </a:xfrm>
                    <a:prstGeom prst="rect">
                      <a:avLst/>
                    </a:prstGeom>
                  </pic:spPr>
                </pic:pic>
              </a:graphicData>
            </a:graphic>
            <wp14:sizeRelH relativeFrom="page">
              <wp14:pctWidth>0</wp14:pctWidth>
            </wp14:sizeRelH>
            <wp14:sizeRelV relativeFrom="page">
              <wp14:pctHeight>0</wp14:pctHeight>
            </wp14:sizeRelV>
          </wp:anchor>
        </w:drawing>
      </w:r>
    </w:p>
    <w:p w14:paraId="39127C58" w14:textId="77777777" w:rsidR="00ED4694" w:rsidRPr="00B15634" w:rsidRDefault="00ED4694" w:rsidP="00ED4694">
      <w:pPr>
        <w:pStyle w:val="Sansinterligne"/>
        <w:rPr>
          <w:rFonts w:ascii="Arial" w:hAnsi="Arial" w:cs="Arial"/>
          <w:sz w:val="20"/>
          <w:szCs w:val="20"/>
          <w:lang w:eastAsia="fr-FR"/>
        </w:rPr>
      </w:pPr>
    </w:p>
    <w:p w14:paraId="1539161C" w14:textId="77777777" w:rsidR="00ED4694" w:rsidRPr="00C2418B" w:rsidRDefault="00ED4694" w:rsidP="00ED4694">
      <w:pPr>
        <w:pStyle w:val="Sansinterligne"/>
        <w:rPr>
          <w:rFonts w:ascii="Arial" w:hAnsi="Arial" w:cs="Arial"/>
          <w:sz w:val="20"/>
          <w:szCs w:val="20"/>
          <w:u w:val="single"/>
          <w:lang w:eastAsia="fr-FR"/>
        </w:rPr>
      </w:pPr>
      <w:r w:rsidRPr="00C2418B">
        <w:rPr>
          <w:rFonts w:ascii="Arial" w:hAnsi="Arial" w:cs="Arial"/>
          <w:sz w:val="20"/>
          <w:szCs w:val="20"/>
          <w:u w:val="single"/>
          <w:lang w:eastAsia="fr-FR"/>
        </w:rPr>
        <w:t xml:space="preserve">Complications multiples qui atteignent tous les organes : </w:t>
      </w:r>
    </w:p>
    <w:p w14:paraId="4A11F75A" w14:textId="77777777" w:rsidR="00ED4694" w:rsidRDefault="00ED4694" w:rsidP="00ED4694">
      <w:pPr>
        <w:pStyle w:val="Sansinterligne"/>
        <w:ind w:left="360"/>
        <w:rPr>
          <w:rFonts w:ascii="Arial" w:hAnsi="Arial" w:cs="Arial"/>
          <w:sz w:val="20"/>
          <w:szCs w:val="20"/>
          <w:lang w:eastAsia="fr-FR"/>
        </w:rPr>
      </w:pPr>
      <w:r>
        <w:rPr>
          <w:rFonts w:ascii="Arial" w:hAnsi="Arial" w:cs="Arial"/>
          <w:sz w:val="20"/>
          <w:szCs w:val="20"/>
          <w:lang w:eastAsia="fr-FR"/>
        </w:rPr>
        <w:t>- Psychosociale : troubles dépressifs</w:t>
      </w:r>
    </w:p>
    <w:p w14:paraId="2E4B26F7" w14:textId="77777777" w:rsidR="00ED4694" w:rsidRDefault="00ED4694" w:rsidP="00ED4694">
      <w:pPr>
        <w:pStyle w:val="Sansinterligne"/>
        <w:ind w:left="360"/>
        <w:rPr>
          <w:rFonts w:ascii="Arial" w:hAnsi="Arial" w:cs="Arial"/>
          <w:sz w:val="20"/>
          <w:szCs w:val="20"/>
          <w:lang w:eastAsia="fr-FR"/>
        </w:rPr>
      </w:pPr>
      <w:r>
        <w:rPr>
          <w:rFonts w:ascii="Arial" w:hAnsi="Arial" w:cs="Arial"/>
          <w:sz w:val="20"/>
          <w:szCs w:val="20"/>
          <w:lang w:eastAsia="fr-FR"/>
        </w:rPr>
        <w:t>- Digestif : dysbiose intestinale : flore intestinale modifiée, perméabilité intestinale, infiltration macrophages</w:t>
      </w:r>
    </w:p>
    <w:p w14:paraId="1422A175" w14:textId="77777777" w:rsidR="00ED4694" w:rsidRPr="00B15634" w:rsidRDefault="00ED4694" w:rsidP="00ED4694">
      <w:pPr>
        <w:pStyle w:val="Sansinterligne"/>
        <w:ind w:left="360"/>
        <w:rPr>
          <w:rFonts w:ascii="Arial" w:hAnsi="Arial" w:cs="Arial"/>
          <w:sz w:val="20"/>
          <w:szCs w:val="20"/>
          <w:lang w:eastAsia="fr-FR"/>
        </w:rPr>
      </w:pPr>
      <w:r>
        <w:rPr>
          <w:rFonts w:ascii="Arial" w:hAnsi="Arial" w:cs="Arial"/>
          <w:sz w:val="20"/>
          <w:szCs w:val="20"/>
          <w:lang w:eastAsia="fr-FR"/>
        </w:rPr>
        <w:t>- Faiblesse musculaire et osseuse</w:t>
      </w:r>
    </w:p>
    <w:p w14:paraId="0F98C32C" w14:textId="77777777" w:rsidR="00ED4694" w:rsidRPr="00B15634" w:rsidRDefault="00ED4694" w:rsidP="00ED4694">
      <w:pPr>
        <w:pStyle w:val="Sansinterligne"/>
        <w:jc w:val="center"/>
        <w:rPr>
          <w:rFonts w:ascii="Arial" w:hAnsi="Arial" w:cs="Arial"/>
          <w:sz w:val="20"/>
          <w:szCs w:val="20"/>
          <w:lang w:eastAsia="fr-FR"/>
        </w:rPr>
      </w:pPr>
    </w:p>
    <w:p w14:paraId="72843544" w14:textId="77777777" w:rsidR="00ED4694" w:rsidRPr="00B15634" w:rsidRDefault="00ED4694" w:rsidP="00ED4694">
      <w:pPr>
        <w:pStyle w:val="Sansinterligne"/>
        <w:jc w:val="both"/>
        <w:rPr>
          <w:rFonts w:ascii="Arial" w:hAnsi="Arial" w:cs="Arial"/>
          <w:sz w:val="20"/>
          <w:szCs w:val="20"/>
          <w:lang w:eastAsia="fr-FR"/>
        </w:rPr>
      </w:pPr>
      <w:r w:rsidRPr="00B15634">
        <w:rPr>
          <w:rFonts w:ascii="Arial" w:hAnsi="Arial" w:cs="Arial"/>
          <w:sz w:val="20"/>
          <w:szCs w:val="20"/>
          <w:lang w:eastAsia="fr-FR"/>
        </w:rPr>
        <w:fldChar w:fldCharType="begin"/>
      </w:r>
      <w:r w:rsidRPr="00B15634">
        <w:rPr>
          <w:rFonts w:ascii="Arial" w:hAnsi="Arial" w:cs="Arial"/>
          <w:sz w:val="20"/>
          <w:szCs w:val="20"/>
          <w:lang w:eastAsia="fr-FR"/>
        </w:rPr>
        <w:instrText xml:space="preserve"> INCLUDEPICTURE "/Users/alienorprudhomme/Library/Group Containers/UBF8T346G9.ms/WebArchiveCopyPasteTempFiles/com.microsoft.Word/page33image583075808" \* MERGEFORMATINET </w:instrText>
      </w:r>
      <w:r w:rsidRPr="00B15634">
        <w:rPr>
          <w:rFonts w:ascii="Arial" w:hAnsi="Arial" w:cs="Arial"/>
          <w:sz w:val="20"/>
          <w:szCs w:val="20"/>
          <w:lang w:eastAsia="fr-FR"/>
        </w:rPr>
        <w:fldChar w:fldCharType="separate"/>
      </w:r>
      <w:r w:rsidRPr="00B15634">
        <w:rPr>
          <w:rFonts w:ascii="Arial" w:hAnsi="Arial" w:cs="Arial"/>
          <w:noProof/>
          <w:sz w:val="20"/>
          <w:szCs w:val="20"/>
          <w:lang w:eastAsia="fr-FR"/>
        </w:rPr>
        <w:drawing>
          <wp:inline distT="0" distB="0" distL="0" distR="0" wp14:anchorId="5E3FD128" wp14:editId="5147C153">
            <wp:extent cx="6645910" cy="22225"/>
            <wp:effectExtent l="0" t="0" r="0" b="0"/>
            <wp:docPr id="1000140886" name="Image 26" descr="page33image58307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age33image58307580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645910" cy="22225"/>
                    </a:xfrm>
                    <a:prstGeom prst="rect">
                      <a:avLst/>
                    </a:prstGeom>
                    <a:noFill/>
                    <a:ln>
                      <a:noFill/>
                    </a:ln>
                  </pic:spPr>
                </pic:pic>
              </a:graphicData>
            </a:graphic>
          </wp:inline>
        </w:drawing>
      </w:r>
      <w:r w:rsidRPr="00B15634">
        <w:rPr>
          <w:rFonts w:ascii="Arial" w:hAnsi="Arial" w:cs="Arial"/>
          <w:sz w:val="20"/>
          <w:szCs w:val="20"/>
          <w:lang w:eastAsia="fr-FR"/>
        </w:rPr>
        <w:fldChar w:fldCharType="end"/>
      </w:r>
    </w:p>
    <w:p w14:paraId="54FC5A14" w14:textId="77777777" w:rsidR="00ED4694" w:rsidRPr="00B15634" w:rsidRDefault="00ED4694" w:rsidP="00ED4694">
      <w:pPr>
        <w:pStyle w:val="Sansinterligne"/>
        <w:jc w:val="both"/>
        <w:rPr>
          <w:rFonts w:ascii="Arial" w:hAnsi="Arial" w:cs="Arial"/>
          <w:color w:val="006DBF"/>
          <w:sz w:val="20"/>
          <w:szCs w:val="20"/>
          <w:lang w:eastAsia="fr-FR"/>
        </w:rPr>
      </w:pPr>
      <w:r w:rsidRPr="00B15634">
        <w:rPr>
          <w:rFonts w:ascii="Arial" w:hAnsi="Arial" w:cs="Arial"/>
          <w:noProof/>
          <w:color w:val="006DBF"/>
          <w:sz w:val="20"/>
          <w:szCs w:val="20"/>
          <w:lang w:eastAsia="fr-FR"/>
        </w:rPr>
        <w:drawing>
          <wp:inline distT="0" distB="0" distL="0" distR="0" wp14:anchorId="48D0662B" wp14:editId="7DEC515D">
            <wp:extent cx="6645910" cy="3773805"/>
            <wp:effectExtent l="0" t="0" r="0" b="0"/>
            <wp:docPr id="12220564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56475" name=""/>
                    <pic:cNvPicPr/>
                  </pic:nvPicPr>
                  <pic:blipFill>
                    <a:blip r:embed="rId104"/>
                    <a:stretch>
                      <a:fillRect/>
                    </a:stretch>
                  </pic:blipFill>
                  <pic:spPr>
                    <a:xfrm>
                      <a:off x="0" y="0"/>
                      <a:ext cx="6645910" cy="3773805"/>
                    </a:xfrm>
                    <a:prstGeom prst="rect">
                      <a:avLst/>
                    </a:prstGeom>
                  </pic:spPr>
                </pic:pic>
              </a:graphicData>
            </a:graphic>
          </wp:inline>
        </w:drawing>
      </w:r>
    </w:p>
    <w:p w14:paraId="70188C27" w14:textId="77777777" w:rsidR="00ED4694" w:rsidRPr="00B15634" w:rsidRDefault="00ED4694" w:rsidP="00ED4694">
      <w:pPr>
        <w:pStyle w:val="Sansinterligne"/>
        <w:jc w:val="both"/>
        <w:rPr>
          <w:rFonts w:ascii="Arial" w:hAnsi="Arial" w:cs="Arial"/>
          <w:color w:val="006DBF"/>
          <w:sz w:val="20"/>
          <w:szCs w:val="20"/>
          <w:lang w:eastAsia="fr-FR"/>
        </w:rPr>
      </w:pPr>
    </w:p>
    <w:p w14:paraId="78C59AAB" w14:textId="77777777" w:rsidR="00ED4694" w:rsidRDefault="00ED4694" w:rsidP="00ED4694">
      <w:pPr>
        <w:pStyle w:val="Sansinterligne"/>
        <w:jc w:val="both"/>
        <w:rPr>
          <w:rFonts w:ascii="Arial" w:hAnsi="Arial" w:cs="Arial"/>
          <w:color w:val="000000" w:themeColor="text1"/>
          <w:sz w:val="20"/>
          <w:szCs w:val="20"/>
          <w:lang w:eastAsia="fr-FR"/>
        </w:rPr>
      </w:pPr>
      <w:r>
        <w:rPr>
          <w:rFonts w:ascii="Arial" w:hAnsi="Arial" w:cs="Arial"/>
          <w:color w:val="000000" w:themeColor="text1"/>
          <w:sz w:val="20"/>
          <w:szCs w:val="20"/>
          <w:lang w:eastAsia="fr-FR"/>
        </w:rPr>
        <w:t>Le traitement du DT2 passera par le traitement de l’obésité. Attention à ne pas réduire l’hyperglycémie importante. On ne pourra donc pas traiter le DT2 insulinorésistant que par de l’insuline car il entraîne une prise de poids significative.</w:t>
      </w:r>
    </w:p>
    <w:p w14:paraId="4FCB7E8B" w14:textId="77777777" w:rsidR="00ED4694" w:rsidRDefault="00ED4694" w:rsidP="00ED4694">
      <w:pPr>
        <w:pStyle w:val="Sansinterligne"/>
        <w:jc w:val="both"/>
        <w:rPr>
          <w:rFonts w:ascii="Arial" w:hAnsi="Arial" w:cs="Arial"/>
          <w:color w:val="000000" w:themeColor="text1"/>
          <w:sz w:val="20"/>
          <w:szCs w:val="20"/>
          <w:lang w:eastAsia="fr-FR"/>
        </w:rPr>
      </w:pPr>
    </w:p>
    <w:p w14:paraId="4CC26E0A" w14:textId="77777777" w:rsidR="00ED4694" w:rsidRDefault="00ED4694" w:rsidP="00ED4694">
      <w:pPr>
        <w:pStyle w:val="Sansinterligne"/>
        <w:jc w:val="both"/>
        <w:rPr>
          <w:rFonts w:ascii="Arial" w:hAnsi="Arial" w:cs="Arial"/>
          <w:color w:val="000000" w:themeColor="text1"/>
          <w:sz w:val="20"/>
          <w:szCs w:val="20"/>
          <w:lang w:eastAsia="fr-FR"/>
        </w:rPr>
      </w:pPr>
      <w:r>
        <w:rPr>
          <w:rFonts w:ascii="Arial" w:hAnsi="Arial" w:cs="Arial"/>
          <w:color w:val="000000" w:themeColor="text1"/>
          <w:sz w:val="20"/>
          <w:szCs w:val="20"/>
          <w:lang w:eastAsia="fr-FR"/>
        </w:rPr>
        <w:t xml:space="preserve">Dans l’insulino-résistance, les AG émis par le tissu adipeux viscéral, entraîne un foie stéatosique. Cette étape est encore réversible. Or, dans l’obésité, on arrive à une NASH (non alcoolique stéatose hépatique), qui devient irréversible. </w:t>
      </w:r>
    </w:p>
    <w:p w14:paraId="5A0463C7" w14:textId="77777777" w:rsidR="00ED4694" w:rsidRDefault="00ED4694" w:rsidP="00ED4694">
      <w:pPr>
        <w:pStyle w:val="Sansinterligne"/>
        <w:jc w:val="both"/>
        <w:rPr>
          <w:rFonts w:ascii="Arial" w:hAnsi="Arial" w:cs="Arial"/>
          <w:color w:val="000000" w:themeColor="text1"/>
          <w:sz w:val="20"/>
          <w:szCs w:val="20"/>
          <w:lang w:eastAsia="fr-FR"/>
        </w:rPr>
      </w:pPr>
      <w:r>
        <w:rPr>
          <w:rFonts w:ascii="Arial" w:hAnsi="Arial" w:cs="Arial"/>
          <w:color w:val="000000" w:themeColor="text1"/>
          <w:sz w:val="20"/>
          <w:szCs w:val="20"/>
          <w:lang w:eastAsia="fr-FR"/>
        </w:rPr>
        <w:t>Cette stéatopathie métabolique (présente chez 9 millions de français) entraîne une inflammation et des lésions du tissu hépatique. Cette NASH irréversible peut évoluer vers une cirrhose décompensée voire cancers du foie.</w:t>
      </w:r>
    </w:p>
    <w:p w14:paraId="7574A394" w14:textId="77777777" w:rsidR="00ED4694" w:rsidRDefault="00ED4694" w:rsidP="00ED4694">
      <w:pPr>
        <w:pStyle w:val="Sansinterligne"/>
        <w:jc w:val="both"/>
        <w:rPr>
          <w:rFonts w:ascii="Arial" w:hAnsi="Arial" w:cs="Arial"/>
          <w:color w:val="000000" w:themeColor="text1"/>
          <w:sz w:val="20"/>
          <w:szCs w:val="20"/>
          <w:lang w:eastAsia="fr-FR"/>
        </w:rPr>
      </w:pPr>
    </w:p>
    <w:p w14:paraId="16B46040" w14:textId="77777777" w:rsidR="00ED4694" w:rsidRPr="003E407F" w:rsidRDefault="00ED4694" w:rsidP="00ED4694">
      <w:pPr>
        <w:pStyle w:val="Sansinterligne"/>
        <w:jc w:val="both"/>
        <w:rPr>
          <w:rFonts w:ascii="Arial" w:hAnsi="Arial" w:cs="Arial"/>
          <w:color w:val="000000" w:themeColor="text1"/>
          <w:sz w:val="20"/>
          <w:szCs w:val="20"/>
          <w:u w:val="single"/>
          <w:lang w:eastAsia="fr-FR"/>
        </w:rPr>
      </w:pPr>
      <w:r w:rsidRPr="00E97DE2">
        <w:rPr>
          <w:rFonts w:ascii="Arial" w:hAnsi="Arial" w:cs="Arial"/>
          <w:b/>
          <w:bCs/>
          <w:color w:val="000000" w:themeColor="text1"/>
          <w:sz w:val="20"/>
          <w:szCs w:val="20"/>
          <w:u w:val="single"/>
          <w:lang w:eastAsia="fr-FR"/>
        </w:rPr>
        <w:t>3 pathologies respiratoires</w:t>
      </w:r>
      <w:r w:rsidRPr="003E407F">
        <w:rPr>
          <w:rFonts w:ascii="Arial" w:hAnsi="Arial" w:cs="Arial"/>
          <w:color w:val="000000" w:themeColor="text1"/>
          <w:sz w:val="20"/>
          <w:szCs w:val="20"/>
          <w:u w:val="single"/>
          <w:lang w:eastAsia="fr-FR"/>
        </w:rPr>
        <w:t xml:space="preserve"> seront dépistées et prises en charge : </w:t>
      </w:r>
    </w:p>
    <w:p w14:paraId="20DD37EA" w14:textId="77777777" w:rsidR="00ED4694" w:rsidRDefault="00ED4694" w:rsidP="00ED4694">
      <w:pPr>
        <w:pStyle w:val="Sansinterligne"/>
        <w:numPr>
          <w:ilvl w:val="0"/>
          <w:numId w:val="155"/>
        </w:numPr>
        <w:jc w:val="both"/>
        <w:rPr>
          <w:rFonts w:ascii="Arial" w:hAnsi="Arial" w:cs="Arial"/>
          <w:color w:val="000000" w:themeColor="text1"/>
          <w:sz w:val="20"/>
          <w:szCs w:val="20"/>
          <w:lang w:eastAsia="fr-FR"/>
        </w:rPr>
      </w:pPr>
      <w:r w:rsidRPr="003E407F">
        <w:rPr>
          <w:rFonts w:ascii="Arial" w:hAnsi="Arial" w:cs="Arial"/>
          <w:color w:val="000000" w:themeColor="text1"/>
          <w:sz w:val="20"/>
          <w:szCs w:val="20"/>
          <w:u w:val="single"/>
          <w:lang w:eastAsia="fr-FR"/>
        </w:rPr>
        <w:t>SAOS</w:t>
      </w:r>
      <w:r>
        <w:rPr>
          <w:rFonts w:ascii="Arial" w:hAnsi="Arial" w:cs="Arial"/>
          <w:color w:val="000000" w:themeColor="text1"/>
          <w:sz w:val="20"/>
          <w:szCs w:val="20"/>
          <w:lang w:eastAsia="fr-FR"/>
        </w:rPr>
        <w:t> :</w:t>
      </w:r>
      <w:r w:rsidRPr="00B15634">
        <w:rPr>
          <w:rFonts w:ascii="Arial" w:hAnsi="Arial" w:cs="Arial"/>
          <w:color w:val="000000" w:themeColor="text1"/>
          <w:sz w:val="20"/>
          <w:szCs w:val="20"/>
          <w:lang w:eastAsia="fr-FR"/>
        </w:rPr>
        <w:t xml:space="preserve"> réduction volumes thoraciques et calibre / voies aériennes supérieures</w:t>
      </w:r>
    </w:p>
    <w:p w14:paraId="61B6DC7B" w14:textId="77777777" w:rsidR="00ED4694" w:rsidRPr="003E407F" w:rsidRDefault="00ED4694" w:rsidP="00ED4694">
      <w:pPr>
        <w:pStyle w:val="Sansinterligne"/>
        <w:jc w:val="both"/>
        <w:rPr>
          <w:rFonts w:ascii="Arial" w:hAnsi="Arial" w:cs="Arial"/>
          <w:color w:val="000000" w:themeColor="text1"/>
          <w:sz w:val="20"/>
          <w:szCs w:val="20"/>
          <w:lang w:eastAsia="fr-FR"/>
        </w:rPr>
      </w:pPr>
      <w:r w:rsidRPr="003E407F">
        <w:rPr>
          <w:rFonts w:ascii="Arial" w:hAnsi="Arial" w:cs="Arial"/>
          <w:color w:val="000000" w:themeColor="text1"/>
          <w:sz w:val="20"/>
          <w:szCs w:val="20"/>
          <w:lang w:eastAsia="fr-FR"/>
        </w:rPr>
        <w:t>Signes cliniques : somnolence diurne, ronflements sévères et quotidiens, sensation d’étouffement ou se suffocation pendant le sommeil, fatigue, nycturie et céphalées matinales</w:t>
      </w:r>
    </w:p>
    <w:p w14:paraId="3F3537AC"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Dépistage : polygraphie – polysomnographie respiratoire nocturne</w:t>
      </w:r>
    </w:p>
    <w:p w14:paraId="77A584EB"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TTT : PP continue en 1</w:t>
      </w:r>
      <w:r w:rsidRPr="00B15634">
        <w:rPr>
          <w:rFonts w:ascii="Arial" w:hAnsi="Arial" w:cs="Arial"/>
          <w:color w:val="000000" w:themeColor="text1"/>
          <w:sz w:val="20"/>
          <w:szCs w:val="20"/>
          <w:vertAlign w:val="superscript"/>
          <w:lang w:eastAsia="fr-FR"/>
        </w:rPr>
        <w:t>ère</w:t>
      </w:r>
      <w:r w:rsidRPr="00B15634">
        <w:rPr>
          <w:rFonts w:ascii="Arial" w:hAnsi="Arial" w:cs="Arial"/>
          <w:color w:val="000000" w:themeColor="text1"/>
          <w:sz w:val="20"/>
          <w:szCs w:val="20"/>
          <w:lang w:eastAsia="fr-FR"/>
        </w:rPr>
        <w:t xml:space="preserve"> intention + perte de poids</w:t>
      </w:r>
    </w:p>
    <w:p w14:paraId="23E9177F" w14:textId="77777777" w:rsidR="00ED4694" w:rsidRPr="00B15634" w:rsidRDefault="00ED4694" w:rsidP="00ED4694">
      <w:pPr>
        <w:pStyle w:val="Sansinterligne"/>
        <w:numPr>
          <w:ilvl w:val="0"/>
          <w:numId w:val="155"/>
        </w:numPr>
        <w:jc w:val="both"/>
        <w:rPr>
          <w:rFonts w:ascii="Arial" w:eastAsiaTheme="minorEastAsia" w:hAnsi="Arial" w:cs="Arial"/>
          <w:color w:val="000000" w:themeColor="text1"/>
          <w:sz w:val="20"/>
          <w:szCs w:val="20"/>
          <w:lang w:eastAsia="fr-FR"/>
        </w:rPr>
      </w:pPr>
      <w:r w:rsidRPr="003E407F">
        <w:rPr>
          <w:rFonts w:ascii="Arial" w:hAnsi="Arial" w:cs="Arial"/>
          <w:color w:val="000000" w:themeColor="text1"/>
          <w:sz w:val="20"/>
          <w:szCs w:val="20"/>
          <w:u w:val="single"/>
          <w:lang w:eastAsia="fr-FR"/>
        </w:rPr>
        <w:t>SOH</w:t>
      </w:r>
      <w:r w:rsidRPr="00B15634">
        <w:rPr>
          <w:rFonts w:ascii="Arial" w:hAnsi="Arial" w:cs="Arial"/>
          <w:color w:val="000000" w:themeColor="text1"/>
          <w:sz w:val="20"/>
          <w:szCs w:val="20"/>
          <w:lang w:eastAsia="fr-FR"/>
        </w:rPr>
        <w:t xml:space="preserve"> : association d’une obésité IMC </w:t>
      </w:r>
      <m:oMath>
        <m:r>
          <w:rPr>
            <w:rFonts w:ascii="Cambria Math" w:hAnsi="Cambria Math" w:cs="Arial"/>
            <w:color w:val="000000" w:themeColor="text1"/>
            <w:sz w:val="20"/>
            <w:szCs w:val="20"/>
            <w:lang w:eastAsia="fr-FR"/>
          </w:rPr>
          <m:t>≥</m:t>
        </m:r>
      </m:oMath>
      <w:r w:rsidRPr="00B15634">
        <w:rPr>
          <w:rFonts w:ascii="Arial" w:eastAsiaTheme="minorEastAsia" w:hAnsi="Arial" w:cs="Arial"/>
          <w:color w:val="000000" w:themeColor="text1"/>
          <w:sz w:val="20"/>
          <w:szCs w:val="20"/>
          <w:lang w:eastAsia="fr-FR"/>
        </w:rPr>
        <w:t xml:space="preserve"> 30, hypercapnie diurne (pCO2 </w:t>
      </w:r>
      <m:oMath>
        <m:r>
          <w:rPr>
            <w:rFonts w:ascii="Cambria Math" w:hAnsi="Cambria Math" w:cs="Arial"/>
            <w:color w:val="000000" w:themeColor="text1"/>
            <w:sz w:val="20"/>
            <w:szCs w:val="20"/>
            <w:lang w:eastAsia="fr-FR"/>
          </w:rPr>
          <m:t>≥</m:t>
        </m:r>
      </m:oMath>
      <w:r w:rsidRPr="00B15634">
        <w:rPr>
          <w:rFonts w:ascii="Arial" w:eastAsiaTheme="minorEastAsia" w:hAnsi="Arial" w:cs="Arial"/>
          <w:color w:val="000000" w:themeColor="text1"/>
          <w:sz w:val="20"/>
          <w:szCs w:val="20"/>
          <w:lang w:eastAsia="fr-FR"/>
        </w:rPr>
        <w:t xml:space="preserve"> 45 mmHg) et troubles du sommeil</w:t>
      </w:r>
    </w:p>
    <w:p w14:paraId="40371AC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eastAsiaTheme="minorEastAsia" w:hAnsi="Arial" w:cs="Arial"/>
          <w:color w:val="000000" w:themeColor="text1"/>
          <w:sz w:val="20"/>
          <w:szCs w:val="20"/>
          <w:lang w:eastAsia="fr-FR"/>
        </w:rPr>
        <w:t>Dépistage : GDS</w:t>
      </w:r>
    </w:p>
    <w:p w14:paraId="1D0C4F78"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eastAsiaTheme="minorEastAsia" w:hAnsi="Arial" w:cs="Arial"/>
          <w:color w:val="000000" w:themeColor="text1"/>
          <w:sz w:val="20"/>
          <w:szCs w:val="20"/>
          <w:lang w:eastAsia="fr-FR"/>
        </w:rPr>
        <w:lastRenderedPageBreak/>
        <w:t>TTT : PP continue ou ventilation non invasive + perte de poids</w:t>
      </w:r>
    </w:p>
    <w:p w14:paraId="7C516104" w14:textId="77777777" w:rsidR="00ED4694" w:rsidRPr="00B15634" w:rsidRDefault="00ED4694" w:rsidP="00ED4694">
      <w:pPr>
        <w:pStyle w:val="Sansinterligne"/>
        <w:numPr>
          <w:ilvl w:val="0"/>
          <w:numId w:val="155"/>
        </w:numPr>
        <w:jc w:val="both"/>
        <w:rPr>
          <w:rFonts w:ascii="Arial" w:hAnsi="Arial" w:cs="Arial"/>
          <w:color w:val="000000" w:themeColor="text1"/>
          <w:sz w:val="20"/>
          <w:szCs w:val="20"/>
          <w:lang w:eastAsia="fr-FR"/>
        </w:rPr>
      </w:pPr>
      <w:r w:rsidRPr="003E407F">
        <w:rPr>
          <w:rFonts w:ascii="Arial" w:hAnsi="Arial" w:cs="Arial"/>
          <w:color w:val="000000" w:themeColor="text1"/>
          <w:sz w:val="20"/>
          <w:szCs w:val="20"/>
          <w:u w:val="single"/>
          <w:lang w:eastAsia="fr-FR"/>
        </w:rPr>
        <w:t>Asthme</w:t>
      </w:r>
      <w:r w:rsidRPr="00B15634">
        <w:rPr>
          <w:rFonts w:ascii="Arial" w:hAnsi="Arial" w:cs="Arial"/>
          <w:color w:val="000000" w:themeColor="text1"/>
          <w:sz w:val="20"/>
          <w:szCs w:val="20"/>
          <w:lang w:eastAsia="fr-FR"/>
        </w:rPr>
        <w:t xml:space="preserve"> : </w:t>
      </w:r>
    </w:p>
    <w:p w14:paraId="5903E005"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Dépistage : explorations fonctionnelles respiratoires</w:t>
      </w:r>
    </w:p>
    <w:p w14:paraId="04B60C8B"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TTT : traitement spécifique de l’asthme + perte de poids</w:t>
      </w:r>
    </w:p>
    <w:p w14:paraId="570BD31D" w14:textId="77777777" w:rsidR="00ED4694" w:rsidRPr="003E407F" w:rsidRDefault="00ED4694" w:rsidP="00ED4694">
      <w:pPr>
        <w:pStyle w:val="Sansinterligne"/>
        <w:jc w:val="both"/>
        <w:rPr>
          <w:rFonts w:ascii="Arial" w:hAnsi="Arial" w:cs="Arial"/>
          <w:color w:val="000000" w:themeColor="text1"/>
          <w:sz w:val="20"/>
          <w:szCs w:val="20"/>
          <w:u w:val="single"/>
          <w:lang w:eastAsia="fr-FR"/>
        </w:rPr>
      </w:pPr>
    </w:p>
    <w:p w14:paraId="7BAED639" w14:textId="77777777" w:rsidR="00ED4694" w:rsidRPr="003E407F" w:rsidRDefault="00ED4694" w:rsidP="00ED4694">
      <w:pPr>
        <w:pStyle w:val="Sansinterligne"/>
        <w:jc w:val="both"/>
        <w:rPr>
          <w:rFonts w:ascii="Arial" w:hAnsi="Arial" w:cs="Arial"/>
          <w:color w:val="000000" w:themeColor="text1"/>
          <w:sz w:val="20"/>
          <w:szCs w:val="20"/>
          <w:u w:val="single"/>
          <w:lang w:eastAsia="fr-FR"/>
        </w:rPr>
      </w:pPr>
      <w:r w:rsidRPr="003E407F">
        <w:rPr>
          <w:rFonts w:ascii="Arial" w:hAnsi="Arial" w:cs="Arial"/>
          <w:color w:val="000000" w:themeColor="text1"/>
          <w:sz w:val="20"/>
          <w:szCs w:val="20"/>
          <w:u w:val="single"/>
          <w:lang w:eastAsia="fr-FR"/>
        </w:rPr>
        <w:t>Adiposité : effet métabolique systémique, augmentation du stress mécanique</w:t>
      </w:r>
      <w:r>
        <w:rPr>
          <w:rFonts w:ascii="Arial" w:hAnsi="Arial" w:cs="Arial"/>
          <w:color w:val="000000" w:themeColor="text1"/>
          <w:sz w:val="20"/>
          <w:szCs w:val="20"/>
          <w:u w:val="single"/>
          <w:lang w:eastAsia="fr-FR"/>
        </w:rPr>
        <w:t xml:space="preserve"> : </w:t>
      </w:r>
    </w:p>
    <w:p w14:paraId="7D5D4EFA"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rPr>
      </w:pPr>
      <w:r w:rsidRPr="00B15634">
        <w:rPr>
          <w:rFonts w:ascii="Arial" w:hAnsi="Arial" w:cs="Arial"/>
          <w:color w:val="000000" w:themeColor="text1"/>
          <w:sz w:val="20"/>
          <w:szCs w:val="20"/>
        </w:rPr>
        <w:t xml:space="preserve">Contraintes mécaniques supraphysiologiques </w:t>
      </w:r>
    </w:p>
    <w:p w14:paraId="7FABB9D6"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rPr>
      </w:pPr>
      <w:r w:rsidRPr="00B15634">
        <w:rPr>
          <w:rFonts w:ascii="Arial" w:hAnsi="Arial" w:cs="Arial"/>
          <w:color w:val="000000" w:themeColor="text1"/>
          <w:sz w:val="20"/>
          <w:szCs w:val="20"/>
        </w:rPr>
        <w:t xml:space="preserve">activation mécanoR à la surface des chondrocytes </w:t>
      </w:r>
      <w:r w:rsidRPr="00B15634">
        <w:rPr>
          <w:rFonts w:ascii="Arial" w:hAnsi="Arial" w:cs="Arial"/>
          <w:color w:val="000000" w:themeColor="text1"/>
          <w:sz w:val="20"/>
          <w:szCs w:val="20"/>
        </w:rPr>
        <w:sym w:font="Wingdings" w:char="F0E0"/>
      </w:r>
      <w:r w:rsidRPr="00B15634">
        <w:rPr>
          <w:rFonts w:ascii="Arial" w:hAnsi="Arial" w:cs="Arial"/>
          <w:color w:val="000000" w:themeColor="text1"/>
          <w:sz w:val="20"/>
          <w:szCs w:val="20"/>
        </w:rPr>
        <w:t xml:space="preserve"> enclenchement cascade inflammatoire (SO et libé</w:t>
      </w:r>
      <w:r>
        <w:rPr>
          <w:rFonts w:ascii="Arial" w:hAnsi="Arial" w:cs="Arial"/>
          <w:color w:val="000000" w:themeColor="text1"/>
          <w:sz w:val="20"/>
          <w:szCs w:val="20"/>
        </w:rPr>
        <w:t>ration</w:t>
      </w:r>
      <w:r w:rsidRPr="00B15634">
        <w:rPr>
          <w:rFonts w:ascii="Arial" w:hAnsi="Arial" w:cs="Arial"/>
          <w:color w:val="000000" w:themeColor="text1"/>
          <w:sz w:val="20"/>
          <w:szCs w:val="20"/>
        </w:rPr>
        <w:t xml:space="preserve"> d’enzymes protéolytiques MMP, cytokines proinflammatoires) </w:t>
      </w:r>
    </w:p>
    <w:p w14:paraId="7A055208" w14:textId="77777777" w:rsidR="00ED4694" w:rsidRPr="00B15634" w:rsidRDefault="00ED4694" w:rsidP="00ED4694">
      <w:pPr>
        <w:pStyle w:val="Sansinterligne"/>
        <w:ind w:left="360"/>
        <w:jc w:val="both"/>
        <w:rPr>
          <w:rFonts w:ascii="Arial" w:hAnsi="Arial" w:cs="Arial"/>
          <w:color w:val="000000" w:themeColor="text1"/>
          <w:sz w:val="20"/>
          <w:szCs w:val="20"/>
        </w:rPr>
      </w:pPr>
    </w:p>
    <w:p w14:paraId="3928F085" w14:textId="77777777" w:rsidR="00ED4694" w:rsidRPr="003E407F" w:rsidRDefault="00ED4694" w:rsidP="00ED4694">
      <w:pPr>
        <w:pStyle w:val="Sansinterligne"/>
        <w:jc w:val="both"/>
        <w:rPr>
          <w:rFonts w:ascii="Arial" w:hAnsi="Arial" w:cs="Arial"/>
          <w:color w:val="000000" w:themeColor="text1"/>
          <w:sz w:val="20"/>
          <w:szCs w:val="20"/>
          <w:u w:val="single"/>
        </w:rPr>
      </w:pPr>
      <w:r w:rsidRPr="003E407F">
        <w:rPr>
          <w:rFonts w:ascii="Arial" w:hAnsi="Arial" w:cs="Arial"/>
          <w:color w:val="000000" w:themeColor="text1"/>
          <w:sz w:val="20"/>
          <w:szCs w:val="20"/>
          <w:u w:val="single"/>
        </w:rPr>
        <w:t xml:space="preserve">Interrelation étroite entre Obésité et </w:t>
      </w:r>
      <w:r w:rsidRPr="00514561">
        <w:rPr>
          <w:rFonts w:ascii="Arial" w:hAnsi="Arial" w:cs="Arial"/>
          <w:b/>
          <w:bCs/>
          <w:color w:val="000000" w:themeColor="text1"/>
          <w:sz w:val="20"/>
          <w:szCs w:val="20"/>
          <w:u w:val="single"/>
        </w:rPr>
        <w:t>rhumatismes</w:t>
      </w:r>
      <w:r>
        <w:rPr>
          <w:rFonts w:ascii="Arial" w:hAnsi="Arial" w:cs="Arial"/>
          <w:color w:val="000000" w:themeColor="text1"/>
          <w:sz w:val="20"/>
          <w:szCs w:val="20"/>
          <w:u w:val="single"/>
        </w:rPr>
        <w:t> </w:t>
      </w:r>
      <w:r w:rsidRPr="003E407F">
        <w:rPr>
          <w:rFonts w:ascii="Arial" w:hAnsi="Arial" w:cs="Arial"/>
          <w:color w:val="000000" w:themeColor="text1"/>
          <w:sz w:val="20"/>
          <w:szCs w:val="20"/>
          <w:u w:val="single"/>
        </w:rPr>
        <w:t xml:space="preserve">: </w:t>
      </w:r>
    </w:p>
    <w:p w14:paraId="72A002A5"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B15634">
        <w:rPr>
          <w:rFonts w:ascii="Arial" w:hAnsi="Arial" w:cs="Arial"/>
          <w:color w:val="000000" w:themeColor="text1"/>
          <w:sz w:val="20"/>
          <w:szCs w:val="20"/>
        </w:rPr>
        <w:t>Plus fréquente = arthrose</w:t>
      </w:r>
    </w:p>
    <w:p w14:paraId="7F925618" w14:textId="77777777" w:rsidR="00ED4694" w:rsidRPr="003E407F" w:rsidRDefault="00ED4694" w:rsidP="00ED4694">
      <w:pPr>
        <w:pStyle w:val="Sansinterligne"/>
        <w:numPr>
          <w:ilvl w:val="0"/>
          <w:numId w:val="140"/>
        </w:numPr>
        <w:jc w:val="both"/>
        <w:rPr>
          <w:rFonts w:ascii="Arial" w:hAnsi="Arial" w:cs="Arial"/>
          <w:color w:val="000000" w:themeColor="text1"/>
          <w:sz w:val="20"/>
          <w:szCs w:val="20"/>
        </w:rPr>
      </w:pPr>
      <w:r w:rsidRPr="003E407F">
        <w:rPr>
          <w:rFonts w:ascii="Arial" w:hAnsi="Arial" w:cs="Arial"/>
          <w:color w:val="000000" w:themeColor="text1"/>
          <w:sz w:val="20"/>
          <w:szCs w:val="20"/>
        </w:rPr>
        <w:t>Rhumatismes inflammatoires chroniques (polyarthrite, spondylarthite</w:t>
      </w:r>
      <w:r>
        <w:rPr>
          <w:rFonts w:ascii="Arial" w:hAnsi="Arial" w:cs="Arial"/>
          <w:color w:val="000000" w:themeColor="text1"/>
          <w:sz w:val="20"/>
          <w:szCs w:val="20"/>
        </w:rPr>
        <w:t> </w:t>
      </w:r>
      <w:r w:rsidRPr="003E407F">
        <w:rPr>
          <w:rFonts w:ascii="Arial" w:hAnsi="Arial" w:cs="Arial"/>
          <w:color w:val="000000" w:themeColor="text1"/>
          <w:sz w:val="20"/>
          <w:szCs w:val="20"/>
        </w:rPr>
        <w:t xml:space="preserve">: atteinte inflammatoire de l’enthèse) </w:t>
      </w:r>
    </w:p>
    <w:p w14:paraId="2BFDD520" w14:textId="77777777" w:rsidR="00ED4694" w:rsidRPr="00B15634" w:rsidRDefault="00ED4694" w:rsidP="00ED4694">
      <w:pPr>
        <w:pStyle w:val="Sansinterligne"/>
        <w:jc w:val="both"/>
        <w:rPr>
          <w:rFonts w:ascii="Arial" w:hAnsi="Arial" w:cs="Arial"/>
          <w:color w:val="000000" w:themeColor="text1"/>
          <w:sz w:val="20"/>
          <w:szCs w:val="20"/>
        </w:rPr>
      </w:pPr>
    </w:p>
    <w:p w14:paraId="43E5F096" w14:textId="77777777" w:rsidR="00ED4694" w:rsidRPr="00D51A1E" w:rsidRDefault="00ED4694" w:rsidP="00ED4694">
      <w:pPr>
        <w:pStyle w:val="Sansinterligne"/>
        <w:jc w:val="both"/>
        <w:rPr>
          <w:rFonts w:ascii="Arial" w:hAnsi="Arial" w:cs="Arial"/>
          <w:color w:val="000000" w:themeColor="text1"/>
          <w:sz w:val="20"/>
          <w:szCs w:val="20"/>
          <w:u w:val="single"/>
        </w:rPr>
      </w:pPr>
      <w:r w:rsidRPr="00D51A1E">
        <w:rPr>
          <w:rFonts w:ascii="Arial" w:hAnsi="Arial" w:cs="Arial"/>
          <w:color w:val="000000" w:themeColor="text1"/>
          <w:sz w:val="20"/>
          <w:szCs w:val="20"/>
          <w:u w:val="single"/>
        </w:rPr>
        <w:t>Inflammation</w:t>
      </w:r>
      <w:r>
        <w:rPr>
          <w:rFonts w:ascii="Arial" w:hAnsi="Arial" w:cs="Arial"/>
          <w:color w:val="000000" w:themeColor="text1"/>
          <w:sz w:val="20"/>
          <w:szCs w:val="20"/>
          <w:u w:val="single"/>
        </w:rPr>
        <w:t> </w:t>
      </w:r>
      <w:r w:rsidRPr="00D51A1E">
        <w:rPr>
          <w:rFonts w:ascii="Arial" w:hAnsi="Arial" w:cs="Arial"/>
          <w:color w:val="000000" w:themeColor="text1"/>
          <w:sz w:val="20"/>
          <w:szCs w:val="20"/>
          <w:u w:val="single"/>
        </w:rPr>
        <w:t xml:space="preserve">: Sévérité de la </w:t>
      </w:r>
      <w:r w:rsidRPr="00514561">
        <w:rPr>
          <w:rFonts w:ascii="Arial" w:hAnsi="Arial" w:cs="Arial"/>
          <w:b/>
          <w:bCs/>
          <w:color w:val="000000" w:themeColor="text1"/>
          <w:sz w:val="20"/>
          <w:szCs w:val="20"/>
          <w:u w:val="single"/>
        </w:rPr>
        <w:t>parodontite</w:t>
      </w:r>
      <w:r w:rsidRPr="00D51A1E">
        <w:rPr>
          <w:rFonts w:ascii="Arial" w:hAnsi="Arial" w:cs="Arial"/>
          <w:color w:val="000000" w:themeColor="text1"/>
          <w:sz w:val="20"/>
          <w:szCs w:val="20"/>
          <w:u w:val="single"/>
        </w:rPr>
        <w:t xml:space="preserve"> </w:t>
      </w:r>
    </w:p>
    <w:p w14:paraId="674B7AAA"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B15634">
        <w:rPr>
          <w:rFonts w:ascii="Arial" w:hAnsi="Arial" w:cs="Arial"/>
          <w:color w:val="000000" w:themeColor="text1"/>
          <w:sz w:val="20"/>
          <w:szCs w:val="20"/>
        </w:rPr>
        <w:t>Csqce : perte dentaire et fonction masticatoire</w:t>
      </w:r>
    </w:p>
    <w:p w14:paraId="55ADB33C" w14:textId="77777777" w:rsidR="00ED4694" w:rsidRPr="00D51A1E" w:rsidRDefault="00ED4694" w:rsidP="00ED4694">
      <w:pPr>
        <w:pStyle w:val="Sansinterligne"/>
        <w:numPr>
          <w:ilvl w:val="0"/>
          <w:numId w:val="140"/>
        </w:numPr>
        <w:jc w:val="both"/>
        <w:rPr>
          <w:rFonts w:ascii="Arial" w:hAnsi="Arial" w:cs="Arial"/>
          <w:color w:val="000000" w:themeColor="text1"/>
          <w:sz w:val="20"/>
          <w:szCs w:val="20"/>
        </w:rPr>
      </w:pPr>
      <w:r w:rsidRPr="00D51A1E">
        <w:rPr>
          <w:rFonts w:ascii="Arial" w:hAnsi="Arial" w:cs="Arial"/>
          <w:color w:val="000000" w:themeColor="text1"/>
          <w:sz w:val="20"/>
          <w:szCs w:val="20"/>
        </w:rPr>
        <w:t>Prise en charge / retrouver la fonction masticatoire en amont de chir</w:t>
      </w:r>
      <w:r>
        <w:rPr>
          <w:rFonts w:ascii="Arial" w:hAnsi="Arial" w:cs="Arial"/>
          <w:color w:val="000000" w:themeColor="text1"/>
          <w:sz w:val="20"/>
          <w:szCs w:val="20"/>
        </w:rPr>
        <w:t>urgie</w:t>
      </w:r>
      <w:r w:rsidRPr="00D51A1E">
        <w:rPr>
          <w:rFonts w:ascii="Arial" w:hAnsi="Arial" w:cs="Arial"/>
          <w:color w:val="000000" w:themeColor="text1"/>
          <w:sz w:val="20"/>
          <w:szCs w:val="20"/>
        </w:rPr>
        <w:t xml:space="preserve"> bariatrique </w:t>
      </w:r>
    </w:p>
    <w:p w14:paraId="03C1D8B8" w14:textId="77777777" w:rsidR="00ED4694" w:rsidRPr="00B15634" w:rsidRDefault="00ED4694" w:rsidP="00ED4694">
      <w:pPr>
        <w:pStyle w:val="Sansinterligne"/>
        <w:jc w:val="both"/>
        <w:rPr>
          <w:rFonts w:ascii="Arial" w:hAnsi="Arial" w:cs="Arial"/>
          <w:color w:val="000000" w:themeColor="text1"/>
          <w:sz w:val="20"/>
          <w:szCs w:val="20"/>
        </w:rPr>
      </w:pPr>
    </w:p>
    <w:p w14:paraId="3EA3CF1B" w14:textId="77777777" w:rsidR="00ED4694" w:rsidRPr="00D51A1E" w:rsidRDefault="00ED4694" w:rsidP="00ED4694">
      <w:pPr>
        <w:pStyle w:val="Sansinterligne"/>
        <w:jc w:val="both"/>
        <w:rPr>
          <w:rFonts w:ascii="Arial" w:hAnsi="Arial" w:cs="Arial"/>
          <w:color w:val="000000" w:themeColor="text1"/>
          <w:sz w:val="20"/>
          <w:szCs w:val="20"/>
          <w:u w:val="single"/>
        </w:rPr>
      </w:pPr>
      <w:r w:rsidRPr="00D51A1E">
        <w:rPr>
          <w:rFonts w:ascii="Arial" w:hAnsi="Arial" w:cs="Arial"/>
          <w:color w:val="000000" w:themeColor="text1"/>
          <w:sz w:val="20"/>
          <w:szCs w:val="20"/>
          <w:u w:val="single"/>
        </w:rPr>
        <w:t xml:space="preserve">Cutanées : </w:t>
      </w:r>
      <w:r w:rsidRPr="00514561">
        <w:rPr>
          <w:rFonts w:ascii="Arial" w:hAnsi="Arial" w:cs="Arial"/>
          <w:b/>
          <w:bCs/>
          <w:color w:val="000000" w:themeColor="text1"/>
          <w:sz w:val="20"/>
          <w:szCs w:val="20"/>
          <w:u w:val="single"/>
        </w:rPr>
        <w:t>Hypersudation</w:t>
      </w:r>
    </w:p>
    <w:p w14:paraId="2D4D047E"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rPr>
      </w:pPr>
      <w:r w:rsidRPr="00B15634">
        <w:rPr>
          <w:rFonts w:ascii="Arial" w:hAnsi="Arial" w:cs="Arial"/>
          <w:color w:val="000000" w:themeColor="text1"/>
          <w:sz w:val="20"/>
          <w:szCs w:val="20"/>
        </w:rPr>
        <w:t>Accumulation de la graisse dans l’hypoderme</w:t>
      </w:r>
      <w:r>
        <w:rPr>
          <w:rFonts w:ascii="Arial" w:hAnsi="Arial" w:cs="Arial"/>
          <w:color w:val="000000" w:themeColor="text1"/>
          <w:sz w:val="20"/>
          <w:szCs w:val="20"/>
        </w:rPr>
        <w:t xml:space="preserve"> entraînant des csqs </w:t>
      </w:r>
      <w:r w:rsidRPr="00B15634">
        <w:rPr>
          <w:rFonts w:ascii="Arial" w:hAnsi="Arial" w:cs="Arial"/>
          <w:color w:val="000000" w:themeColor="text1"/>
          <w:sz w:val="20"/>
          <w:szCs w:val="20"/>
        </w:rPr>
        <w:t>méca</w:t>
      </w:r>
      <w:r>
        <w:rPr>
          <w:rFonts w:ascii="Arial" w:hAnsi="Arial" w:cs="Arial"/>
          <w:color w:val="000000" w:themeColor="text1"/>
          <w:sz w:val="20"/>
          <w:szCs w:val="20"/>
        </w:rPr>
        <w:t>niques</w:t>
      </w:r>
      <w:r w:rsidRPr="00B15634">
        <w:rPr>
          <w:rFonts w:ascii="Arial" w:hAnsi="Arial" w:cs="Arial"/>
          <w:color w:val="000000" w:themeColor="text1"/>
          <w:sz w:val="20"/>
          <w:szCs w:val="20"/>
        </w:rPr>
        <w:t xml:space="preserve"> : vergetures, cellulite, kératodermie palmoplantaire, lymphooedème, dermite de stase</w:t>
      </w:r>
    </w:p>
    <w:p w14:paraId="7EB22CC3"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rPr>
      </w:pPr>
      <w:r w:rsidRPr="00B15634">
        <w:rPr>
          <w:rFonts w:ascii="Arial" w:hAnsi="Arial" w:cs="Arial"/>
          <w:color w:val="000000" w:themeColor="text1"/>
          <w:sz w:val="20"/>
          <w:szCs w:val="20"/>
        </w:rPr>
        <w:t>Infections : intertrigo, érysipéle...</w:t>
      </w:r>
    </w:p>
    <w:p w14:paraId="146C30A0"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rPr>
      </w:pPr>
      <w:r w:rsidRPr="00B15634">
        <w:rPr>
          <w:rFonts w:ascii="Arial" w:hAnsi="Arial" w:cs="Arial"/>
          <w:color w:val="000000" w:themeColor="text1"/>
          <w:sz w:val="20"/>
          <w:szCs w:val="20"/>
        </w:rPr>
        <w:t>InsulinoR et hyperandrogénie : acanthosis nigricans ...</w:t>
      </w:r>
    </w:p>
    <w:p w14:paraId="1592204D" w14:textId="77777777" w:rsidR="00ED4694" w:rsidRPr="00B15634" w:rsidRDefault="00ED4694" w:rsidP="00ED4694">
      <w:pPr>
        <w:pStyle w:val="Sansinterligne"/>
        <w:numPr>
          <w:ilvl w:val="0"/>
          <w:numId w:val="140"/>
        </w:numPr>
        <w:jc w:val="both"/>
        <w:rPr>
          <w:rFonts w:ascii="Arial" w:hAnsi="Arial" w:cs="Arial"/>
          <w:color w:val="000000" w:themeColor="text1"/>
          <w:sz w:val="20"/>
          <w:szCs w:val="20"/>
        </w:rPr>
      </w:pPr>
      <w:r w:rsidRPr="00B15634">
        <w:rPr>
          <w:rFonts w:ascii="Arial" w:hAnsi="Arial" w:cs="Arial"/>
          <w:color w:val="000000" w:themeColor="text1"/>
          <w:sz w:val="20"/>
          <w:szCs w:val="20"/>
        </w:rPr>
        <w:t xml:space="preserve">Facteur d’aggravation dermopathies : psoriasis, acné </w:t>
      </w:r>
    </w:p>
    <w:p w14:paraId="21EDE9F7" w14:textId="77777777" w:rsidR="00ED4694" w:rsidRPr="00B15634" w:rsidRDefault="00ED4694" w:rsidP="00ED4694">
      <w:pPr>
        <w:pStyle w:val="Sansinterligne"/>
        <w:jc w:val="both"/>
        <w:rPr>
          <w:rFonts w:ascii="Arial" w:hAnsi="Arial" w:cs="Arial"/>
          <w:color w:val="000000" w:themeColor="text1"/>
          <w:sz w:val="20"/>
          <w:szCs w:val="20"/>
        </w:rPr>
      </w:pPr>
    </w:p>
    <w:p w14:paraId="3F3560DA" w14:textId="77777777" w:rsidR="00ED4694" w:rsidRPr="00B15634" w:rsidRDefault="00ED4694" w:rsidP="00ED4694">
      <w:pPr>
        <w:pStyle w:val="Sansinterligne"/>
        <w:jc w:val="both"/>
        <w:rPr>
          <w:rFonts w:ascii="Arial" w:hAnsi="Arial" w:cs="Arial"/>
          <w:color w:val="000000" w:themeColor="text1"/>
          <w:sz w:val="20"/>
          <w:szCs w:val="20"/>
        </w:rPr>
      </w:pPr>
      <w:r w:rsidRPr="00440C8F">
        <w:rPr>
          <w:rFonts w:ascii="Arial" w:hAnsi="Arial" w:cs="Arial"/>
          <w:color w:val="000000" w:themeColor="text1"/>
          <w:sz w:val="20"/>
          <w:szCs w:val="20"/>
          <w:u w:val="single"/>
        </w:rPr>
        <w:t>Infertilité de la Femme</w:t>
      </w:r>
      <w:r w:rsidRPr="00B15634">
        <w:rPr>
          <w:rFonts w:ascii="Arial" w:hAnsi="Arial" w:cs="Arial"/>
          <w:color w:val="000000" w:themeColor="text1"/>
          <w:sz w:val="20"/>
          <w:szCs w:val="20"/>
        </w:rPr>
        <w:t xml:space="preserve"> : Anomalies cycle menstruel SOPK Hypogonadisme central </w:t>
      </w:r>
    </w:p>
    <w:p w14:paraId="7DD166E7" w14:textId="77777777" w:rsidR="00ED4694" w:rsidRPr="00B15634" w:rsidRDefault="00ED4694" w:rsidP="00ED4694">
      <w:pPr>
        <w:pStyle w:val="Sansinterligne"/>
        <w:jc w:val="both"/>
        <w:rPr>
          <w:rFonts w:ascii="Arial" w:hAnsi="Arial" w:cs="Arial"/>
          <w:color w:val="000000" w:themeColor="text1"/>
          <w:sz w:val="20"/>
          <w:szCs w:val="20"/>
        </w:rPr>
      </w:pPr>
      <w:r w:rsidRPr="00440C8F">
        <w:rPr>
          <w:rFonts w:ascii="Arial" w:hAnsi="Arial" w:cs="Arial"/>
          <w:color w:val="000000" w:themeColor="text1"/>
          <w:sz w:val="20"/>
          <w:szCs w:val="20"/>
          <w:u w:val="single"/>
        </w:rPr>
        <w:t>Infertilité de l’Homme</w:t>
      </w:r>
      <w:r>
        <w:rPr>
          <w:rFonts w:ascii="Arial" w:hAnsi="Arial" w:cs="Arial"/>
          <w:color w:val="000000" w:themeColor="text1"/>
          <w:sz w:val="20"/>
          <w:szCs w:val="20"/>
        </w:rPr>
        <w:t xml:space="preserve"> </w:t>
      </w:r>
      <w:r w:rsidRPr="00B15634">
        <w:rPr>
          <w:rFonts w:ascii="Arial" w:hAnsi="Arial" w:cs="Arial"/>
          <w:color w:val="000000" w:themeColor="text1"/>
          <w:sz w:val="20"/>
          <w:szCs w:val="20"/>
        </w:rPr>
        <w:t xml:space="preserve">: Paramètres spermatiques altérés </w:t>
      </w:r>
    </w:p>
    <w:p w14:paraId="6565B8B5"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0A6BDD49" w14:textId="77777777" w:rsidR="00ED4694" w:rsidRPr="00B15634" w:rsidRDefault="00ED4694" w:rsidP="00ED4694">
      <w:pPr>
        <w:pStyle w:val="Sansinterligne"/>
        <w:jc w:val="both"/>
        <w:rPr>
          <w:rFonts w:ascii="Arial" w:hAnsi="Arial" w:cs="Arial"/>
          <w:color w:val="000000" w:themeColor="text1"/>
          <w:sz w:val="20"/>
          <w:szCs w:val="20"/>
        </w:rPr>
      </w:pPr>
      <w:r w:rsidRPr="00440C8F">
        <w:rPr>
          <w:rFonts w:ascii="Arial" w:hAnsi="Arial" w:cs="Arial"/>
          <w:color w:val="000000" w:themeColor="text1"/>
          <w:sz w:val="20"/>
          <w:szCs w:val="20"/>
          <w:u w:val="single"/>
        </w:rPr>
        <w:t>Cancers associés à l’obésité</w:t>
      </w:r>
      <w:r w:rsidRPr="00B15634">
        <w:rPr>
          <w:rFonts w:ascii="Arial" w:hAnsi="Arial" w:cs="Arial"/>
          <w:color w:val="000000" w:themeColor="text1"/>
          <w:sz w:val="20"/>
          <w:szCs w:val="20"/>
        </w:rPr>
        <w:t xml:space="preserve"> = colorectaux, sein post-ménopausique</w:t>
      </w:r>
      <w:r>
        <w:rPr>
          <w:rFonts w:ascii="Arial" w:hAnsi="Arial" w:cs="Arial"/>
          <w:color w:val="000000" w:themeColor="text1"/>
          <w:sz w:val="20"/>
          <w:szCs w:val="20"/>
        </w:rPr>
        <w:t xml:space="preserve"> (</w:t>
      </w:r>
      <w:r w:rsidRPr="00B15634">
        <w:rPr>
          <w:rFonts w:ascii="Arial" w:hAnsi="Arial" w:cs="Arial"/>
          <w:color w:val="000000" w:themeColor="text1"/>
          <w:sz w:val="20"/>
          <w:szCs w:val="20"/>
        </w:rPr>
        <w:t>réduction du risque en préménopause</w:t>
      </w:r>
      <w:r>
        <w:rPr>
          <w:rFonts w:ascii="Arial" w:hAnsi="Arial" w:cs="Arial"/>
          <w:color w:val="000000" w:themeColor="text1"/>
          <w:sz w:val="20"/>
          <w:szCs w:val="20"/>
        </w:rPr>
        <w:t xml:space="preserve">) </w:t>
      </w:r>
      <w:r w:rsidRPr="00B15634">
        <w:rPr>
          <w:rFonts w:ascii="Arial" w:hAnsi="Arial" w:cs="Arial"/>
          <w:color w:val="000000" w:themeColor="text1"/>
          <w:sz w:val="20"/>
          <w:szCs w:val="20"/>
        </w:rPr>
        <w:t xml:space="preserve">, rein, endomètre, thyroïde, pancréas, foie, cardiaque ovaires, vésicule, adénocarcinome de l’œsophage, le méningiome et myélome </w:t>
      </w:r>
    </w:p>
    <w:p w14:paraId="6714F1B7" w14:textId="77777777" w:rsidR="00ED4694" w:rsidRPr="00B15634" w:rsidRDefault="00ED4694" w:rsidP="00ED4694">
      <w:pPr>
        <w:pStyle w:val="Sansinterligne"/>
        <w:jc w:val="both"/>
        <w:rPr>
          <w:rFonts w:ascii="Arial" w:hAnsi="Arial" w:cs="Arial"/>
          <w:color w:val="000000" w:themeColor="text1"/>
          <w:sz w:val="20"/>
          <w:szCs w:val="20"/>
        </w:rPr>
      </w:pPr>
      <w:r w:rsidRPr="00B15634">
        <w:rPr>
          <w:rFonts w:ascii="Arial" w:hAnsi="Arial" w:cs="Arial"/>
          <w:color w:val="000000" w:themeColor="text1"/>
          <w:sz w:val="20"/>
          <w:szCs w:val="20"/>
        </w:rPr>
        <w:t>Etiologie : inflammation chronique a bas bruit associés à des mécanismes hormonaux</w:t>
      </w:r>
    </w:p>
    <w:p w14:paraId="2989DC2A" w14:textId="77777777" w:rsidR="00ED4694" w:rsidRPr="00B15634" w:rsidRDefault="00ED4694" w:rsidP="00ED4694">
      <w:pPr>
        <w:pStyle w:val="Sansinterligne"/>
        <w:jc w:val="both"/>
        <w:rPr>
          <w:rFonts w:ascii="Arial" w:hAnsi="Arial" w:cs="Arial"/>
          <w:color w:val="000000" w:themeColor="text1"/>
          <w:sz w:val="20"/>
          <w:szCs w:val="20"/>
        </w:rPr>
      </w:pPr>
      <w:r w:rsidRPr="00B15634">
        <w:rPr>
          <w:rFonts w:ascii="Arial" w:hAnsi="Arial" w:cs="Arial"/>
          <w:color w:val="000000" w:themeColor="text1"/>
          <w:sz w:val="20"/>
          <w:szCs w:val="20"/>
        </w:rPr>
        <w:t xml:space="preserve">La chirurgie bariatrique est associé dans la majorité des cas à une réduction du risque de cancer </w:t>
      </w:r>
    </w:p>
    <w:p w14:paraId="28CFF334" w14:textId="77777777" w:rsidR="00ED4694" w:rsidRDefault="00ED4694" w:rsidP="00ED4694">
      <w:pPr>
        <w:pStyle w:val="Sansinterligne"/>
        <w:jc w:val="both"/>
        <w:rPr>
          <w:rFonts w:ascii="Arial" w:hAnsi="Arial" w:cs="Arial"/>
          <w:color w:val="000000" w:themeColor="text1"/>
          <w:sz w:val="20"/>
          <w:szCs w:val="20"/>
          <w:u w:val="single"/>
          <w:lang w:eastAsia="fr-FR"/>
        </w:rPr>
      </w:pPr>
    </w:p>
    <w:p w14:paraId="4CB1D15B" w14:textId="77777777" w:rsidR="00ED4694" w:rsidRPr="00440C8F" w:rsidRDefault="00ED4694" w:rsidP="00ED4694">
      <w:pPr>
        <w:pStyle w:val="Sansinterligne"/>
        <w:numPr>
          <w:ilvl w:val="0"/>
          <w:numId w:val="156"/>
        </w:numPr>
        <w:jc w:val="both"/>
        <w:rPr>
          <w:rFonts w:ascii="Arial" w:hAnsi="Arial" w:cs="Arial"/>
          <w:color w:val="ED7D31" w:themeColor="accent2"/>
          <w:sz w:val="20"/>
          <w:szCs w:val="20"/>
          <w:u w:val="single"/>
          <w:lang w:eastAsia="fr-FR"/>
        </w:rPr>
      </w:pPr>
      <w:r w:rsidRPr="00440C8F">
        <w:rPr>
          <w:rFonts w:ascii="Arial" w:hAnsi="Arial" w:cs="Arial"/>
          <w:color w:val="ED7D31" w:themeColor="accent2"/>
          <w:sz w:val="20"/>
          <w:szCs w:val="20"/>
          <w:u w:val="single"/>
          <w:lang w:eastAsia="fr-FR"/>
        </w:rPr>
        <w:t xml:space="preserve">Prise en charge de l’Obésité </w:t>
      </w:r>
    </w:p>
    <w:p w14:paraId="5CB96420" w14:textId="77777777" w:rsidR="00ED4694" w:rsidRDefault="00ED4694" w:rsidP="00ED4694">
      <w:pPr>
        <w:pStyle w:val="Sansinterligne"/>
        <w:jc w:val="both"/>
        <w:rPr>
          <w:rFonts w:ascii="Arial" w:hAnsi="Arial" w:cs="Arial"/>
          <w:color w:val="000000" w:themeColor="text1"/>
          <w:sz w:val="20"/>
          <w:szCs w:val="20"/>
          <w:lang w:eastAsia="fr-FR"/>
        </w:rPr>
      </w:pPr>
      <w:r>
        <w:rPr>
          <w:rFonts w:ascii="Arial" w:hAnsi="Arial" w:cs="Arial"/>
          <w:color w:val="000000" w:themeColor="text1"/>
          <w:sz w:val="20"/>
          <w:szCs w:val="20"/>
          <w:lang w:eastAsia="fr-FR"/>
        </w:rPr>
        <w:t xml:space="preserve">- </w:t>
      </w:r>
      <w:r w:rsidRPr="00C41525">
        <w:rPr>
          <w:rFonts w:ascii="Arial" w:hAnsi="Arial" w:cs="Arial"/>
          <w:color w:val="000000" w:themeColor="text1"/>
          <w:sz w:val="20"/>
          <w:szCs w:val="20"/>
          <w:u w:val="single"/>
          <w:lang w:eastAsia="fr-FR"/>
        </w:rPr>
        <w:t>Amélioration des habitudes alimentaires</w:t>
      </w:r>
      <w:r w:rsidRPr="00B15634">
        <w:rPr>
          <w:rFonts w:ascii="Arial" w:hAnsi="Arial" w:cs="Arial"/>
          <w:color w:val="000000" w:themeColor="text1"/>
          <w:sz w:val="20"/>
          <w:szCs w:val="20"/>
          <w:lang w:eastAsia="fr-FR"/>
        </w:rPr>
        <w:t xml:space="preserve"> = objectif majeur de santé public</w:t>
      </w:r>
    </w:p>
    <w:p w14:paraId="4F43182F" w14:textId="77777777" w:rsidR="00ED4694" w:rsidRPr="00B15634" w:rsidRDefault="00ED4694" w:rsidP="00ED4694">
      <w:pPr>
        <w:pStyle w:val="Sansinterligne"/>
        <w:jc w:val="both"/>
        <w:rPr>
          <w:rFonts w:ascii="Arial" w:hAnsi="Arial" w:cs="Arial"/>
          <w:color w:val="000000" w:themeColor="text1"/>
          <w:sz w:val="20"/>
          <w:szCs w:val="20"/>
          <w:lang w:eastAsia="fr-FR"/>
        </w:rPr>
      </w:pPr>
      <w:r>
        <w:rPr>
          <w:rFonts w:ascii="Arial" w:hAnsi="Arial" w:cs="Arial"/>
          <w:color w:val="000000" w:themeColor="text1"/>
          <w:sz w:val="20"/>
          <w:szCs w:val="20"/>
          <w:lang w:eastAsia="fr-FR"/>
        </w:rPr>
        <w:t xml:space="preserve">- </w:t>
      </w:r>
      <w:r w:rsidRPr="00C41525">
        <w:rPr>
          <w:rFonts w:ascii="Arial" w:hAnsi="Arial" w:cs="Arial"/>
          <w:color w:val="000000" w:themeColor="text1"/>
          <w:sz w:val="20"/>
          <w:szCs w:val="20"/>
          <w:u w:val="single"/>
          <w:lang w:eastAsia="fr-FR"/>
        </w:rPr>
        <w:t xml:space="preserve">Activité </w:t>
      </w:r>
      <w:r w:rsidRPr="00276181">
        <w:rPr>
          <w:rFonts w:ascii="Arial" w:hAnsi="Arial" w:cs="Arial"/>
          <w:b/>
          <w:bCs/>
          <w:color w:val="000000" w:themeColor="text1"/>
          <w:sz w:val="20"/>
          <w:szCs w:val="20"/>
          <w:u w:val="single"/>
          <w:lang w:eastAsia="fr-FR"/>
        </w:rPr>
        <w:t>physique</w:t>
      </w:r>
      <w:r w:rsidRPr="00B15634">
        <w:rPr>
          <w:rFonts w:ascii="Arial" w:hAnsi="Arial" w:cs="Arial"/>
          <w:color w:val="000000" w:themeColor="text1"/>
          <w:sz w:val="20"/>
          <w:szCs w:val="20"/>
          <w:lang w:eastAsia="fr-FR"/>
        </w:rPr>
        <w:t xml:space="preserve"> = rôle majeur </w:t>
      </w:r>
      <w:r>
        <w:rPr>
          <w:rFonts w:ascii="Arial" w:hAnsi="Arial" w:cs="Arial"/>
          <w:color w:val="000000" w:themeColor="text1"/>
          <w:sz w:val="20"/>
          <w:szCs w:val="20"/>
          <w:lang w:eastAsia="fr-FR"/>
        </w:rPr>
        <w:t>(</w:t>
      </w:r>
      <w:r w:rsidRPr="00B15634">
        <w:rPr>
          <w:rFonts w:ascii="Arial" w:hAnsi="Arial" w:cs="Arial"/>
          <w:color w:val="000000" w:themeColor="text1"/>
          <w:sz w:val="20"/>
          <w:szCs w:val="20"/>
          <w:lang w:eastAsia="fr-FR"/>
        </w:rPr>
        <w:t>Attention le conseil d’AP doit être personnalisé (avec différentes étapes)</w:t>
      </w:r>
      <w:r>
        <w:rPr>
          <w:rFonts w:ascii="Arial" w:hAnsi="Arial" w:cs="Arial"/>
          <w:color w:val="000000" w:themeColor="text1"/>
          <w:sz w:val="20"/>
          <w:szCs w:val="20"/>
          <w:lang w:eastAsia="fr-FR"/>
        </w:rPr>
        <w:t>)</w:t>
      </w:r>
    </w:p>
    <w:p w14:paraId="5C03A6E1" w14:textId="77777777" w:rsidR="00ED4694" w:rsidRDefault="00ED4694" w:rsidP="00ED4694">
      <w:pPr>
        <w:pStyle w:val="Sansinterligne"/>
        <w:numPr>
          <w:ilvl w:val="0"/>
          <w:numId w:val="157"/>
        </w:numPr>
        <w:jc w:val="both"/>
        <w:rPr>
          <w:rFonts w:ascii="Arial" w:hAnsi="Arial" w:cs="Arial"/>
          <w:color w:val="000000" w:themeColor="text1"/>
          <w:sz w:val="20"/>
          <w:szCs w:val="20"/>
          <w:lang w:eastAsia="fr-FR"/>
        </w:rPr>
      </w:pPr>
      <w:r>
        <w:rPr>
          <w:rFonts w:ascii="Arial" w:hAnsi="Arial" w:cs="Arial"/>
          <w:color w:val="000000" w:themeColor="text1"/>
          <w:sz w:val="20"/>
          <w:szCs w:val="20"/>
          <w:lang w:eastAsia="fr-FR"/>
        </w:rPr>
        <w:t>A</w:t>
      </w:r>
      <w:r w:rsidRPr="00B15634">
        <w:rPr>
          <w:rFonts w:ascii="Arial" w:hAnsi="Arial" w:cs="Arial"/>
          <w:color w:val="000000" w:themeColor="text1"/>
          <w:sz w:val="20"/>
          <w:szCs w:val="20"/>
          <w:lang w:eastAsia="fr-FR"/>
        </w:rPr>
        <w:t>git favorablement sur le poids et la composition corporelle</w:t>
      </w:r>
      <w:r>
        <w:rPr>
          <w:rFonts w:ascii="Arial" w:hAnsi="Arial" w:cs="Arial"/>
          <w:color w:val="000000" w:themeColor="text1"/>
          <w:sz w:val="20"/>
          <w:szCs w:val="20"/>
          <w:lang w:eastAsia="fr-FR"/>
        </w:rPr>
        <w:t> : e</w:t>
      </w:r>
      <w:r w:rsidRPr="00B15634">
        <w:rPr>
          <w:rFonts w:ascii="Arial" w:hAnsi="Arial" w:cs="Arial"/>
          <w:color w:val="000000" w:themeColor="text1"/>
          <w:sz w:val="20"/>
          <w:szCs w:val="20"/>
          <w:lang w:eastAsia="fr-FR"/>
        </w:rPr>
        <w:t>ndurance perte de masse grasse (faible amplitude)</w:t>
      </w:r>
      <w:r>
        <w:rPr>
          <w:rFonts w:ascii="Arial" w:hAnsi="Arial" w:cs="Arial"/>
          <w:color w:val="000000" w:themeColor="text1"/>
          <w:sz w:val="20"/>
          <w:szCs w:val="20"/>
          <w:lang w:eastAsia="fr-FR"/>
        </w:rPr>
        <w:t>, r</w:t>
      </w:r>
      <w:r w:rsidRPr="00B15634">
        <w:rPr>
          <w:rFonts w:ascii="Arial" w:hAnsi="Arial" w:cs="Arial"/>
          <w:color w:val="000000" w:themeColor="text1"/>
          <w:sz w:val="20"/>
          <w:szCs w:val="20"/>
          <w:lang w:eastAsia="fr-FR"/>
        </w:rPr>
        <w:t xml:space="preserve">enforcement musculaire (maintien de masse maigre) </w:t>
      </w:r>
    </w:p>
    <w:p w14:paraId="1325DD7B" w14:textId="77777777" w:rsidR="00ED4694" w:rsidRDefault="00ED4694" w:rsidP="00ED4694">
      <w:pPr>
        <w:pStyle w:val="Sansinterligne"/>
        <w:numPr>
          <w:ilvl w:val="0"/>
          <w:numId w:val="157"/>
        </w:numPr>
        <w:jc w:val="both"/>
        <w:rPr>
          <w:rFonts w:ascii="Arial" w:hAnsi="Arial" w:cs="Arial"/>
          <w:color w:val="000000" w:themeColor="text1"/>
          <w:sz w:val="20"/>
          <w:szCs w:val="20"/>
          <w:lang w:eastAsia="fr-FR"/>
        </w:rPr>
      </w:pPr>
      <w:r w:rsidRPr="00C41525">
        <w:rPr>
          <w:rFonts w:ascii="Arial" w:hAnsi="Arial" w:cs="Arial"/>
          <w:color w:val="000000" w:themeColor="text1"/>
          <w:sz w:val="20"/>
          <w:szCs w:val="20"/>
          <w:lang w:eastAsia="fr-FR"/>
        </w:rPr>
        <w:t xml:space="preserve">Améliore plusieurs facteurs de risque CV </w:t>
      </w:r>
      <w:r w:rsidRPr="00C41525">
        <w:rPr>
          <w:rFonts w:ascii="Arial" w:hAnsi="Arial" w:cs="Arial"/>
          <w:i/>
          <w:iCs/>
          <w:color w:val="000000" w:themeColor="text1"/>
          <w:sz w:val="20"/>
          <w:szCs w:val="20"/>
          <w:lang w:eastAsia="fr-FR"/>
        </w:rPr>
        <w:t>(réduction du TA viscéral, prévention du Diabète de type 2,</w:t>
      </w:r>
      <w:r w:rsidRPr="00C41525">
        <w:rPr>
          <w:rFonts w:ascii="Arial" w:hAnsi="Arial" w:cs="Arial"/>
          <w:i/>
          <w:iCs/>
          <w:color w:val="000000" w:themeColor="text1"/>
          <w:sz w:val="20"/>
          <w:szCs w:val="20"/>
          <w:lang w:eastAsia="fr-FR"/>
        </w:rPr>
        <w:br/>
        <w:t xml:space="preserve">amélioration du profil lipidique, de l’HTA) </w:t>
      </w:r>
      <w:r w:rsidRPr="00C41525">
        <w:rPr>
          <w:rFonts w:ascii="Arial" w:hAnsi="Arial" w:cs="Arial"/>
          <w:color w:val="000000" w:themeColor="text1"/>
          <w:sz w:val="20"/>
          <w:szCs w:val="20"/>
          <w:lang w:eastAsia="fr-FR"/>
        </w:rPr>
        <w:t xml:space="preserve">indpt de la perte de poids </w:t>
      </w:r>
    </w:p>
    <w:p w14:paraId="2EAE860F" w14:textId="77777777" w:rsidR="00ED4694" w:rsidRPr="00C41525" w:rsidRDefault="00ED4694" w:rsidP="00ED4694">
      <w:pPr>
        <w:pStyle w:val="Sansinterligne"/>
        <w:numPr>
          <w:ilvl w:val="0"/>
          <w:numId w:val="157"/>
        </w:numPr>
        <w:jc w:val="both"/>
        <w:rPr>
          <w:rFonts w:ascii="Arial" w:hAnsi="Arial" w:cs="Arial"/>
          <w:color w:val="000000" w:themeColor="text1"/>
          <w:sz w:val="20"/>
          <w:szCs w:val="20"/>
          <w:lang w:eastAsia="fr-FR"/>
        </w:rPr>
      </w:pPr>
      <w:r>
        <w:rPr>
          <w:rFonts w:ascii="Arial" w:hAnsi="Arial" w:cs="Arial"/>
          <w:color w:val="000000" w:themeColor="text1"/>
          <w:sz w:val="20"/>
          <w:szCs w:val="20"/>
          <w:lang w:eastAsia="fr-FR"/>
        </w:rPr>
        <w:t>U</w:t>
      </w:r>
      <w:r w:rsidRPr="00C41525">
        <w:rPr>
          <w:rFonts w:ascii="Arial" w:hAnsi="Arial" w:cs="Arial"/>
          <w:color w:val="000000" w:themeColor="text1"/>
          <w:sz w:val="20"/>
          <w:szCs w:val="20"/>
          <w:lang w:eastAsia="fr-FR"/>
        </w:rPr>
        <w:t xml:space="preserve">n niveau élevé d’activité physique nécessaire pour favoriser le maintien du poids après amaigrissement </w:t>
      </w:r>
    </w:p>
    <w:p w14:paraId="7859C723" w14:textId="77777777" w:rsidR="00ED4694" w:rsidRDefault="00ED4694" w:rsidP="00ED4694">
      <w:pPr>
        <w:pStyle w:val="Sansinterligne"/>
        <w:jc w:val="both"/>
        <w:rPr>
          <w:rFonts w:ascii="Arial" w:hAnsi="Arial" w:cs="Arial"/>
          <w:color w:val="000000" w:themeColor="text1"/>
          <w:sz w:val="20"/>
          <w:szCs w:val="20"/>
          <w:lang w:eastAsia="fr-FR"/>
        </w:rPr>
      </w:pPr>
      <w:r>
        <w:rPr>
          <w:rFonts w:ascii="Arial" w:hAnsi="Arial" w:cs="Arial"/>
          <w:color w:val="000000" w:themeColor="text1"/>
          <w:sz w:val="20"/>
          <w:szCs w:val="20"/>
          <w:lang w:eastAsia="fr-FR"/>
        </w:rPr>
        <w:t xml:space="preserve">- </w:t>
      </w:r>
      <w:r w:rsidRPr="00C41525">
        <w:rPr>
          <w:rFonts w:ascii="Arial" w:hAnsi="Arial" w:cs="Arial"/>
          <w:color w:val="000000" w:themeColor="text1"/>
          <w:sz w:val="20"/>
          <w:szCs w:val="20"/>
          <w:u w:val="single"/>
          <w:lang w:eastAsia="fr-FR"/>
        </w:rPr>
        <w:t>Pharmacologie :</w:t>
      </w:r>
      <w:r>
        <w:rPr>
          <w:rFonts w:ascii="Arial" w:hAnsi="Arial" w:cs="Arial"/>
          <w:color w:val="000000" w:themeColor="text1"/>
          <w:sz w:val="20"/>
          <w:szCs w:val="20"/>
          <w:lang w:eastAsia="fr-FR"/>
        </w:rPr>
        <w:t xml:space="preserve"> </w:t>
      </w:r>
    </w:p>
    <w:p w14:paraId="273973D1"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246FED">
        <w:rPr>
          <w:rFonts w:ascii="Arial" w:hAnsi="Arial" w:cs="Arial"/>
          <w:b/>
          <w:bCs/>
          <w:color w:val="000000" w:themeColor="text1"/>
          <w:sz w:val="20"/>
          <w:szCs w:val="20"/>
          <w:lang w:eastAsia="fr-FR"/>
        </w:rPr>
        <w:t>ORLISTAT</w:t>
      </w:r>
      <w:r>
        <w:rPr>
          <w:rFonts w:ascii="Arial" w:hAnsi="Arial" w:cs="Arial"/>
          <w:color w:val="000000" w:themeColor="text1"/>
          <w:sz w:val="20"/>
          <w:szCs w:val="20"/>
          <w:lang w:eastAsia="fr-FR"/>
        </w:rPr>
        <w:t xml:space="preserve"> : </w:t>
      </w:r>
      <w:r w:rsidRPr="00B15634">
        <w:rPr>
          <w:rFonts w:ascii="Arial" w:hAnsi="Arial" w:cs="Arial"/>
          <w:color w:val="000000" w:themeColor="text1"/>
          <w:sz w:val="20"/>
          <w:szCs w:val="20"/>
          <w:lang w:eastAsia="fr-FR"/>
        </w:rPr>
        <w:t>Spécialités :</w:t>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 xml:space="preserve">Orlistat GE, Xénical </w:t>
      </w:r>
    </w:p>
    <w:p w14:paraId="621CD431"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L'orlistat est un inhibiteur puissant, spécifique et d'action prolongée des lipases gastro-intestinales. Il exerce son activité thérapeutique</w:t>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 xml:space="preserve">dans la lumière de l'estomac et de l'intestin grêle en formant une liaison covalente avec le site sérine actif des lipases gastriques et pancréatiques. L'enzyme inactivée ne peut donc plus hydrolyser les triglycérides d'origine alimentaire en acides gras libres et monoglycérides absorbables. </w:t>
      </w:r>
    </w:p>
    <w:p w14:paraId="07054FA5" w14:textId="77777777" w:rsidR="00ED469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Indications : Obésité, traitement adjuvant (de l'</w:t>
      </w:r>
      <w:r>
        <w:rPr>
          <w:rFonts w:ascii="Arial" w:hAnsi="Arial" w:cs="Arial"/>
          <w:color w:val="000000" w:themeColor="text1"/>
          <w:sz w:val="20"/>
          <w:szCs w:val="20"/>
          <w:lang w:eastAsia="fr-FR"/>
        </w:rPr>
        <w:t>obésité</w:t>
      </w:r>
      <w:r w:rsidRPr="00B15634">
        <w:rPr>
          <w:rFonts w:ascii="Arial" w:hAnsi="Arial" w:cs="Arial"/>
          <w:color w:val="000000" w:themeColor="text1"/>
          <w:sz w:val="20"/>
          <w:szCs w:val="20"/>
          <w:lang w:eastAsia="fr-FR"/>
        </w:rPr>
        <w:t>) - Surpoids associé à des facteurs de risque, traitement adjuvant</w:t>
      </w:r>
      <w:r>
        <w:rPr>
          <w:rFonts w:ascii="Arial" w:hAnsi="Arial" w:cs="Arial"/>
          <w:color w:val="000000" w:themeColor="text1"/>
          <w:sz w:val="20"/>
          <w:szCs w:val="20"/>
          <w:lang w:eastAsia="fr-FR"/>
        </w:rPr>
        <w:t xml:space="preserve"> du surpoids. </w:t>
      </w:r>
    </w:p>
    <w:p w14:paraId="71CD195F" w14:textId="77777777" w:rsidR="00ED4694" w:rsidRDefault="00ED4694" w:rsidP="00ED4694">
      <w:pPr>
        <w:pStyle w:val="Sansinterligne"/>
        <w:jc w:val="both"/>
        <w:rPr>
          <w:rFonts w:ascii="Arial" w:hAnsi="Arial" w:cs="Arial"/>
          <w:color w:val="000000" w:themeColor="text1"/>
          <w:sz w:val="20"/>
          <w:szCs w:val="20"/>
          <w:lang w:eastAsia="fr-FR"/>
        </w:rPr>
      </w:pPr>
    </w:p>
    <w:p w14:paraId="645346B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246FED">
        <w:rPr>
          <w:rFonts w:ascii="Arial" w:hAnsi="Arial" w:cs="Arial"/>
          <w:b/>
          <w:bCs/>
          <w:color w:val="000000" w:themeColor="text1"/>
          <w:sz w:val="20"/>
          <w:szCs w:val="20"/>
          <w:lang w:eastAsia="fr-FR"/>
        </w:rPr>
        <w:t>LIRAGLUTIDE</w:t>
      </w:r>
      <w:r w:rsidRPr="00B15634">
        <w:rPr>
          <w:rFonts w:ascii="Arial" w:hAnsi="Arial" w:cs="Arial"/>
          <w:color w:val="000000" w:themeColor="text1"/>
          <w:sz w:val="20"/>
          <w:szCs w:val="20"/>
          <w:lang w:eastAsia="fr-FR"/>
        </w:rPr>
        <w:t xml:space="preserve"> Spécialités :Saxenda, Victoza, Xultophy </w:t>
      </w:r>
    </w:p>
    <w:p w14:paraId="69CC1E29"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246FED">
        <w:rPr>
          <w:rFonts w:ascii="Arial" w:hAnsi="Arial" w:cs="Arial"/>
          <w:b/>
          <w:bCs/>
          <w:color w:val="000000" w:themeColor="text1"/>
          <w:sz w:val="20"/>
          <w:szCs w:val="20"/>
          <w:lang w:eastAsia="fr-FR"/>
        </w:rPr>
        <w:t>SEMAGLUTIDE</w:t>
      </w:r>
      <w:r w:rsidRPr="00B15634">
        <w:rPr>
          <w:rFonts w:ascii="Arial" w:hAnsi="Arial" w:cs="Arial"/>
          <w:color w:val="000000" w:themeColor="text1"/>
          <w:sz w:val="20"/>
          <w:szCs w:val="20"/>
          <w:lang w:eastAsia="fr-FR"/>
        </w:rPr>
        <w:t xml:space="preserve"> Spécialités : Ozempic, Wegovy </w:t>
      </w:r>
    </w:p>
    <w:p w14:paraId="56AE02A1"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Classement :</w:t>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Métabolisme - Diabète - Nutrition &gt; Médicaments de l'obésité &gt; Analogues du Glucagon Like Peptide-1 (GLP-1) Indications : en complément d'un régime hypocalorique et d'une augmentation de l'activité physique dans le contrôle du poids chez des patients adultes</w:t>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ayant un Indice de Masse Corporelle (IMC) initial :≥ 30 kg/</w:t>
      </w:r>
      <w:r>
        <w:rPr>
          <w:rFonts w:ascii="Arial" w:hAnsi="Arial" w:cs="Arial"/>
          <w:color w:val="000000" w:themeColor="text1"/>
          <w:sz w:val="20"/>
          <w:szCs w:val="20"/>
          <w:lang w:eastAsia="fr-FR"/>
        </w:rPr>
        <w:t>m2</w:t>
      </w:r>
      <w:r w:rsidRPr="00B15634">
        <w:rPr>
          <w:rFonts w:ascii="Arial" w:hAnsi="Arial" w:cs="Arial"/>
          <w:color w:val="000000" w:themeColor="text1"/>
          <w:position w:val="8"/>
          <w:sz w:val="20"/>
          <w:szCs w:val="20"/>
          <w:lang w:eastAsia="fr-FR"/>
        </w:rPr>
        <w:t xml:space="preserve"> </w:t>
      </w:r>
      <w:r w:rsidRPr="00B15634">
        <w:rPr>
          <w:rFonts w:ascii="Arial" w:hAnsi="Arial" w:cs="Arial"/>
          <w:color w:val="000000" w:themeColor="text1"/>
          <w:sz w:val="20"/>
          <w:szCs w:val="20"/>
          <w:lang w:eastAsia="fr-FR"/>
        </w:rPr>
        <w:t>(obésité), ou ≥ 27 kg/</w:t>
      </w:r>
      <w:r>
        <w:rPr>
          <w:rFonts w:ascii="Arial" w:hAnsi="Arial" w:cs="Arial"/>
          <w:color w:val="000000" w:themeColor="text1"/>
          <w:sz w:val="20"/>
          <w:szCs w:val="20"/>
          <w:lang w:eastAsia="fr-FR"/>
        </w:rPr>
        <w:t>m2</w:t>
      </w:r>
      <w:r w:rsidRPr="00B15634">
        <w:rPr>
          <w:rFonts w:ascii="Arial" w:hAnsi="Arial" w:cs="Arial"/>
          <w:color w:val="000000" w:themeColor="text1"/>
          <w:position w:val="8"/>
          <w:sz w:val="20"/>
          <w:szCs w:val="20"/>
          <w:lang w:eastAsia="fr-FR"/>
        </w:rPr>
        <w:t xml:space="preserve"> </w:t>
      </w:r>
      <w:r w:rsidRPr="00B15634">
        <w:rPr>
          <w:rFonts w:ascii="Arial" w:hAnsi="Arial" w:cs="Arial"/>
          <w:color w:val="000000" w:themeColor="text1"/>
          <w:sz w:val="20"/>
          <w:szCs w:val="20"/>
          <w:lang w:eastAsia="fr-FR"/>
        </w:rPr>
        <w:t>et &lt; 30 kg/</w:t>
      </w:r>
      <w:r>
        <w:rPr>
          <w:rFonts w:ascii="Arial" w:hAnsi="Arial" w:cs="Arial"/>
          <w:color w:val="000000" w:themeColor="text1"/>
          <w:sz w:val="20"/>
          <w:szCs w:val="20"/>
          <w:lang w:eastAsia="fr-FR"/>
        </w:rPr>
        <w:t>m2</w:t>
      </w:r>
      <w:r w:rsidRPr="00B15634">
        <w:rPr>
          <w:rFonts w:ascii="Arial" w:hAnsi="Arial" w:cs="Arial"/>
          <w:color w:val="000000" w:themeColor="text1"/>
          <w:position w:val="8"/>
          <w:sz w:val="20"/>
          <w:szCs w:val="20"/>
          <w:lang w:eastAsia="fr-FR"/>
        </w:rPr>
        <w:t xml:space="preserve"> </w:t>
      </w:r>
      <w:r w:rsidRPr="00B15634">
        <w:rPr>
          <w:rFonts w:ascii="Arial" w:hAnsi="Arial" w:cs="Arial"/>
          <w:color w:val="000000" w:themeColor="text1"/>
          <w:sz w:val="20"/>
          <w:szCs w:val="20"/>
          <w:lang w:eastAsia="fr-FR"/>
        </w:rPr>
        <w:t>(surpoids) en présence d'au moins un facteur de comorbidité</w:t>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lié au poids tel qu'une dysglycémie (prédiabète ou diabète de type 2), une hypertension artérielle, une dyslipidémie ou</w:t>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 xml:space="preserve">un syndrome d'apnée obstructive du sommeil. </w:t>
      </w:r>
    </w:p>
    <w:p w14:paraId="6CA7BE5E"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Médicament soumis à prescription initiale par un médecin spécialiste en endocrinologie-diabétologie-nutrition ou titulaire de la formation spécialisée transversale « Nutrition appliquée ». Renouvellement non restreint. </w:t>
      </w:r>
    </w:p>
    <w:p w14:paraId="7A3EFADB" w14:textId="77777777" w:rsidR="00ED4694" w:rsidRDefault="00ED4694" w:rsidP="00ED4694">
      <w:pPr>
        <w:pStyle w:val="Sansinterligne"/>
        <w:jc w:val="both"/>
        <w:rPr>
          <w:rFonts w:ascii="Arial" w:hAnsi="Arial" w:cs="Arial"/>
          <w:color w:val="000000" w:themeColor="text1"/>
          <w:sz w:val="20"/>
          <w:szCs w:val="20"/>
          <w:lang w:eastAsia="fr-FR"/>
        </w:rPr>
      </w:pPr>
    </w:p>
    <w:p w14:paraId="5D2A942D" w14:textId="77777777" w:rsidR="00ED4694" w:rsidRDefault="00ED4694" w:rsidP="00ED4694">
      <w:pPr>
        <w:pStyle w:val="Sansinterligne"/>
        <w:jc w:val="both"/>
        <w:rPr>
          <w:rFonts w:ascii="Arial" w:hAnsi="Arial" w:cs="Arial"/>
          <w:color w:val="000000" w:themeColor="text1"/>
          <w:sz w:val="20"/>
          <w:szCs w:val="20"/>
          <w:lang w:eastAsia="fr-FR"/>
        </w:rPr>
      </w:pPr>
      <w:r w:rsidRPr="00246FED">
        <w:rPr>
          <w:rFonts w:ascii="Arial" w:hAnsi="Arial" w:cs="Arial"/>
          <w:b/>
          <w:bCs/>
          <w:color w:val="000000" w:themeColor="text1"/>
          <w:sz w:val="20"/>
          <w:szCs w:val="20"/>
          <w:lang w:eastAsia="fr-FR"/>
        </w:rPr>
        <w:t>SETMELANOTIDE</w:t>
      </w:r>
      <w:r w:rsidRPr="00B15634">
        <w:rPr>
          <w:rFonts w:ascii="Arial" w:hAnsi="Arial" w:cs="Arial"/>
          <w:color w:val="000000" w:themeColor="text1"/>
          <w:sz w:val="20"/>
          <w:szCs w:val="20"/>
          <w:lang w:eastAsia="fr-FR"/>
        </w:rPr>
        <w:t xml:space="preserve"> Spécialité : Imcivree</w:t>
      </w:r>
    </w:p>
    <w:p w14:paraId="45835C7D"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Classement :Métabolisme - Diabète - Nutrition &gt; Médicaments de l'obésité &gt; médicament à action centrale </w:t>
      </w:r>
    </w:p>
    <w:p w14:paraId="5B7FEE97" w14:textId="77777777" w:rsidR="00ED4694" w:rsidRDefault="00ED4694" w:rsidP="00ED4694">
      <w:pPr>
        <w:pStyle w:val="Sansinterligne"/>
        <w:jc w:val="both"/>
        <w:rPr>
          <w:rFonts w:ascii="Arial" w:hAnsi="Arial" w:cs="Arial"/>
          <w:color w:val="000000" w:themeColor="text1"/>
          <w:sz w:val="20"/>
          <w:szCs w:val="20"/>
          <w:lang w:eastAsia="fr-FR"/>
        </w:rPr>
      </w:pPr>
    </w:p>
    <w:p w14:paraId="55F1061F" w14:textId="77777777" w:rsidR="00ED4694" w:rsidRDefault="00ED4694" w:rsidP="00ED4694">
      <w:pPr>
        <w:pStyle w:val="Sansinterligne"/>
        <w:jc w:val="both"/>
        <w:rPr>
          <w:rFonts w:ascii="Arial" w:hAnsi="Arial" w:cs="Arial"/>
          <w:color w:val="000000" w:themeColor="text1"/>
          <w:sz w:val="20"/>
          <w:szCs w:val="20"/>
          <w:lang w:eastAsia="fr-FR"/>
        </w:rPr>
      </w:pPr>
    </w:p>
    <w:p w14:paraId="1A84C95A" w14:textId="77777777" w:rsidR="00ED4694"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noProof/>
          <w:color w:val="000000" w:themeColor="text1"/>
          <w:sz w:val="20"/>
          <w:szCs w:val="20"/>
          <w:lang w:eastAsia="fr-FR"/>
        </w:rPr>
        <w:lastRenderedPageBreak/>
        <w:drawing>
          <wp:anchor distT="0" distB="0" distL="114300" distR="114300" simplePos="0" relativeHeight="251716608" behindDoc="1" locked="0" layoutInCell="1" allowOverlap="1" wp14:anchorId="6DFA6381" wp14:editId="65FCB167">
            <wp:simplePos x="0" y="0"/>
            <wp:positionH relativeFrom="column">
              <wp:posOffset>-108857</wp:posOffset>
            </wp:positionH>
            <wp:positionV relativeFrom="paragraph">
              <wp:posOffset>195580</wp:posOffset>
            </wp:positionV>
            <wp:extent cx="3121660" cy="1806575"/>
            <wp:effectExtent l="0" t="0" r="2540" b="0"/>
            <wp:wrapTight wrapText="bothSides">
              <wp:wrapPolygon edited="0">
                <wp:start x="0" y="0"/>
                <wp:lineTo x="0" y="21410"/>
                <wp:lineTo x="21530" y="21410"/>
                <wp:lineTo x="21530" y="0"/>
                <wp:lineTo x="0" y="0"/>
              </wp:wrapPolygon>
            </wp:wrapTight>
            <wp:docPr id="221486787" name="Image 13" descr="page36image55781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page36image55781043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21660" cy="1806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noProof/>
          <w:color w:val="000000" w:themeColor="text1"/>
          <w:sz w:val="20"/>
          <w:szCs w:val="20"/>
          <w:lang w:eastAsia="fr-FR"/>
        </w:rPr>
        <w:drawing>
          <wp:anchor distT="0" distB="0" distL="114300" distR="114300" simplePos="0" relativeHeight="251717632" behindDoc="1" locked="0" layoutInCell="1" allowOverlap="1" wp14:anchorId="51BF5515" wp14:editId="4280E5CD">
            <wp:simplePos x="0" y="0"/>
            <wp:positionH relativeFrom="column">
              <wp:posOffset>3121569</wp:posOffset>
            </wp:positionH>
            <wp:positionV relativeFrom="paragraph">
              <wp:posOffset>262255</wp:posOffset>
            </wp:positionV>
            <wp:extent cx="3776980" cy="1294765"/>
            <wp:effectExtent l="0" t="0" r="0" b="635"/>
            <wp:wrapTight wrapText="bothSides">
              <wp:wrapPolygon edited="0">
                <wp:start x="0" y="0"/>
                <wp:lineTo x="0" y="21399"/>
                <wp:lineTo x="21498" y="21399"/>
                <wp:lineTo x="21498" y="0"/>
                <wp:lineTo x="0" y="0"/>
              </wp:wrapPolygon>
            </wp:wrapTight>
            <wp:docPr id="2147255378" name="Image 11" descr="page36image55781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page36image55781104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76980" cy="1294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1525">
        <w:rPr>
          <w:rFonts w:ascii="Arial" w:hAnsi="Arial" w:cs="Arial"/>
          <w:color w:val="000000" w:themeColor="text1"/>
          <w:sz w:val="20"/>
          <w:szCs w:val="20"/>
          <w:u w:val="single"/>
          <w:lang w:eastAsia="fr-FR"/>
        </w:rPr>
        <w:t xml:space="preserve">Chirurgie bariatrique : </w:t>
      </w:r>
    </w:p>
    <w:p w14:paraId="732D3F5C" w14:textId="77777777" w:rsidR="00ED4694" w:rsidRPr="00C41525" w:rsidRDefault="00ED4694" w:rsidP="00ED4694">
      <w:pPr>
        <w:pStyle w:val="Sansinterligne"/>
        <w:jc w:val="both"/>
        <w:rPr>
          <w:rFonts w:ascii="Arial" w:hAnsi="Arial" w:cs="Arial"/>
          <w:color w:val="000000" w:themeColor="text1"/>
          <w:sz w:val="20"/>
          <w:szCs w:val="20"/>
          <w:lang w:eastAsia="fr-FR"/>
        </w:rPr>
      </w:pPr>
    </w:p>
    <w:p w14:paraId="29E49912" w14:textId="77777777" w:rsidR="00ED4694" w:rsidRPr="00B1563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Containers/UBF8T346G9.ms/WebArchiveCopyPasteTempFiles/com.microsoft.Word/page36image557810432"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color w:val="000000" w:themeColor="text1"/>
          <w:sz w:val="20"/>
          <w:szCs w:val="20"/>
          <w:lang w:eastAsia="fr-FR"/>
        </w:rPr>
        <w:fldChar w:fldCharType="end"/>
      </w: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Containers/UBF8T346G9.ms/WebArchiveCopyPasteTempFiles/com.microsoft.Word/page36image557811040"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color w:val="000000" w:themeColor="text1"/>
          <w:sz w:val="20"/>
          <w:szCs w:val="20"/>
          <w:lang w:eastAsia="fr-FR"/>
        </w:rPr>
        <w:fldChar w:fldCharType="end"/>
      </w:r>
    </w:p>
    <w:p w14:paraId="41D109B3" w14:textId="77777777" w:rsidR="00ED4694" w:rsidRDefault="00ED4694" w:rsidP="00ED4694">
      <w:pPr>
        <w:pStyle w:val="Sansinterligne"/>
        <w:jc w:val="both"/>
        <w:rPr>
          <w:rFonts w:ascii="Arial" w:hAnsi="Arial" w:cs="Arial"/>
          <w:color w:val="000000" w:themeColor="text1"/>
          <w:sz w:val="20"/>
          <w:szCs w:val="20"/>
          <w:lang w:eastAsia="fr-FR"/>
        </w:rPr>
      </w:pPr>
    </w:p>
    <w:p w14:paraId="0B6E00C8" w14:textId="77777777" w:rsidR="00ED4694" w:rsidRDefault="00ED4694" w:rsidP="00ED4694">
      <w:pPr>
        <w:pStyle w:val="Sansinterligne"/>
        <w:jc w:val="both"/>
        <w:rPr>
          <w:rFonts w:ascii="Arial" w:hAnsi="Arial" w:cs="Arial"/>
          <w:color w:val="000000" w:themeColor="text1"/>
          <w:sz w:val="20"/>
          <w:szCs w:val="20"/>
          <w:lang w:eastAsia="fr-FR"/>
        </w:rPr>
      </w:pPr>
    </w:p>
    <w:p w14:paraId="1620A996" w14:textId="77777777" w:rsidR="00ED4694" w:rsidRPr="00E167E8" w:rsidRDefault="00ED4694" w:rsidP="00ED4694">
      <w:pPr>
        <w:pStyle w:val="Sansinterligne"/>
        <w:jc w:val="both"/>
        <w:rPr>
          <w:rFonts w:ascii="Arial" w:hAnsi="Arial" w:cs="Arial"/>
          <w:color w:val="000000" w:themeColor="text1"/>
          <w:sz w:val="20"/>
          <w:szCs w:val="20"/>
          <w:u w:val="single"/>
          <w:lang w:eastAsia="fr-FR"/>
        </w:rPr>
      </w:pPr>
      <w:r w:rsidRPr="00E167E8">
        <w:rPr>
          <w:rFonts w:ascii="Arial" w:hAnsi="Arial" w:cs="Arial"/>
          <w:color w:val="000000" w:themeColor="text1"/>
          <w:sz w:val="20"/>
          <w:szCs w:val="20"/>
          <w:u w:val="single"/>
          <w:lang w:eastAsia="fr-FR"/>
        </w:rPr>
        <w:t xml:space="preserve">Chirurgie Bariatrique : quatre procédures recommandées par HAS </w:t>
      </w:r>
    </w:p>
    <w:p w14:paraId="7E16AA6B" w14:textId="77777777" w:rsidR="00ED469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noProof/>
          <w:color w:val="000000" w:themeColor="text1"/>
          <w:sz w:val="20"/>
          <w:szCs w:val="20"/>
          <w:lang w:eastAsia="fr-FR"/>
        </w:rPr>
        <w:drawing>
          <wp:anchor distT="0" distB="0" distL="114300" distR="114300" simplePos="0" relativeHeight="251708416" behindDoc="1" locked="0" layoutInCell="1" allowOverlap="1" wp14:anchorId="2A339F3E" wp14:editId="5A4C7712">
            <wp:simplePos x="0" y="0"/>
            <wp:positionH relativeFrom="column">
              <wp:posOffset>249827</wp:posOffset>
            </wp:positionH>
            <wp:positionV relativeFrom="paragraph">
              <wp:posOffset>101419</wp:posOffset>
            </wp:positionV>
            <wp:extent cx="1924685" cy="2058035"/>
            <wp:effectExtent l="0" t="0" r="5715" b="0"/>
            <wp:wrapTight wrapText="bothSides">
              <wp:wrapPolygon edited="0">
                <wp:start x="0" y="0"/>
                <wp:lineTo x="0" y="21460"/>
                <wp:lineTo x="21522" y="21460"/>
                <wp:lineTo x="21522" y="0"/>
                <wp:lineTo x="0" y="0"/>
              </wp:wrapPolygon>
            </wp:wrapTight>
            <wp:docPr id="687753039" name="Image 10" descr="page37image581238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page37image58123883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24685" cy="2058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94BD49" w14:textId="77777777" w:rsidR="00ED4694" w:rsidRDefault="00ED4694" w:rsidP="00ED4694">
      <w:pPr>
        <w:pStyle w:val="Sansinterligne"/>
        <w:jc w:val="both"/>
        <w:rPr>
          <w:rFonts w:ascii="Arial" w:hAnsi="Arial" w:cs="Arial"/>
          <w:color w:val="000000" w:themeColor="text1"/>
          <w:sz w:val="20"/>
          <w:szCs w:val="20"/>
          <w:lang w:eastAsia="fr-FR"/>
        </w:rPr>
      </w:pPr>
    </w:p>
    <w:p w14:paraId="532E8172" w14:textId="77777777" w:rsidR="00ED4694" w:rsidRDefault="00ED4694" w:rsidP="00ED4694">
      <w:pPr>
        <w:pStyle w:val="Sansinterligne"/>
        <w:jc w:val="both"/>
        <w:rPr>
          <w:rFonts w:ascii="Arial" w:hAnsi="Arial" w:cs="Arial"/>
          <w:color w:val="000000" w:themeColor="text1"/>
          <w:sz w:val="20"/>
          <w:szCs w:val="20"/>
          <w:lang w:eastAsia="fr-FR"/>
        </w:rPr>
      </w:pPr>
    </w:p>
    <w:p w14:paraId="3A28C9C8" w14:textId="77777777" w:rsidR="00ED4694" w:rsidRDefault="00ED4694" w:rsidP="00ED4694">
      <w:pPr>
        <w:pStyle w:val="Sansinterligne"/>
        <w:rPr>
          <w:rFonts w:ascii="Arial" w:hAnsi="Arial" w:cs="Arial"/>
          <w:color w:val="000000" w:themeColor="text1"/>
          <w:sz w:val="20"/>
          <w:szCs w:val="20"/>
          <w:lang w:eastAsia="fr-FR"/>
        </w:rPr>
      </w:pPr>
      <w:r>
        <w:rPr>
          <w:rFonts w:ascii="Arial" w:hAnsi="Arial" w:cs="Arial"/>
          <w:color w:val="000000" w:themeColor="text1"/>
          <w:sz w:val="20"/>
          <w:szCs w:val="20"/>
          <w:lang w:eastAsia="fr-FR"/>
        </w:rPr>
        <w:t xml:space="preserve">- </w:t>
      </w:r>
      <w:r w:rsidRPr="00C2418B">
        <w:rPr>
          <w:rFonts w:ascii="Arial" w:hAnsi="Arial" w:cs="Arial"/>
          <w:color w:val="000000" w:themeColor="text1"/>
          <w:sz w:val="20"/>
          <w:szCs w:val="20"/>
          <w:u w:val="single"/>
          <w:lang w:eastAsia="fr-FR"/>
        </w:rPr>
        <w:t>Procédures restrictives</w:t>
      </w:r>
      <w:r>
        <w:rPr>
          <w:rFonts w:ascii="Arial" w:hAnsi="Arial" w:cs="Arial"/>
          <w:color w:val="000000" w:themeColor="text1"/>
          <w:sz w:val="20"/>
          <w:szCs w:val="20"/>
          <w:lang w:eastAsia="fr-FR"/>
        </w:rPr>
        <w:t xml:space="preserve"> : anneau gastrique, gastrectomie (amputation de la moitié de l’estomac) : </w:t>
      </w:r>
      <w:r w:rsidRPr="00E167E8">
        <w:rPr>
          <w:rFonts w:ascii="Arial" w:hAnsi="Arial" w:cs="Arial"/>
          <w:i/>
          <w:iCs/>
          <w:color w:val="000000" w:themeColor="text1"/>
          <w:sz w:val="20"/>
          <w:szCs w:val="20"/>
          <w:lang w:eastAsia="fr-FR"/>
        </w:rPr>
        <w:t>les enzymes, nutriment</w:t>
      </w:r>
      <w:r>
        <w:rPr>
          <w:rFonts w:ascii="Arial" w:hAnsi="Arial" w:cs="Arial"/>
          <w:i/>
          <w:iCs/>
          <w:color w:val="000000" w:themeColor="text1"/>
          <w:sz w:val="20"/>
          <w:szCs w:val="20"/>
          <w:lang w:eastAsia="fr-FR"/>
        </w:rPr>
        <w:t>s</w:t>
      </w:r>
      <w:r w:rsidRPr="00E167E8">
        <w:rPr>
          <w:rFonts w:ascii="Arial" w:hAnsi="Arial" w:cs="Arial"/>
          <w:i/>
          <w:iCs/>
          <w:color w:val="000000" w:themeColor="text1"/>
          <w:sz w:val="20"/>
          <w:szCs w:val="20"/>
          <w:lang w:eastAsia="fr-FR"/>
        </w:rPr>
        <w:t xml:space="preserve"> prennent le même chemin</w:t>
      </w:r>
      <w:r>
        <w:rPr>
          <w:rFonts w:ascii="Arial" w:hAnsi="Arial" w:cs="Arial"/>
          <w:color w:val="000000" w:themeColor="text1"/>
          <w:sz w:val="20"/>
          <w:szCs w:val="20"/>
          <w:lang w:eastAsia="fr-FR"/>
        </w:rPr>
        <w:t>.</w:t>
      </w:r>
    </w:p>
    <w:p w14:paraId="49D1CF8D" w14:textId="77777777" w:rsidR="00ED4694" w:rsidRDefault="00ED4694" w:rsidP="00ED4694">
      <w:pPr>
        <w:pStyle w:val="Sansinterligne"/>
        <w:rPr>
          <w:rFonts w:ascii="Arial" w:hAnsi="Arial" w:cs="Arial"/>
          <w:color w:val="000000" w:themeColor="text1"/>
          <w:sz w:val="20"/>
          <w:szCs w:val="20"/>
          <w:lang w:eastAsia="fr-FR"/>
        </w:rPr>
      </w:pPr>
      <w:r>
        <w:rPr>
          <w:rFonts w:ascii="Arial" w:hAnsi="Arial" w:cs="Arial"/>
          <w:color w:val="000000" w:themeColor="text1"/>
          <w:sz w:val="20"/>
          <w:szCs w:val="20"/>
          <w:lang w:eastAsia="fr-FR"/>
        </w:rPr>
        <w:t xml:space="preserve">- </w:t>
      </w:r>
      <w:r w:rsidRPr="00C2418B">
        <w:rPr>
          <w:rFonts w:ascii="Arial" w:hAnsi="Arial" w:cs="Arial"/>
          <w:color w:val="000000" w:themeColor="text1"/>
          <w:sz w:val="20"/>
          <w:szCs w:val="20"/>
          <w:u w:val="single"/>
          <w:lang w:eastAsia="fr-FR"/>
        </w:rPr>
        <w:t>Procédures malabsorptives</w:t>
      </w:r>
      <w:r>
        <w:rPr>
          <w:rFonts w:ascii="Arial" w:hAnsi="Arial" w:cs="Arial"/>
          <w:color w:val="000000" w:themeColor="text1"/>
          <w:sz w:val="20"/>
          <w:szCs w:val="20"/>
          <w:lang w:eastAsia="fr-FR"/>
        </w:rPr>
        <w:t xml:space="preserve"> : bypass en Y, dérivation biliopancréatique : </w:t>
      </w:r>
      <w:r w:rsidRPr="00E167E8">
        <w:rPr>
          <w:rFonts w:ascii="Arial" w:hAnsi="Arial" w:cs="Arial"/>
          <w:i/>
          <w:iCs/>
          <w:color w:val="000000" w:themeColor="text1"/>
          <w:sz w:val="20"/>
          <w:szCs w:val="20"/>
          <w:lang w:eastAsia="fr-FR"/>
        </w:rPr>
        <w:t>les enzymes, nutriment</w:t>
      </w:r>
      <w:r>
        <w:rPr>
          <w:rFonts w:ascii="Arial" w:hAnsi="Arial" w:cs="Arial"/>
          <w:i/>
          <w:iCs/>
          <w:color w:val="000000" w:themeColor="text1"/>
          <w:sz w:val="20"/>
          <w:szCs w:val="20"/>
          <w:lang w:eastAsia="fr-FR"/>
        </w:rPr>
        <w:t>s ne</w:t>
      </w:r>
      <w:r w:rsidRPr="00E167E8">
        <w:rPr>
          <w:rFonts w:ascii="Arial" w:hAnsi="Arial" w:cs="Arial"/>
          <w:i/>
          <w:iCs/>
          <w:color w:val="000000" w:themeColor="text1"/>
          <w:sz w:val="20"/>
          <w:szCs w:val="20"/>
          <w:lang w:eastAsia="fr-FR"/>
        </w:rPr>
        <w:t xml:space="preserve"> prennent </w:t>
      </w:r>
      <w:r>
        <w:rPr>
          <w:rFonts w:ascii="Arial" w:hAnsi="Arial" w:cs="Arial"/>
          <w:i/>
          <w:iCs/>
          <w:color w:val="000000" w:themeColor="text1"/>
          <w:sz w:val="20"/>
          <w:szCs w:val="20"/>
          <w:lang w:eastAsia="fr-FR"/>
        </w:rPr>
        <w:t xml:space="preserve">plus </w:t>
      </w:r>
      <w:r w:rsidRPr="00E167E8">
        <w:rPr>
          <w:rFonts w:ascii="Arial" w:hAnsi="Arial" w:cs="Arial"/>
          <w:i/>
          <w:iCs/>
          <w:color w:val="000000" w:themeColor="text1"/>
          <w:sz w:val="20"/>
          <w:szCs w:val="20"/>
          <w:lang w:eastAsia="fr-FR"/>
        </w:rPr>
        <w:t>le même chemi</w:t>
      </w:r>
      <w:r>
        <w:rPr>
          <w:rFonts w:ascii="Arial" w:hAnsi="Arial" w:cs="Arial"/>
          <w:i/>
          <w:iCs/>
          <w:color w:val="000000" w:themeColor="text1"/>
          <w:sz w:val="20"/>
          <w:szCs w:val="20"/>
          <w:lang w:eastAsia="fr-FR"/>
        </w:rPr>
        <w:t>n.</w:t>
      </w:r>
    </w:p>
    <w:p w14:paraId="11144285" w14:textId="77777777" w:rsidR="00ED4694" w:rsidRDefault="00ED4694" w:rsidP="00ED4694">
      <w:pPr>
        <w:pStyle w:val="Sansinterligne"/>
        <w:jc w:val="both"/>
        <w:rPr>
          <w:rFonts w:ascii="Arial" w:hAnsi="Arial" w:cs="Arial"/>
          <w:color w:val="000000" w:themeColor="text1"/>
          <w:sz w:val="20"/>
          <w:szCs w:val="20"/>
          <w:lang w:eastAsia="fr-FR"/>
        </w:rPr>
      </w:pPr>
      <w:r>
        <w:rPr>
          <w:rFonts w:ascii="Arial" w:hAnsi="Arial" w:cs="Arial"/>
          <w:color w:val="000000" w:themeColor="text1"/>
          <w:sz w:val="20"/>
          <w:szCs w:val="20"/>
          <w:lang w:eastAsia="fr-FR"/>
        </w:rPr>
        <w:t xml:space="preserve">17 nouvelles techniques </w:t>
      </w:r>
    </w:p>
    <w:p w14:paraId="5148AA2D" w14:textId="77777777" w:rsidR="00ED4694" w:rsidRDefault="00ED4694" w:rsidP="00ED4694">
      <w:pPr>
        <w:pStyle w:val="Sansinterligne"/>
        <w:jc w:val="both"/>
        <w:rPr>
          <w:rFonts w:ascii="Arial" w:hAnsi="Arial" w:cs="Arial"/>
          <w:color w:val="000000" w:themeColor="text1"/>
          <w:sz w:val="20"/>
          <w:szCs w:val="20"/>
          <w:lang w:eastAsia="fr-FR"/>
        </w:rPr>
      </w:pPr>
    </w:p>
    <w:p w14:paraId="6BB57396" w14:textId="77777777" w:rsidR="00ED4694" w:rsidRDefault="00ED4694" w:rsidP="00ED4694">
      <w:pPr>
        <w:pStyle w:val="Sansinterligne"/>
        <w:jc w:val="both"/>
        <w:rPr>
          <w:rFonts w:ascii="Arial" w:hAnsi="Arial" w:cs="Arial"/>
          <w:color w:val="000000" w:themeColor="text1"/>
          <w:sz w:val="20"/>
          <w:szCs w:val="20"/>
          <w:lang w:eastAsia="fr-FR"/>
        </w:rPr>
      </w:pPr>
    </w:p>
    <w:p w14:paraId="2B202945" w14:textId="77777777" w:rsidR="00ED4694" w:rsidRDefault="00ED4694" w:rsidP="00ED4694">
      <w:pPr>
        <w:pStyle w:val="Sansinterligne"/>
        <w:jc w:val="both"/>
        <w:rPr>
          <w:rFonts w:ascii="Arial" w:hAnsi="Arial" w:cs="Arial"/>
          <w:color w:val="000000" w:themeColor="text1"/>
          <w:sz w:val="20"/>
          <w:szCs w:val="20"/>
          <w:lang w:eastAsia="fr-FR"/>
        </w:rPr>
      </w:pPr>
    </w:p>
    <w:p w14:paraId="0BDC0593" w14:textId="77777777" w:rsidR="00ED4694" w:rsidRDefault="00ED4694" w:rsidP="00ED4694">
      <w:pPr>
        <w:pStyle w:val="Sansinterligne"/>
        <w:jc w:val="both"/>
        <w:rPr>
          <w:rFonts w:ascii="Arial" w:hAnsi="Arial" w:cs="Arial"/>
          <w:color w:val="000000" w:themeColor="text1"/>
          <w:sz w:val="20"/>
          <w:szCs w:val="20"/>
          <w:lang w:eastAsia="fr-FR"/>
        </w:rPr>
      </w:pPr>
    </w:p>
    <w:p w14:paraId="12CE9326" w14:textId="77777777" w:rsidR="00ED4694" w:rsidRDefault="00ED4694" w:rsidP="00ED4694">
      <w:pPr>
        <w:pStyle w:val="Sansinterligne"/>
        <w:jc w:val="both"/>
        <w:rPr>
          <w:rFonts w:ascii="Arial" w:hAnsi="Arial" w:cs="Arial"/>
          <w:color w:val="000000" w:themeColor="text1"/>
          <w:sz w:val="20"/>
          <w:szCs w:val="20"/>
          <w:lang w:eastAsia="fr-FR"/>
        </w:rPr>
      </w:pPr>
    </w:p>
    <w:p w14:paraId="19EFDBDE" w14:textId="77777777" w:rsidR="00ED4694" w:rsidRDefault="00ED4694" w:rsidP="00ED4694">
      <w:pPr>
        <w:pStyle w:val="Sansinterligne"/>
        <w:jc w:val="both"/>
        <w:rPr>
          <w:rFonts w:ascii="Arial" w:hAnsi="Arial" w:cs="Arial"/>
          <w:color w:val="000000" w:themeColor="text1"/>
          <w:sz w:val="20"/>
          <w:szCs w:val="20"/>
          <w:lang w:eastAsia="fr-FR"/>
        </w:rPr>
      </w:pPr>
    </w:p>
    <w:p w14:paraId="21D29CEE" w14:textId="77777777" w:rsidR="00ED4694" w:rsidRDefault="00ED4694" w:rsidP="00ED4694">
      <w:pPr>
        <w:pStyle w:val="Sansinterligne"/>
        <w:jc w:val="both"/>
        <w:rPr>
          <w:rFonts w:ascii="Arial" w:hAnsi="Arial" w:cs="Arial"/>
          <w:color w:val="000000" w:themeColor="text1"/>
          <w:sz w:val="20"/>
          <w:szCs w:val="20"/>
          <w:lang w:eastAsia="fr-FR"/>
        </w:rPr>
      </w:pPr>
    </w:p>
    <w:p w14:paraId="27DB22AA" w14:textId="77777777" w:rsidR="00ED4694" w:rsidRDefault="00ED4694" w:rsidP="00ED4694">
      <w:pPr>
        <w:pStyle w:val="Sansinterligne"/>
        <w:jc w:val="both"/>
        <w:rPr>
          <w:rFonts w:ascii="Arial" w:hAnsi="Arial" w:cs="Arial"/>
          <w:color w:val="000000" w:themeColor="text1"/>
          <w:sz w:val="20"/>
          <w:szCs w:val="20"/>
          <w:lang w:eastAsia="fr-FR"/>
        </w:rPr>
      </w:pPr>
    </w:p>
    <w:p w14:paraId="1CCDA32F" w14:textId="77777777" w:rsidR="00ED4694" w:rsidRPr="00E167E8" w:rsidRDefault="00ED4694" w:rsidP="00ED4694">
      <w:pPr>
        <w:pStyle w:val="Sansinterligne"/>
        <w:jc w:val="both"/>
        <w:rPr>
          <w:rFonts w:ascii="Arial" w:hAnsi="Arial" w:cs="Arial"/>
          <w:color w:val="000000" w:themeColor="text1"/>
          <w:sz w:val="20"/>
          <w:szCs w:val="20"/>
          <w:u w:val="single"/>
          <w:lang w:eastAsia="fr-FR"/>
        </w:rPr>
      </w:pPr>
      <w:r w:rsidRPr="00E167E8">
        <w:rPr>
          <w:rFonts w:ascii="Arial" w:hAnsi="Arial" w:cs="Arial"/>
          <w:color w:val="000000" w:themeColor="text1"/>
          <w:sz w:val="20"/>
          <w:szCs w:val="20"/>
          <w:u w:val="single"/>
          <w:lang w:eastAsia="fr-FR"/>
        </w:rPr>
        <w:fldChar w:fldCharType="begin"/>
      </w:r>
      <w:r w:rsidRPr="00E167E8">
        <w:rPr>
          <w:rFonts w:ascii="Arial" w:hAnsi="Arial" w:cs="Arial"/>
          <w:color w:val="000000" w:themeColor="text1"/>
          <w:sz w:val="20"/>
          <w:szCs w:val="20"/>
          <w:u w:val="single"/>
          <w:lang w:eastAsia="fr-FR"/>
        </w:rPr>
        <w:instrText xml:space="preserve"> INCLUDEPICTURE "/Users/alienorprudhomme/Library/Group Containers/UBF8T346G9.ms/WebArchiveCopyPasteTempFiles/com.microsoft.Word/page37image581238832" \* MERGEFORMATINET </w:instrText>
      </w:r>
      <w:r w:rsidRPr="00E167E8">
        <w:rPr>
          <w:rFonts w:ascii="Arial" w:hAnsi="Arial" w:cs="Arial"/>
          <w:color w:val="000000" w:themeColor="text1"/>
          <w:sz w:val="20"/>
          <w:szCs w:val="20"/>
          <w:u w:val="single"/>
          <w:lang w:eastAsia="fr-FR"/>
        </w:rPr>
        <w:fldChar w:fldCharType="separate"/>
      </w:r>
      <w:r w:rsidRPr="00E167E8">
        <w:rPr>
          <w:rFonts w:ascii="Arial" w:hAnsi="Arial" w:cs="Arial"/>
          <w:color w:val="000000" w:themeColor="text1"/>
          <w:sz w:val="20"/>
          <w:szCs w:val="20"/>
          <w:u w:val="single"/>
          <w:lang w:eastAsia="fr-FR"/>
        </w:rPr>
        <w:fldChar w:fldCharType="end"/>
      </w:r>
      <w:r w:rsidRPr="00E167E8">
        <w:rPr>
          <w:rFonts w:ascii="Arial" w:hAnsi="Arial" w:cs="Arial"/>
          <w:color w:val="000000" w:themeColor="text1"/>
          <w:sz w:val="20"/>
          <w:szCs w:val="20"/>
          <w:u w:val="single"/>
          <w:lang w:eastAsia="fr-FR"/>
        </w:rPr>
        <w:t xml:space="preserve">Chirurgie Bariatrique : Perte de Poids et Comorbidités </w:t>
      </w:r>
    </w:p>
    <w:p w14:paraId="17FA0A3C" w14:textId="77777777" w:rsidR="00ED4694" w:rsidRDefault="00ED4694" w:rsidP="00ED4694">
      <w:pPr>
        <w:pStyle w:val="Sansinterligne"/>
        <w:jc w:val="both"/>
        <w:rPr>
          <w:rFonts w:ascii="Arial" w:hAnsi="Arial" w:cs="Arial"/>
          <w:color w:val="000000" w:themeColor="text1"/>
          <w:sz w:val="20"/>
          <w:szCs w:val="20"/>
          <w:lang w:eastAsia="fr-FR"/>
        </w:rPr>
      </w:pPr>
      <w:r>
        <w:rPr>
          <w:rFonts w:ascii="Arial" w:hAnsi="Arial" w:cs="Arial"/>
          <w:color w:val="000000" w:themeColor="text1"/>
          <w:sz w:val="20"/>
          <w:szCs w:val="20"/>
          <w:lang w:eastAsia="fr-FR"/>
        </w:rPr>
        <w:t xml:space="preserve">Le bypass en Y est le plus favorable pour ce qui concerne la perte de poids et les comorbidités et de façon assez immédiate. Le court-circuit gastrique est moins rapide et l’anneau gastrique, encore moins. </w:t>
      </w:r>
    </w:p>
    <w:p w14:paraId="6E675033" w14:textId="77777777" w:rsidR="00ED4694" w:rsidRDefault="00ED4694" w:rsidP="00ED4694">
      <w:pPr>
        <w:pStyle w:val="Sansinterligne"/>
        <w:jc w:val="both"/>
        <w:rPr>
          <w:rFonts w:ascii="Arial" w:hAnsi="Arial" w:cs="Arial"/>
          <w:color w:val="000000" w:themeColor="text1"/>
          <w:sz w:val="20"/>
          <w:szCs w:val="20"/>
          <w:lang w:eastAsia="fr-FR"/>
        </w:rPr>
      </w:pPr>
      <w:r>
        <w:rPr>
          <w:rFonts w:ascii="Arial" w:hAnsi="Arial" w:cs="Arial"/>
          <w:color w:val="000000" w:themeColor="text1"/>
          <w:sz w:val="20"/>
          <w:szCs w:val="20"/>
          <w:lang w:eastAsia="fr-FR"/>
        </w:rPr>
        <w:t xml:space="preserve">Globalement, la chirurgie bariatrique améliore ce qui concerne la perte de poids et les comorbidités. </w:t>
      </w:r>
    </w:p>
    <w:p w14:paraId="0C7C9B68" w14:textId="77777777" w:rsidR="00ED4694" w:rsidRPr="00B15634" w:rsidRDefault="00ED4694" w:rsidP="00ED4694">
      <w:pPr>
        <w:pStyle w:val="Sansinterligne"/>
        <w:jc w:val="both"/>
        <w:rPr>
          <w:rFonts w:ascii="Arial" w:hAnsi="Arial" w:cs="Arial"/>
          <w:color w:val="000000" w:themeColor="text1"/>
          <w:sz w:val="20"/>
          <w:szCs w:val="20"/>
          <w:lang w:eastAsia="fr-FR"/>
        </w:rPr>
      </w:pPr>
    </w:p>
    <w:p w14:paraId="2362A765" w14:textId="77777777" w:rsidR="00ED4694" w:rsidRPr="00E167E8" w:rsidRDefault="00ED4694" w:rsidP="00ED4694">
      <w:pPr>
        <w:pStyle w:val="Sansinterligne"/>
        <w:jc w:val="both"/>
        <w:rPr>
          <w:rFonts w:ascii="Arial" w:hAnsi="Arial" w:cs="Arial"/>
          <w:color w:val="000000" w:themeColor="text1"/>
          <w:sz w:val="20"/>
          <w:szCs w:val="20"/>
          <w:u w:val="single"/>
          <w:lang w:eastAsia="fr-FR"/>
        </w:rPr>
      </w:pPr>
      <w:r w:rsidRPr="00E167E8">
        <w:rPr>
          <w:rFonts w:ascii="Arial" w:hAnsi="Arial" w:cs="Arial"/>
          <w:color w:val="000000" w:themeColor="text1"/>
          <w:sz w:val="20"/>
          <w:szCs w:val="20"/>
          <w:u w:val="single"/>
          <w:lang w:eastAsia="fr-FR"/>
        </w:rPr>
        <w:t>Chirurgie Bariatrique : Peptides Alimentaires</w:t>
      </w:r>
    </w:p>
    <w:p w14:paraId="1ABC9387" w14:textId="77777777" w:rsidR="00ED4694" w:rsidRDefault="00ED4694" w:rsidP="00ED4694">
      <w:pPr>
        <w:pStyle w:val="Sansinterligne"/>
        <w:jc w:val="both"/>
        <w:rPr>
          <w:rFonts w:ascii="Arial" w:hAnsi="Arial" w:cs="Arial"/>
          <w:color w:val="000000" w:themeColor="text1"/>
          <w:sz w:val="20"/>
          <w:szCs w:val="20"/>
          <w:lang w:eastAsia="fr-FR"/>
        </w:rPr>
      </w:pPr>
      <w:r w:rsidRPr="00E659A8">
        <w:rPr>
          <w:rFonts w:ascii="Arial" w:hAnsi="Arial" w:cs="Arial"/>
          <w:noProof/>
          <w:color w:val="000000" w:themeColor="text1"/>
          <w:sz w:val="20"/>
          <w:szCs w:val="20"/>
          <w:lang w:eastAsia="fr-FR"/>
        </w:rPr>
        <w:drawing>
          <wp:anchor distT="0" distB="0" distL="114300" distR="114300" simplePos="0" relativeHeight="251709440" behindDoc="1" locked="0" layoutInCell="1" allowOverlap="1" wp14:anchorId="1AF2D1C3" wp14:editId="568C2AA2">
            <wp:simplePos x="0" y="0"/>
            <wp:positionH relativeFrom="column">
              <wp:posOffset>-109855</wp:posOffset>
            </wp:positionH>
            <wp:positionV relativeFrom="paragraph">
              <wp:posOffset>71791</wp:posOffset>
            </wp:positionV>
            <wp:extent cx="4185920" cy="1364615"/>
            <wp:effectExtent l="0" t="0" r="5080" b="0"/>
            <wp:wrapTight wrapText="bothSides">
              <wp:wrapPolygon edited="0">
                <wp:start x="0" y="0"/>
                <wp:lineTo x="0" y="21309"/>
                <wp:lineTo x="21561" y="21309"/>
                <wp:lineTo x="21561" y="0"/>
                <wp:lineTo x="0" y="0"/>
              </wp:wrapPolygon>
            </wp:wrapTight>
            <wp:docPr id="12657999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799915"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185920" cy="1364615"/>
                    </a:xfrm>
                    <a:prstGeom prst="rect">
                      <a:avLst/>
                    </a:prstGeom>
                  </pic:spPr>
                </pic:pic>
              </a:graphicData>
            </a:graphic>
            <wp14:sizeRelH relativeFrom="page">
              <wp14:pctWidth>0</wp14:pctWidth>
            </wp14:sizeRelH>
            <wp14:sizeRelV relativeFrom="page">
              <wp14:pctHeight>0</wp14:pctHeight>
            </wp14:sizeRelV>
          </wp:anchor>
        </w:drawing>
      </w:r>
    </w:p>
    <w:p w14:paraId="4F74609C" w14:textId="77777777" w:rsidR="00ED4694" w:rsidRPr="00C2418B" w:rsidRDefault="00ED4694" w:rsidP="00ED4694">
      <w:pPr>
        <w:pStyle w:val="Sansinterligne"/>
        <w:jc w:val="both"/>
        <w:rPr>
          <w:rFonts w:ascii="Arial" w:hAnsi="Arial" w:cs="Arial"/>
          <w:color w:val="000000" w:themeColor="text1"/>
          <w:sz w:val="20"/>
          <w:szCs w:val="20"/>
          <w:u w:val="single"/>
          <w:lang w:eastAsia="fr-FR"/>
        </w:rPr>
      </w:pPr>
      <w:r w:rsidRPr="00C2418B">
        <w:rPr>
          <w:rFonts w:ascii="Arial" w:hAnsi="Arial" w:cs="Arial"/>
          <w:color w:val="000000" w:themeColor="text1"/>
          <w:sz w:val="20"/>
          <w:szCs w:val="20"/>
          <w:u w:val="single"/>
          <w:lang w:eastAsia="fr-FR"/>
        </w:rPr>
        <w:t xml:space="preserve">Après la chirurgie : </w:t>
      </w:r>
    </w:p>
    <w:p w14:paraId="3EAB0DD9" w14:textId="77777777" w:rsidR="00ED4694" w:rsidRDefault="00ED4694" w:rsidP="00ED4694">
      <w:pPr>
        <w:pStyle w:val="Sansinterligne"/>
        <w:jc w:val="both"/>
        <w:rPr>
          <w:rFonts w:ascii="Arial" w:hAnsi="Arial" w:cs="Arial"/>
          <w:color w:val="000000" w:themeColor="text1"/>
          <w:sz w:val="20"/>
          <w:szCs w:val="20"/>
          <w:lang w:eastAsia="fr-FR"/>
        </w:rPr>
      </w:pPr>
      <w:r>
        <w:rPr>
          <w:rFonts w:ascii="Arial" w:hAnsi="Arial" w:cs="Arial"/>
          <w:color w:val="000000" w:themeColor="text1"/>
          <w:sz w:val="20"/>
          <w:szCs w:val="20"/>
          <w:lang w:eastAsia="fr-FR"/>
        </w:rPr>
        <w:t xml:space="preserve">- </w:t>
      </w:r>
      <w:r w:rsidRPr="00B15634">
        <w:rPr>
          <w:rFonts w:ascii="Arial" w:hAnsi="Arial" w:cs="Arial"/>
          <w:sz w:val="20"/>
          <w:szCs w:val="20"/>
          <w:lang w:eastAsia="fr-FR"/>
        </w:rPr>
        <w:t>↑</w:t>
      </w:r>
      <w:r>
        <w:rPr>
          <w:rFonts w:ascii="Arial" w:hAnsi="Arial" w:cs="Arial"/>
          <w:sz w:val="20"/>
          <w:szCs w:val="20"/>
          <w:lang w:eastAsia="fr-FR"/>
        </w:rPr>
        <w:t xml:space="preserve"> </w:t>
      </w:r>
      <w:r>
        <w:rPr>
          <w:rFonts w:ascii="Arial" w:hAnsi="Arial" w:cs="Arial"/>
          <w:color w:val="000000" w:themeColor="text1"/>
          <w:sz w:val="20"/>
          <w:szCs w:val="20"/>
          <w:lang w:eastAsia="fr-FR"/>
        </w:rPr>
        <w:t>sécrétion de GLP-1, PYY</w:t>
      </w:r>
    </w:p>
    <w:p w14:paraId="433F1B1E" w14:textId="77777777" w:rsidR="00ED4694" w:rsidRDefault="00ED4694" w:rsidP="00ED4694">
      <w:pPr>
        <w:pStyle w:val="Sansinterligne"/>
        <w:jc w:val="both"/>
        <w:rPr>
          <w:rFonts w:ascii="Arial" w:hAnsi="Arial" w:cs="Arial"/>
          <w:color w:val="000000" w:themeColor="text1"/>
          <w:sz w:val="20"/>
          <w:szCs w:val="20"/>
          <w:lang w:eastAsia="fr-FR"/>
        </w:rPr>
      </w:pPr>
      <w:r>
        <w:rPr>
          <w:rFonts w:ascii="Arial" w:hAnsi="Arial" w:cs="Arial"/>
          <w:color w:val="000000" w:themeColor="text1"/>
          <w:sz w:val="20"/>
          <w:szCs w:val="20"/>
          <w:lang w:eastAsia="fr-FR"/>
        </w:rPr>
        <w:t>- la leptino-insulinorésistance est conservée</w:t>
      </w:r>
    </w:p>
    <w:p w14:paraId="67002D35" w14:textId="77777777" w:rsidR="00ED4694" w:rsidRDefault="00ED4694" w:rsidP="00ED4694">
      <w:pPr>
        <w:pStyle w:val="Sansinterligne"/>
        <w:jc w:val="both"/>
        <w:rPr>
          <w:rFonts w:ascii="Arial" w:hAnsi="Arial" w:cs="Arial"/>
          <w:color w:val="000000" w:themeColor="text1"/>
          <w:sz w:val="20"/>
          <w:szCs w:val="20"/>
          <w:lang w:eastAsia="fr-FR"/>
        </w:rPr>
      </w:pPr>
      <w:r>
        <w:rPr>
          <w:rFonts w:ascii="Arial" w:hAnsi="Arial" w:cs="Arial"/>
          <w:color w:val="000000" w:themeColor="text1"/>
          <w:sz w:val="20"/>
          <w:szCs w:val="20"/>
          <w:lang w:eastAsia="fr-FR"/>
        </w:rPr>
        <w:t>- nb constant d’adipocytes (mais taille diminue)</w:t>
      </w:r>
    </w:p>
    <w:p w14:paraId="0CD325E5" w14:textId="77777777" w:rsidR="00ED4694" w:rsidRDefault="00ED4694" w:rsidP="00ED4694">
      <w:pPr>
        <w:pStyle w:val="Sansinterligne"/>
        <w:jc w:val="both"/>
        <w:rPr>
          <w:rFonts w:ascii="Arial" w:hAnsi="Arial" w:cs="Arial"/>
          <w:color w:val="000000" w:themeColor="text1"/>
          <w:sz w:val="20"/>
          <w:szCs w:val="20"/>
          <w:lang w:eastAsia="fr-FR"/>
        </w:rPr>
      </w:pPr>
      <w:r>
        <w:rPr>
          <w:rFonts w:ascii="Arial" w:hAnsi="Arial" w:cs="Arial"/>
          <w:color w:val="000000" w:themeColor="text1"/>
          <w:sz w:val="20"/>
          <w:szCs w:val="20"/>
          <w:lang w:eastAsia="fr-FR"/>
        </w:rPr>
        <w:t>- bcp de fibroses, accumulation MEC, inflammation.</w:t>
      </w:r>
    </w:p>
    <w:p w14:paraId="1B617B4A" w14:textId="77777777" w:rsidR="00ED4694" w:rsidRDefault="00ED4694" w:rsidP="00ED4694">
      <w:pPr>
        <w:pStyle w:val="Sansinterligne"/>
        <w:jc w:val="both"/>
        <w:rPr>
          <w:rFonts w:ascii="Arial" w:hAnsi="Arial" w:cs="Arial"/>
          <w:color w:val="000000" w:themeColor="text1"/>
          <w:sz w:val="20"/>
          <w:szCs w:val="20"/>
          <w:lang w:eastAsia="fr-FR"/>
        </w:rPr>
      </w:pPr>
    </w:p>
    <w:p w14:paraId="05C38919" w14:textId="77777777" w:rsidR="00ED4694" w:rsidRDefault="00ED4694" w:rsidP="00ED4694">
      <w:pPr>
        <w:pStyle w:val="Sansinterligne"/>
        <w:jc w:val="both"/>
        <w:rPr>
          <w:rFonts w:ascii="Arial" w:hAnsi="Arial" w:cs="Arial"/>
          <w:color w:val="000000" w:themeColor="text1"/>
          <w:sz w:val="20"/>
          <w:szCs w:val="20"/>
          <w:lang w:eastAsia="fr-FR"/>
        </w:rPr>
      </w:pPr>
    </w:p>
    <w:p w14:paraId="396F34F0" w14:textId="77777777" w:rsidR="00ED4694" w:rsidRPr="00E167E8" w:rsidRDefault="00ED4694" w:rsidP="00ED4694">
      <w:pPr>
        <w:pStyle w:val="Sansinterligne"/>
        <w:jc w:val="both"/>
        <w:rPr>
          <w:rFonts w:ascii="Arial" w:hAnsi="Arial" w:cs="Arial"/>
          <w:color w:val="000000" w:themeColor="text1"/>
          <w:sz w:val="20"/>
          <w:szCs w:val="20"/>
          <w:u w:val="single"/>
          <w:lang w:eastAsia="fr-FR"/>
        </w:rPr>
      </w:pPr>
    </w:p>
    <w:p w14:paraId="7A4E9F25" w14:textId="77777777" w:rsidR="00ED4694" w:rsidRDefault="00ED4694" w:rsidP="00ED4694">
      <w:pPr>
        <w:pStyle w:val="Sansinterligne"/>
        <w:jc w:val="both"/>
        <w:rPr>
          <w:rFonts w:ascii="Arial" w:hAnsi="Arial" w:cs="Arial"/>
          <w:color w:val="000000" w:themeColor="text1"/>
          <w:sz w:val="20"/>
          <w:szCs w:val="20"/>
          <w:u w:val="single"/>
          <w:lang w:eastAsia="fr-FR"/>
        </w:rPr>
      </w:pPr>
      <w:r w:rsidRPr="00E167E8">
        <w:rPr>
          <w:rFonts w:ascii="Arial" w:hAnsi="Arial" w:cs="Arial"/>
          <w:color w:val="000000" w:themeColor="text1"/>
          <w:sz w:val="20"/>
          <w:szCs w:val="20"/>
          <w:u w:val="single"/>
          <w:lang w:eastAsia="fr-FR"/>
        </w:rPr>
        <w:t xml:space="preserve">Chirurgie Bariatrique : complications = carences nutritionnelles </w:t>
      </w:r>
    </w:p>
    <w:p w14:paraId="353C44FB" w14:textId="77777777" w:rsidR="00ED4694" w:rsidRPr="00E167E8" w:rsidRDefault="00ED4694" w:rsidP="00ED4694">
      <w:pPr>
        <w:pStyle w:val="Sansinterligne"/>
        <w:jc w:val="both"/>
        <w:rPr>
          <w:rFonts w:ascii="Arial" w:hAnsi="Arial" w:cs="Arial"/>
          <w:color w:val="000000" w:themeColor="text1"/>
          <w:sz w:val="20"/>
          <w:szCs w:val="20"/>
          <w:u w:val="single"/>
          <w:lang w:eastAsia="fr-FR"/>
        </w:rPr>
      </w:pPr>
      <w:r w:rsidRPr="00B15634">
        <w:rPr>
          <w:rFonts w:ascii="Arial" w:hAnsi="Arial" w:cs="Arial"/>
          <w:noProof/>
          <w:color w:val="000000" w:themeColor="text1"/>
          <w:sz w:val="20"/>
          <w:szCs w:val="20"/>
          <w:lang w:eastAsia="fr-FR"/>
        </w:rPr>
        <w:drawing>
          <wp:anchor distT="0" distB="0" distL="114300" distR="114300" simplePos="0" relativeHeight="251718656" behindDoc="0" locked="0" layoutInCell="1" allowOverlap="1" wp14:anchorId="1090901B" wp14:editId="026E24F3">
            <wp:simplePos x="0" y="0"/>
            <wp:positionH relativeFrom="column">
              <wp:posOffset>76200</wp:posOffset>
            </wp:positionH>
            <wp:positionV relativeFrom="paragraph">
              <wp:posOffset>88900</wp:posOffset>
            </wp:positionV>
            <wp:extent cx="2390775" cy="1847850"/>
            <wp:effectExtent l="0" t="0" r="0" b="6350"/>
            <wp:wrapThrough wrapText="bothSides">
              <wp:wrapPolygon edited="0">
                <wp:start x="0" y="0"/>
                <wp:lineTo x="0" y="21526"/>
                <wp:lineTo x="21457" y="21526"/>
                <wp:lineTo x="21457" y="0"/>
                <wp:lineTo x="0" y="0"/>
              </wp:wrapPolygon>
            </wp:wrapThrough>
            <wp:docPr id="1763963497" name="Image 4" descr="page41image58326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page41image58326308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90775"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Containers/UBF8T346G9.ms/WebArchiveCopyPasteTempFiles/com.microsoft.Word/page41image583263088"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color w:val="000000" w:themeColor="text1"/>
          <w:sz w:val="20"/>
          <w:szCs w:val="20"/>
          <w:lang w:eastAsia="fr-FR"/>
        </w:rPr>
        <w:fldChar w:fldCharType="end"/>
      </w:r>
    </w:p>
    <w:p w14:paraId="642F1272" w14:textId="77777777" w:rsidR="00ED4694" w:rsidRDefault="00ED4694" w:rsidP="00ED4694">
      <w:pPr>
        <w:pStyle w:val="Sansinterligne"/>
        <w:jc w:val="both"/>
        <w:rPr>
          <w:rFonts w:ascii="Arial" w:hAnsi="Arial" w:cs="Arial"/>
          <w:color w:val="000000" w:themeColor="text1"/>
          <w:sz w:val="20"/>
          <w:szCs w:val="20"/>
          <w:lang w:eastAsia="fr-FR"/>
        </w:rPr>
      </w:pPr>
      <w:r w:rsidRPr="00C2418B">
        <w:rPr>
          <w:rFonts w:ascii="Arial" w:hAnsi="Arial" w:cs="Arial"/>
          <w:color w:val="000000" w:themeColor="text1"/>
          <w:sz w:val="20"/>
          <w:szCs w:val="20"/>
          <w:u w:val="single"/>
          <w:lang w:eastAsia="fr-FR"/>
        </w:rPr>
        <w:t>Carences les plus fréquentes</w:t>
      </w:r>
      <w:r>
        <w:rPr>
          <w:rFonts w:ascii="Arial" w:hAnsi="Arial" w:cs="Arial"/>
          <w:color w:val="000000" w:themeColor="text1"/>
          <w:sz w:val="20"/>
          <w:szCs w:val="20"/>
          <w:lang w:eastAsia="fr-FR"/>
        </w:rPr>
        <w:t xml:space="preserve"> : Vit-D, B9, B12, B1… </w:t>
      </w:r>
    </w:p>
    <w:p w14:paraId="7CE38144"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E167E8">
        <w:rPr>
          <w:rFonts w:ascii="Arial" w:hAnsi="Arial" w:cs="Arial"/>
          <w:color w:val="000000" w:themeColor="text1"/>
          <w:sz w:val="20"/>
          <w:szCs w:val="20"/>
          <w:lang w:eastAsia="fr-FR"/>
        </w:rPr>
        <w:sym w:font="Wingdings" w:char="F0E0"/>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 xml:space="preserve">Supplémentation orale en micronutriments indispensables la première année </w:t>
      </w:r>
      <w:r>
        <w:rPr>
          <w:rFonts w:ascii="Arial" w:hAnsi="Arial" w:cs="Arial"/>
          <w:color w:val="000000" w:themeColor="text1"/>
          <w:sz w:val="20"/>
          <w:szCs w:val="20"/>
          <w:lang w:eastAsia="fr-FR"/>
        </w:rPr>
        <w:t xml:space="preserve">et </w:t>
      </w:r>
      <w:r w:rsidRPr="00B15634">
        <w:rPr>
          <w:rFonts w:ascii="Arial" w:hAnsi="Arial" w:cs="Arial"/>
          <w:color w:val="000000" w:themeColor="text1"/>
          <w:sz w:val="20"/>
          <w:szCs w:val="20"/>
          <w:lang w:eastAsia="fr-FR"/>
        </w:rPr>
        <w:t>à vie</w:t>
      </w:r>
      <w:r>
        <w:rPr>
          <w:rFonts w:ascii="Arial" w:hAnsi="Arial" w:cs="Arial"/>
          <w:color w:val="000000" w:themeColor="text1"/>
          <w:sz w:val="20"/>
          <w:szCs w:val="20"/>
          <w:lang w:eastAsia="fr-FR"/>
        </w:rPr>
        <w:t xml:space="preserve">. </w:t>
      </w:r>
    </w:p>
    <w:p w14:paraId="3EE31673" w14:textId="77777777" w:rsidR="00ED469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Troubles</w:t>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neurologiques</w:t>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graves</w:t>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mais</w:t>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rares</w:t>
      </w:r>
      <w:r>
        <w:rPr>
          <w:rFonts w:ascii="Arial" w:hAnsi="Arial" w:cs="Arial"/>
          <w:color w:val="000000" w:themeColor="text1"/>
          <w:sz w:val="20"/>
          <w:szCs w:val="20"/>
          <w:lang w:eastAsia="fr-FR"/>
        </w:rPr>
        <w:t> :</w:t>
      </w:r>
      <w:r w:rsidRPr="00B15634">
        <w:rPr>
          <w:rFonts w:ascii="Arial" w:hAnsi="Arial" w:cs="Arial"/>
          <w:color w:val="000000" w:themeColor="text1"/>
          <w:sz w:val="20"/>
          <w:szCs w:val="20"/>
          <w:lang w:eastAsia="fr-FR"/>
        </w:rPr>
        <w:t xml:space="preserve"> P</w:t>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w:t>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précoce;</w:t>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T</w:t>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w:t>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 xml:space="preserve">tardif </w:t>
      </w:r>
    </w:p>
    <w:p w14:paraId="28E10049" w14:textId="77777777" w:rsidR="00ED4694" w:rsidRPr="00B15634" w:rsidRDefault="00ED4694" w:rsidP="00ED4694">
      <w:pPr>
        <w:pStyle w:val="Sansinterligne"/>
        <w:jc w:val="both"/>
        <w:rPr>
          <w:rFonts w:ascii="Arial" w:hAnsi="Arial" w:cs="Arial"/>
          <w:color w:val="000000" w:themeColor="text1"/>
          <w:sz w:val="20"/>
          <w:szCs w:val="20"/>
          <w:lang w:eastAsia="fr-FR"/>
        </w:rPr>
      </w:pPr>
      <w:r>
        <w:rPr>
          <w:rFonts w:ascii="Arial" w:hAnsi="Arial" w:cs="Arial"/>
          <w:color w:val="000000" w:themeColor="text1"/>
          <w:sz w:val="20"/>
          <w:szCs w:val="20"/>
          <w:lang w:eastAsia="fr-FR"/>
        </w:rPr>
        <w:t>Remodelage osseux excessif, dépistage et surveillance à vie</w:t>
      </w:r>
    </w:p>
    <w:p w14:paraId="5AD4C76F" w14:textId="77777777" w:rsidR="00ED4694" w:rsidRDefault="00ED4694" w:rsidP="00ED4694">
      <w:pPr>
        <w:pStyle w:val="Sansinterligne"/>
        <w:jc w:val="center"/>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fldChar w:fldCharType="begin"/>
      </w:r>
      <w:r w:rsidRPr="00B15634">
        <w:rPr>
          <w:rFonts w:ascii="Arial" w:hAnsi="Arial" w:cs="Arial"/>
          <w:color w:val="000000" w:themeColor="text1"/>
          <w:sz w:val="20"/>
          <w:szCs w:val="20"/>
          <w:lang w:eastAsia="fr-FR"/>
        </w:rPr>
        <w:instrText xml:space="preserve"> INCLUDEPICTURE "/Users/alienorprudhomme/Library/Group Containers/UBF8T346G9.ms/WebArchiveCopyPasteTempFiles/com.microsoft.Word/page41image583269440" \* MERGEFORMATINET </w:instrText>
      </w:r>
      <w:r w:rsidRPr="00B15634">
        <w:rPr>
          <w:rFonts w:ascii="Arial" w:hAnsi="Arial" w:cs="Arial"/>
          <w:color w:val="000000" w:themeColor="text1"/>
          <w:sz w:val="20"/>
          <w:szCs w:val="20"/>
          <w:lang w:eastAsia="fr-FR"/>
        </w:rPr>
        <w:fldChar w:fldCharType="separate"/>
      </w:r>
      <w:r w:rsidRPr="00B15634">
        <w:rPr>
          <w:rFonts w:ascii="Arial" w:hAnsi="Arial" w:cs="Arial"/>
          <w:noProof/>
          <w:color w:val="000000" w:themeColor="text1"/>
          <w:sz w:val="20"/>
          <w:szCs w:val="20"/>
          <w:lang w:eastAsia="fr-FR"/>
        </w:rPr>
        <w:drawing>
          <wp:inline distT="0" distB="0" distL="0" distR="0" wp14:anchorId="1AA29AD0" wp14:editId="6B19D3E2">
            <wp:extent cx="2255675" cy="1585997"/>
            <wp:effectExtent l="0" t="0" r="5080" b="1905"/>
            <wp:docPr id="255765104" name="Image 3" descr="page41image583269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page41image58326944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11320" cy="1625122"/>
                    </a:xfrm>
                    <a:prstGeom prst="rect">
                      <a:avLst/>
                    </a:prstGeom>
                    <a:noFill/>
                    <a:ln>
                      <a:noFill/>
                    </a:ln>
                  </pic:spPr>
                </pic:pic>
              </a:graphicData>
            </a:graphic>
          </wp:inline>
        </w:drawing>
      </w:r>
      <w:r w:rsidRPr="00B15634">
        <w:rPr>
          <w:rFonts w:ascii="Arial" w:hAnsi="Arial" w:cs="Arial"/>
          <w:color w:val="000000" w:themeColor="text1"/>
          <w:sz w:val="20"/>
          <w:szCs w:val="20"/>
          <w:lang w:eastAsia="fr-FR"/>
        </w:rPr>
        <w:fldChar w:fldCharType="end"/>
      </w:r>
    </w:p>
    <w:p w14:paraId="2FF3E224" w14:textId="77777777" w:rsidR="00ED4694" w:rsidRPr="00E167E8" w:rsidRDefault="00ED4694" w:rsidP="00ED4694">
      <w:pPr>
        <w:pStyle w:val="Sansinterligne"/>
        <w:rPr>
          <w:rFonts w:ascii="Arial" w:hAnsi="Arial" w:cs="Arial"/>
          <w:color w:val="000000" w:themeColor="text1"/>
          <w:sz w:val="20"/>
          <w:szCs w:val="20"/>
          <w:u w:val="single"/>
          <w:lang w:eastAsia="fr-FR"/>
        </w:rPr>
      </w:pPr>
      <w:r w:rsidRPr="00E167E8">
        <w:rPr>
          <w:rFonts w:ascii="Arial" w:hAnsi="Arial" w:cs="Arial"/>
          <w:color w:val="000000" w:themeColor="text1"/>
          <w:sz w:val="20"/>
          <w:szCs w:val="20"/>
          <w:u w:val="single"/>
          <w:lang w:eastAsia="fr-FR"/>
        </w:rPr>
        <w:lastRenderedPageBreak/>
        <w:t>Chirurgie Bariatrique : complications =</w:t>
      </w:r>
      <w:r w:rsidRPr="00E167E8">
        <w:rPr>
          <w:rFonts w:ascii="Arial" w:hAnsi="Arial" w:cs="Arial"/>
          <w:i/>
          <w:iCs/>
          <w:color w:val="000000" w:themeColor="text1"/>
          <w:sz w:val="20"/>
          <w:szCs w:val="20"/>
          <w:u w:val="single"/>
          <w:lang w:eastAsia="fr-FR"/>
        </w:rPr>
        <w:t xml:space="preserve">dumping syndrome </w:t>
      </w:r>
    </w:p>
    <w:p w14:paraId="3A37395F" w14:textId="77777777" w:rsidR="00ED469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Arrivée rapide des aliments dans l’intestin grêle </w:t>
      </w:r>
      <w:r w:rsidRPr="00E659A8">
        <w:rPr>
          <w:rFonts w:ascii="Arial" w:hAnsi="Arial" w:cs="Arial"/>
          <w:color w:val="000000" w:themeColor="text1"/>
          <w:sz w:val="20"/>
          <w:szCs w:val="20"/>
          <w:lang w:eastAsia="fr-FR"/>
        </w:rPr>
        <w:sym w:font="Wingdings" w:char="F0E0"/>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 xml:space="preserve">sécrétion inappropriée d’insuline et de glucagon sensibilité très importante à l’insuline : HYPOGLYCEMIES </w:t>
      </w:r>
    </w:p>
    <w:p w14:paraId="73A0D77C" w14:textId="77777777" w:rsidR="00ED469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Mesures diététiques efficaces : ACARBOSE : médicament qui retarde la digestion et l'absorption des sucres </w:t>
      </w:r>
    </w:p>
    <w:p w14:paraId="7C77B86A"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Innovations thérapeutiques sont à l’étude </w:t>
      </w:r>
    </w:p>
    <w:p w14:paraId="17EAAAD4" w14:textId="77777777" w:rsidR="00ED4694" w:rsidRDefault="00ED4694" w:rsidP="00ED4694">
      <w:pPr>
        <w:pStyle w:val="Sansinterligne"/>
        <w:jc w:val="both"/>
        <w:rPr>
          <w:rFonts w:ascii="Arial" w:hAnsi="Arial" w:cs="Arial"/>
          <w:color w:val="000000" w:themeColor="text1"/>
          <w:sz w:val="20"/>
          <w:szCs w:val="20"/>
          <w:lang w:eastAsia="fr-FR"/>
        </w:rPr>
      </w:pPr>
    </w:p>
    <w:p w14:paraId="20A84549" w14:textId="77777777" w:rsidR="00ED4694" w:rsidRPr="00F851F7" w:rsidRDefault="00ED4694" w:rsidP="00ED4694">
      <w:pPr>
        <w:pStyle w:val="Sansinterligne"/>
        <w:jc w:val="both"/>
        <w:rPr>
          <w:rFonts w:ascii="Arial" w:hAnsi="Arial" w:cs="Arial"/>
          <w:color w:val="000000" w:themeColor="text1"/>
          <w:sz w:val="20"/>
          <w:szCs w:val="20"/>
          <w:u w:val="single"/>
          <w:lang w:eastAsia="fr-FR"/>
        </w:rPr>
      </w:pPr>
      <w:r w:rsidRPr="00F851F7">
        <w:rPr>
          <w:rFonts w:ascii="Arial" w:hAnsi="Arial" w:cs="Arial"/>
          <w:color w:val="000000" w:themeColor="text1"/>
          <w:sz w:val="20"/>
          <w:szCs w:val="20"/>
          <w:u w:val="single"/>
          <w:lang w:eastAsia="fr-FR"/>
        </w:rPr>
        <w:t xml:space="preserve">Chirurgie Bariatrique = chirurgie métabolique </w:t>
      </w:r>
    </w:p>
    <w:p w14:paraId="7276B2D2" w14:textId="77777777" w:rsidR="00ED469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Un des modes thérapeutiques </w:t>
      </w:r>
      <w:r>
        <w:rPr>
          <w:rFonts w:ascii="Arial" w:hAnsi="Arial" w:cs="Arial"/>
          <w:color w:val="000000" w:themeColor="text1"/>
          <w:sz w:val="20"/>
          <w:szCs w:val="20"/>
          <w:lang w:eastAsia="fr-FR"/>
        </w:rPr>
        <w:t>de certains DT2</w:t>
      </w:r>
      <w:r w:rsidRPr="00B15634">
        <w:rPr>
          <w:rFonts w:ascii="Arial" w:hAnsi="Arial" w:cs="Arial"/>
          <w:color w:val="000000" w:themeColor="text1"/>
          <w:sz w:val="20"/>
          <w:szCs w:val="20"/>
          <w:lang w:eastAsia="fr-FR"/>
        </w:rPr>
        <w:t xml:space="preserve"> très mal contrôlés au plan glycémique </w:t>
      </w:r>
    </w:p>
    <w:p w14:paraId="4EB7100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Durabilité des effets avec une rémission du diabète dépend de facteurs mal cernés :</w:t>
      </w:r>
      <w:r>
        <w:rPr>
          <w:rFonts w:ascii="Arial" w:hAnsi="Arial" w:cs="Arial"/>
          <w:color w:val="000000" w:themeColor="text1"/>
          <w:sz w:val="20"/>
          <w:szCs w:val="20"/>
          <w:lang w:eastAsia="fr-FR"/>
        </w:rPr>
        <w:t xml:space="preserve"> </w:t>
      </w:r>
      <w:r w:rsidRPr="00B15634">
        <w:rPr>
          <w:rFonts w:ascii="Arial" w:hAnsi="Arial" w:cs="Arial"/>
          <w:color w:val="000000" w:themeColor="text1"/>
          <w:sz w:val="20"/>
          <w:szCs w:val="20"/>
          <w:lang w:eastAsia="fr-FR"/>
        </w:rPr>
        <w:t xml:space="preserve">diabète récent, perte pondérale importante et bypass gastrique: favorables ? </w:t>
      </w:r>
    </w:p>
    <w:p w14:paraId="5FEFED55" w14:textId="77777777" w:rsidR="00ED4694" w:rsidRDefault="00ED4694" w:rsidP="00ED4694">
      <w:pPr>
        <w:pStyle w:val="Sansinterligne"/>
        <w:jc w:val="both"/>
        <w:rPr>
          <w:rFonts w:ascii="Arial" w:hAnsi="Arial" w:cs="Arial"/>
          <w:color w:val="000000" w:themeColor="text1"/>
          <w:sz w:val="20"/>
          <w:szCs w:val="20"/>
          <w:lang w:eastAsia="fr-FR"/>
        </w:rPr>
      </w:pPr>
    </w:p>
    <w:p w14:paraId="1270C693" w14:textId="77777777" w:rsidR="00ED4694" w:rsidRPr="00F851F7" w:rsidRDefault="00ED4694" w:rsidP="00ED4694">
      <w:pPr>
        <w:pStyle w:val="Sansinterligne"/>
        <w:jc w:val="both"/>
        <w:rPr>
          <w:rFonts w:ascii="Arial" w:hAnsi="Arial" w:cs="Arial"/>
          <w:color w:val="000000" w:themeColor="text1"/>
          <w:sz w:val="20"/>
          <w:szCs w:val="20"/>
          <w:u w:val="single"/>
          <w:lang w:eastAsia="fr-FR"/>
        </w:rPr>
      </w:pPr>
      <w:r w:rsidRPr="00F851F7">
        <w:rPr>
          <w:rFonts w:ascii="Arial" w:hAnsi="Arial" w:cs="Arial"/>
          <w:color w:val="000000" w:themeColor="text1"/>
          <w:sz w:val="20"/>
          <w:szCs w:val="20"/>
          <w:u w:val="single"/>
          <w:lang w:eastAsia="fr-FR"/>
        </w:rPr>
        <w:t xml:space="preserve">Obésité : Entité pathologique hétérogène : MHO </w:t>
      </w:r>
    </w:p>
    <w:p w14:paraId="0B7EB013"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La localisation anatomique des dépôts adipeux est importante pour leur fonction et que le tissu adipeux viscéral (aug cytokines proinflammatoires et du contenu en macrophages également activité lipolytique supérieure) a un impact beaucoup plus important sur la résistance à l’insuline que le tissu adipeux sous-cutané qui serait plutôt protecteur </w:t>
      </w:r>
    </w:p>
    <w:p w14:paraId="163584FF" w14:textId="77777777" w:rsidR="00ED4694" w:rsidRPr="00B15634" w:rsidRDefault="00ED4694" w:rsidP="00ED4694">
      <w:pPr>
        <w:pStyle w:val="Sansinterligne"/>
        <w:jc w:val="both"/>
        <w:rPr>
          <w:rFonts w:ascii="Arial" w:hAnsi="Arial" w:cs="Arial"/>
          <w:color w:val="000000" w:themeColor="text1"/>
          <w:sz w:val="20"/>
          <w:szCs w:val="20"/>
          <w:lang w:eastAsia="fr-FR"/>
        </w:rPr>
      </w:pPr>
      <w:r w:rsidRPr="00B15634">
        <w:rPr>
          <w:rFonts w:ascii="Arial" w:hAnsi="Arial" w:cs="Arial"/>
          <w:color w:val="000000" w:themeColor="text1"/>
          <w:sz w:val="20"/>
          <w:szCs w:val="20"/>
          <w:lang w:eastAsia="fr-FR"/>
        </w:rPr>
        <w:t xml:space="preserve">Obésité métaboliquement normale serait un état transitoire </w:t>
      </w:r>
    </w:p>
    <w:p w14:paraId="1E3BF80A" w14:textId="77777777" w:rsidR="00ED4694" w:rsidRDefault="00ED4694" w:rsidP="00ED4694">
      <w:pPr>
        <w:pStyle w:val="Sansinterligne"/>
        <w:jc w:val="both"/>
        <w:rPr>
          <w:rFonts w:ascii="Arial" w:hAnsi="Arial" w:cs="Arial"/>
          <w:sz w:val="20"/>
          <w:szCs w:val="20"/>
          <w:lang w:eastAsia="fr-FR"/>
        </w:rPr>
      </w:pPr>
    </w:p>
    <w:p w14:paraId="7DA76375" w14:textId="77777777" w:rsidR="00ED4694" w:rsidRDefault="00ED4694" w:rsidP="00ED4694">
      <w:pPr>
        <w:pStyle w:val="Sansinterligne"/>
        <w:jc w:val="center"/>
        <w:rPr>
          <w:rFonts w:ascii="Arial" w:hAnsi="Arial" w:cs="Arial"/>
          <w:sz w:val="20"/>
          <w:szCs w:val="20"/>
          <w:lang w:eastAsia="fr-FR"/>
        </w:rPr>
      </w:pPr>
      <w:r w:rsidRPr="00E659A8">
        <w:rPr>
          <w:rFonts w:ascii="Arial" w:hAnsi="Arial" w:cs="Arial"/>
          <w:noProof/>
          <w:sz w:val="20"/>
          <w:szCs w:val="20"/>
          <w:lang w:eastAsia="fr-FR"/>
        </w:rPr>
        <w:drawing>
          <wp:inline distT="0" distB="0" distL="0" distR="0" wp14:anchorId="58E27964" wp14:editId="0357C793">
            <wp:extent cx="5056743" cy="2593812"/>
            <wp:effectExtent l="0" t="0" r="0" b="0"/>
            <wp:docPr id="5227448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744853" name=""/>
                    <pic:cNvPicPr/>
                  </pic:nvPicPr>
                  <pic:blipFill>
                    <a:blip r:embed="rId111"/>
                    <a:stretch>
                      <a:fillRect/>
                    </a:stretch>
                  </pic:blipFill>
                  <pic:spPr>
                    <a:xfrm>
                      <a:off x="0" y="0"/>
                      <a:ext cx="5069640" cy="2600427"/>
                    </a:xfrm>
                    <a:prstGeom prst="rect">
                      <a:avLst/>
                    </a:prstGeom>
                  </pic:spPr>
                </pic:pic>
              </a:graphicData>
            </a:graphic>
          </wp:inline>
        </w:drawing>
      </w:r>
    </w:p>
    <w:p w14:paraId="199F78D1" w14:textId="77777777" w:rsidR="00ED4694" w:rsidRPr="00F851F7" w:rsidRDefault="00ED4694" w:rsidP="00ED4694">
      <w:pPr>
        <w:pStyle w:val="Sansinterligne"/>
        <w:rPr>
          <w:rFonts w:ascii="Arial" w:hAnsi="Arial" w:cs="Arial"/>
          <w:sz w:val="20"/>
          <w:szCs w:val="20"/>
          <w:u w:val="single"/>
          <w:lang w:eastAsia="fr-FR"/>
        </w:rPr>
      </w:pPr>
      <w:r w:rsidRPr="00F851F7">
        <w:rPr>
          <w:rFonts w:ascii="Arial" w:hAnsi="Arial" w:cs="Arial"/>
          <w:sz w:val="20"/>
          <w:szCs w:val="20"/>
          <w:u w:val="single"/>
          <w:lang w:eastAsia="fr-FR"/>
        </w:rPr>
        <w:t xml:space="preserve">Obésité en bonne santé métabolique : </w:t>
      </w:r>
    </w:p>
    <w:p w14:paraId="15EAA067" w14:textId="77777777" w:rsidR="00ED4694" w:rsidRDefault="00ED4694" w:rsidP="00ED4694">
      <w:pPr>
        <w:pStyle w:val="Sansinterligne"/>
        <w:numPr>
          <w:ilvl w:val="0"/>
          <w:numId w:val="140"/>
        </w:numPr>
        <w:rPr>
          <w:rFonts w:ascii="Arial" w:hAnsi="Arial" w:cs="Arial"/>
          <w:sz w:val="20"/>
          <w:szCs w:val="20"/>
          <w:lang w:eastAsia="fr-FR"/>
        </w:rPr>
      </w:pPr>
      <w:r>
        <w:rPr>
          <w:rFonts w:ascii="Arial" w:hAnsi="Arial" w:cs="Arial"/>
          <w:sz w:val="20"/>
          <w:szCs w:val="20"/>
          <w:lang w:eastAsia="fr-FR"/>
        </w:rPr>
        <w:t>Dépôt adipeux en sous cutané, moins d’impact sur la résistance à l’insuline</w:t>
      </w:r>
    </w:p>
    <w:p w14:paraId="651844EA" w14:textId="77777777" w:rsidR="00ED4694" w:rsidRDefault="00ED4694" w:rsidP="00ED4694">
      <w:pPr>
        <w:pStyle w:val="Sansinterligne"/>
        <w:numPr>
          <w:ilvl w:val="0"/>
          <w:numId w:val="140"/>
        </w:numPr>
        <w:rPr>
          <w:rFonts w:ascii="Arial" w:hAnsi="Arial" w:cs="Arial"/>
          <w:sz w:val="20"/>
          <w:szCs w:val="20"/>
          <w:lang w:eastAsia="fr-FR"/>
        </w:rPr>
      </w:pPr>
      <w:r>
        <w:rPr>
          <w:rFonts w:ascii="Arial" w:hAnsi="Arial" w:cs="Arial"/>
          <w:sz w:val="20"/>
          <w:szCs w:val="20"/>
          <w:lang w:eastAsia="fr-FR"/>
        </w:rPr>
        <w:t>Obésité protectrice en première intention</w:t>
      </w:r>
    </w:p>
    <w:p w14:paraId="6F18B95E" w14:textId="77777777" w:rsidR="00ED4694" w:rsidRPr="00B15634" w:rsidRDefault="00ED4694" w:rsidP="00ED4694">
      <w:pPr>
        <w:pStyle w:val="Sansinterligne"/>
        <w:numPr>
          <w:ilvl w:val="0"/>
          <w:numId w:val="140"/>
        </w:numPr>
        <w:rPr>
          <w:rFonts w:ascii="Arial" w:hAnsi="Arial" w:cs="Arial"/>
          <w:sz w:val="20"/>
          <w:szCs w:val="20"/>
          <w:lang w:eastAsia="fr-FR"/>
        </w:rPr>
      </w:pPr>
      <w:r>
        <w:rPr>
          <w:rFonts w:ascii="Arial" w:hAnsi="Arial" w:cs="Arial"/>
          <w:sz w:val="20"/>
          <w:szCs w:val="20"/>
          <w:lang w:eastAsia="fr-FR"/>
        </w:rPr>
        <w:t>Mais, ce n’est qu’un état transitoire</w:t>
      </w:r>
    </w:p>
    <w:p w14:paraId="228C4EBA" w14:textId="77777777" w:rsidR="00ED4694" w:rsidRDefault="00ED4694" w:rsidP="00ED4694">
      <w:pPr>
        <w:pStyle w:val="Sansinterligne"/>
        <w:jc w:val="both"/>
        <w:rPr>
          <w:rFonts w:ascii="Arial" w:hAnsi="Arial" w:cs="Arial"/>
          <w:color w:val="000000" w:themeColor="text1"/>
          <w:sz w:val="20"/>
          <w:szCs w:val="20"/>
          <w:lang w:eastAsia="fr-FR"/>
        </w:rPr>
      </w:pPr>
    </w:p>
    <w:p w14:paraId="7BB4E78B" w14:textId="77777777" w:rsidR="00ED4694" w:rsidRDefault="00ED4694" w:rsidP="00ED4694">
      <w:pPr>
        <w:pStyle w:val="Sansinterligne"/>
        <w:jc w:val="both"/>
        <w:rPr>
          <w:rFonts w:ascii="Arial" w:hAnsi="Arial" w:cs="Arial"/>
          <w:color w:val="000000" w:themeColor="text1"/>
          <w:sz w:val="20"/>
          <w:szCs w:val="20"/>
          <w:lang w:eastAsia="fr-FR"/>
        </w:rPr>
      </w:pPr>
    </w:p>
    <w:p w14:paraId="6623C59E" w14:textId="77777777" w:rsidR="00ED4694" w:rsidRDefault="00ED4694" w:rsidP="00ED4694">
      <w:pPr>
        <w:pStyle w:val="Sansinterligne"/>
        <w:jc w:val="both"/>
        <w:rPr>
          <w:rFonts w:ascii="Arial" w:hAnsi="Arial" w:cs="Arial"/>
          <w:color w:val="000000" w:themeColor="text1"/>
          <w:sz w:val="20"/>
          <w:szCs w:val="20"/>
          <w:lang w:eastAsia="fr-FR"/>
        </w:rPr>
      </w:pPr>
    </w:p>
    <w:p w14:paraId="05611DA3" w14:textId="77777777" w:rsidR="00ED4694" w:rsidRDefault="00ED4694" w:rsidP="00ED4694">
      <w:pPr>
        <w:pStyle w:val="Sansinterligne"/>
        <w:jc w:val="both"/>
        <w:rPr>
          <w:rFonts w:ascii="Arial" w:hAnsi="Arial" w:cs="Arial"/>
          <w:color w:val="000000" w:themeColor="text1"/>
          <w:sz w:val="20"/>
          <w:szCs w:val="20"/>
          <w:lang w:eastAsia="fr-FR"/>
        </w:rPr>
      </w:pPr>
    </w:p>
    <w:p w14:paraId="79BAA484" w14:textId="77777777" w:rsidR="00ED4694" w:rsidRDefault="00ED4694" w:rsidP="00ED4694">
      <w:pPr>
        <w:pStyle w:val="Sansinterligne"/>
        <w:jc w:val="both"/>
        <w:rPr>
          <w:rFonts w:ascii="Arial" w:hAnsi="Arial" w:cs="Arial"/>
          <w:color w:val="000000" w:themeColor="text1"/>
          <w:sz w:val="20"/>
          <w:szCs w:val="20"/>
          <w:lang w:eastAsia="fr-FR"/>
        </w:rPr>
      </w:pPr>
    </w:p>
    <w:p w14:paraId="084665E6" w14:textId="77777777" w:rsidR="00ED4694" w:rsidRDefault="00ED4694" w:rsidP="00ED4694">
      <w:pPr>
        <w:pStyle w:val="Sansinterligne"/>
        <w:jc w:val="both"/>
        <w:rPr>
          <w:rFonts w:ascii="Arial" w:hAnsi="Arial" w:cs="Arial"/>
          <w:color w:val="000000" w:themeColor="text1"/>
          <w:sz w:val="20"/>
          <w:szCs w:val="20"/>
          <w:lang w:eastAsia="fr-FR"/>
        </w:rPr>
      </w:pPr>
    </w:p>
    <w:p w14:paraId="0FBFEB78" w14:textId="77777777" w:rsidR="00ED4694" w:rsidRDefault="00ED4694" w:rsidP="00ED4694">
      <w:pPr>
        <w:pStyle w:val="Sansinterligne"/>
        <w:jc w:val="both"/>
        <w:rPr>
          <w:rFonts w:ascii="Arial" w:hAnsi="Arial" w:cs="Arial"/>
          <w:color w:val="000000" w:themeColor="text1"/>
          <w:sz w:val="20"/>
          <w:szCs w:val="20"/>
          <w:lang w:eastAsia="fr-FR"/>
        </w:rPr>
      </w:pPr>
    </w:p>
    <w:p w14:paraId="50B915F0" w14:textId="77777777" w:rsidR="00ED4694" w:rsidRDefault="00ED4694" w:rsidP="00ED4694">
      <w:pPr>
        <w:pStyle w:val="Sansinterligne"/>
        <w:jc w:val="both"/>
        <w:rPr>
          <w:rFonts w:ascii="Arial" w:hAnsi="Arial" w:cs="Arial"/>
          <w:color w:val="000000" w:themeColor="text1"/>
          <w:sz w:val="20"/>
          <w:szCs w:val="20"/>
          <w:lang w:eastAsia="fr-FR"/>
        </w:rPr>
      </w:pPr>
    </w:p>
    <w:p w14:paraId="678B6CA1" w14:textId="77777777" w:rsidR="00ED4694" w:rsidRDefault="00ED4694" w:rsidP="00ED4694">
      <w:pPr>
        <w:pStyle w:val="Sansinterligne"/>
        <w:jc w:val="both"/>
        <w:rPr>
          <w:rFonts w:ascii="Arial" w:hAnsi="Arial" w:cs="Arial"/>
          <w:color w:val="000000" w:themeColor="text1"/>
          <w:sz w:val="20"/>
          <w:szCs w:val="20"/>
          <w:lang w:eastAsia="fr-FR"/>
        </w:rPr>
      </w:pPr>
    </w:p>
    <w:p w14:paraId="6AD35186" w14:textId="77777777" w:rsidR="00ED4694" w:rsidRDefault="00ED4694" w:rsidP="00ED4694">
      <w:pPr>
        <w:pStyle w:val="Sansinterligne"/>
        <w:jc w:val="both"/>
        <w:rPr>
          <w:rFonts w:ascii="Arial" w:hAnsi="Arial" w:cs="Arial"/>
          <w:color w:val="000000" w:themeColor="text1"/>
          <w:sz w:val="20"/>
          <w:szCs w:val="20"/>
          <w:lang w:eastAsia="fr-FR"/>
        </w:rPr>
      </w:pPr>
    </w:p>
    <w:p w14:paraId="47EB773E" w14:textId="77777777" w:rsidR="00ED4694" w:rsidRDefault="00ED4694" w:rsidP="00ED4694">
      <w:pPr>
        <w:pStyle w:val="Sansinterligne"/>
        <w:jc w:val="both"/>
        <w:rPr>
          <w:rFonts w:ascii="Arial" w:hAnsi="Arial" w:cs="Arial"/>
          <w:color w:val="000000" w:themeColor="text1"/>
          <w:sz w:val="20"/>
          <w:szCs w:val="20"/>
          <w:lang w:eastAsia="fr-FR"/>
        </w:rPr>
      </w:pPr>
    </w:p>
    <w:p w14:paraId="2F4A5F37" w14:textId="77777777" w:rsidR="00ED4694" w:rsidRDefault="00ED4694" w:rsidP="00ED4694">
      <w:pPr>
        <w:pStyle w:val="Sansinterligne"/>
        <w:jc w:val="both"/>
        <w:rPr>
          <w:rFonts w:ascii="Arial" w:hAnsi="Arial" w:cs="Arial"/>
          <w:color w:val="000000" w:themeColor="text1"/>
          <w:sz w:val="20"/>
          <w:szCs w:val="20"/>
          <w:lang w:eastAsia="fr-FR"/>
        </w:rPr>
      </w:pPr>
    </w:p>
    <w:p w14:paraId="533384B7" w14:textId="77777777" w:rsidR="00ED4694" w:rsidRDefault="00ED4694" w:rsidP="00ED4694">
      <w:pPr>
        <w:pStyle w:val="Sansinterligne"/>
        <w:jc w:val="both"/>
        <w:rPr>
          <w:rFonts w:ascii="Arial" w:hAnsi="Arial" w:cs="Arial"/>
          <w:color w:val="000000" w:themeColor="text1"/>
          <w:sz w:val="20"/>
          <w:szCs w:val="20"/>
          <w:lang w:eastAsia="fr-FR"/>
        </w:rPr>
      </w:pPr>
    </w:p>
    <w:p w14:paraId="7A77421C" w14:textId="77777777" w:rsidR="00ED4694" w:rsidRDefault="00ED4694" w:rsidP="00ED4694">
      <w:pPr>
        <w:pStyle w:val="Sansinterligne"/>
        <w:jc w:val="both"/>
        <w:rPr>
          <w:rFonts w:ascii="Arial" w:hAnsi="Arial" w:cs="Arial"/>
          <w:color w:val="000000" w:themeColor="text1"/>
          <w:sz w:val="20"/>
          <w:szCs w:val="20"/>
          <w:lang w:eastAsia="fr-FR"/>
        </w:rPr>
      </w:pPr>
    </w:p>
    <w:p w14:paraId="4C302003" w14:textId="77777777" w:rsidR="00ED4694" w:rsidRDefault="00ED4694" w:rsidP="00ED4694">
      <w:pPr>
        <w:pStyle w:val="Sansinterligne"/>
        <w:jc w:val="both"/>
        <w:rPr>
          <w:rFonts w:ascii="Arial" w:hAnsi="Arial" w:cs="Arial"/>
          <w:color w:val="000000" w:themeColor="text1"/>
          <w:sz w:val="20"/>
          <w:szCs w:val="20"/>
          <w:lang w:eastAsia="fr-FR"/>
        </w:rPr>
      </w:pPr>
    </w:p>
    <w:p w14:paraId="6D48E608" w14:textId="77777777" w:rsidR="00ED4694" w:rsidRDefault="00ED4694" w:rsidP="00ED4694">
      <w:pPr>
        <w:pStyle w:val="Sansinterligne"/>
        <w:jc w:val="both"/>
        <w:rPr>
          <w:rFonts w:ascii="Arial" w:hAnsi="Arial" w:cs="Arial"/>
          <w:color w:val="000000" w:themeColor="text1"/>
          <w:sz w:val="20"/>
          <w:szCs w:val="20"/>
          <w:lang w:eastAsia="fr-FR"/>
        </w:rPr>
      </w:pPr>
    </w:p>
    <w:p w14:paraId="20ADC408" w14:textId="77777777" w:rsidR="00ED4694" w:rsidRDefault="00ED4694" w:rsidP="00ED4694">
      <w:pPr>
        <w:pStyle w:val="Sansinterligne"/>
        <w:jc w:val="both"/>
        <w:rPr>
          <w:rFonts w:ascii="Arial" w:hAnsi="Arial" w:cs="Arial"/>
          <w:color w:val="000000" w:themeColor="text1"/>
          <w:sz w:val="20"/>
          <w:szCs w:val="20"/>
          <w:lang w:eastAsia="fr-FR"/>
        </w:rPr>
      </w:pPr>
    </w:p>
    <w:p w14:paraId="45463BF3" w14:textId="77777777" w:rsidR="00ED4694" w:rsidRDefault="00ED4694" w:rsidP="00ED4694">
      <w:pPr>
        <w:pStyle w:val="Sansinterligne"/>
        <w:jc w:val="both"/>
        <w:rPr>
          <w:rFonts w:ascii="Arial" w:hAnsi="Arial" w:cs="Arial"/>
          <w:color w:val="000000" w:themeColor="text1"/>
          <w:sz w:val="20"/>
          <w:szCs w:val="20"/>
          <w:lang w:eastAsia="fr-FR"/>
        </w:rPr>
      </w:pPr>
    </w:p>
    <w:p w14:paraId="3276B956" w14:textId="77777777" w:rsidR="00ED4694" w:rsidRDefault="00ED4694" w:rsidP="00ED4694">
      <w:pPr>
        <w:pStyle w:val="Sansinterligne"/>
        <w:jc w:val="both"/>
        <w:rPr>
          <w:rFonts w:ascii="Arial" w:hAnsi="Arial" w:cs="Arial"/>
          <w:color w:val="000000" w:themeColor="text1"/>
          <w:sz w:val="20"/>
          <w:szCs w:val="20"/>
          <w:lang w:eastAsia="fr-FR"/>
        </w:rPr>
      </w:pPr>
    </w:p>
    <w:p w14:paraId="0FB0ECD7" w14:textId="77777777" w:rsidR="00ED4694" w:rsidRDefault="00ED4694" w:rsidP="00ED4694">
      <w:pPr>
        <w:pStyle w:val="Sansinterligne"/>
        <w:jc w:val="both"/>
        <w:rPr>
          <w:rFonts w:ascii="Arial" w:hAnsi="Arial" w:cs="Arial"/>
          <w:color w:val="000000" w:themeColor="text1"/>
          <w:sz w:val="20"/>
          <w:szCs w:val="20"/>
          <w:lang w:eastAsia="fr-FR"/>
        </w:rPr>
      </w:pPr>
    </w:p>
    <w:p w14:paraId="117AAA5B" w14:textId="77777777" w:rsidR="00ED4694" w:rsidRDefault="00ED4694" w:rsidP="00ED4694">
      <w:pPr>
        <w:pStyle w:val="Sansinterligne"/>
        <w:jc w:val="both"/>
        <w:rPr>
          <w:rFonts w:ascii="Arial" w:hAnsi="Arial" w:cs="Arial"/>
          <w:color w:val="000000" w:themeColor="text1"/>
          <w:sz w:val="20"/>
          <w:szCs w:val="20"/>
          <w:lang w:eastAsia="fr-FR"/>
        </w:rPr>
      </w:pPr>
    </w:p>
    <w:p w14:paraId="29E62C04" w14:textId="77777777" w:rsidR="00ED4694" w:rsidRDefault="00ED4694" w:rsidP="00ED4694">
      <w:pPr>
        <w:pStyle w:val="Sansinterligne"/>
        <w:jc w:val="both"/>
        <w:rPr>
          <w:rFonts w:ascii="Arial" w:hAnsi="Arial" w:cs="Arial"/>
          <w:color w:val="000000" w:themeColor="text1"/>
          <w:sz w:val="20"/>
          <w:szCs w:val="20"/>
          <w:lang w:eastAsia="fr-FR"/>
        </w:rPr>
      </w:pPr>
    </w:p>
    <w:p w14:paraId="7E336FD0" w14:textId="77777777" w:rsidR="00ED4694" w:rsidRDefault="00ED4694" w:rsidP="00ED4694">
      <w:pPr>
        <w:pStyle w:val="Sansinterligne"/>
        <w:jc w:val="both"/>
        <w:rPr>
          <w:rFonts w:ascii="Arial" w:hAnsi="Arial" w:cs="Arial"/>
          <w:color w:val="000000" w:themeColor="text1"/>
          <w:sz w:val="20"/>
          <w:szCs w:val="20"/>
          <w:lang w:eastAsia="fr-FR"/>
        </w:rPr>
      </w:pPr>
    </w:p>
    <w:p w14:paraId="16558104" w14:textId="77777777" w:rsidR="00ED4694" w:rsidRDefault="00ED4694" w:rsidP="00ED4694">
      <w:pPr>
        <w:pStyle w:val="Sansinterligne"/>
        <w:jc w:val="both"/>
        <w:rPr>
          <w:rFonts w:ascii="Arial" w:hAnsi="Arial" w:cs="Arial"/>
          <w:color w:val="000000" w:themeColor="text1"/>
          <w:sz w:val="20"/>
          <w:szCs w:val="20"/>
          <w:lang w:eastAsia="fr-FR"/>
        </w:rPr>
      </w:pPr>
    </w:p>
    <w:p w14:paraId="69433311" w14:textId="77777777" w:rsidR="00ED4694" w:rsidRDefault="00ED4694" w:rsidP="00ED4694">
      <w:pPr>
        <w:pStyle w:val="Sansinterligne"/>
        <w:jc w:val="both"/>
        <w:rPr>
          <w:rFonts w:ascii="Arial" w:hAnsi="Arial" w:cs="Arial"/>
          <w:color w:val="000000" w:themeColor="text1"/>
          <w:sz w:val="20"/>
          <w:szCs w:val="20"/>
          <w:lang w:eastAsia="fr-FR"/>
        </w:rPr>
      </w:pPr>
    </w:p>
    <w:p w14:paraId="520B115B" w14:textId="77777777" w:rsidR="00ED4694" w:rsidRDefault="00ED4694" w:rsidP="00ED4694">
      <w:pPr>
        <w:pStyle w:val="Sansinterligne"/>
        <w:jc w:val="both"/>
        <w:rPr>
          <w:rFonts w:ascii="Arial" w:hAnsi="Arial" w:cs="Arial"/>
          <w:color w:val="000000" w:themeColor="text1"/>
          <w:sz w:val="20"/>
          <w:szCs w:val="20"/>
          <w:lang w:eastAsia="fr-FR"/>
        </w:rPr>
      </w:pPr>
    </w:p>
    <w:p w14:paraId="0DA5A568" w14:textId="77777777" w:rsidR="00ED4694" w:rsidRDefault="00ED4694" w:rsidP="00ED4694">
      <w:pPr>
        <w:pStyle w:val="Sansinterligne"/>
        <w:jc w:val="both"/>
        <w:rPr>
          <w:rFonts w:ascii="Arial" w:hAnsi="Arial" w:cs="Arial"/>
          <w:color w:val="000000" w:themeColor="text1"/>
          <w:sz w:val="20"/>
          <w:szCs w:val="20"/>
          <w:lang w:eastAsia="fr-FR"/>
        </w:rPr>
      </w:pPr>
    </w:p>
    <w:p w14:paraId="26C735FD" w14:textId="77777777" w:rsidR="00ED4694" w:rsidRDefault="00ED4694" w:rsidP="00ED4694">
      <w:pPr>
        <w:pStyle w:val="Sansinterligne"/>
        <w:jc w:val="both"/>
        <w:rPr>
          <w:rFonts w:ascii="Arial" w:hAnsi="Arial" w:cs="Arial"/>
          <w:color w:val="000000" w:themeColor="text1"/>
          <w:sz w:val="20"/>
          <w:szCs w:val="20"/>
          <w:lang w:eastAsia="fr-FR"/>
        </w:rPr>
      </w:pPr>
    </w:p>
    <w:p w14:paraId="436EEF05" w14:textId="77777777" w:rsidR="00ED4694" w:rsidRPr="00CF684E" w:rsidRDefault="00ED4694" w:rsidP="00ED4694">
      <w:pPr>
        <w:pStyle w:val="Sansinterligne"/>
        <w:jc w:val="both"/>
        <w:rPr>
          <w:rFonts w:ascii="Arial" w:eastAsiaTheme="minorEastAsia" w:hAnsi="Arial" w:cs="Arial"/>
          <w:b/>
          <w:bCs/>
          <w:color w:val="000000" w:themeColor="text1"/>
          <w:sz w:val="18"/>
          <w:szCs w:val="18"/>
          <w:u w:val="single"/>
          <w:lang w:eastAsia="fr-FR"/>
        </w:rPr>
      </w:pPr>
      <w:r w:rsidRPr="00CF684E">
        <w:rPr>
          <w:rFonts w:ascii="Arial" w:hAnsi="Arial" w:cs="Arial"/>
          <w:b/>
          <w:bCs/>
          <w:color w:val="000000" w:themeColor="text1"/>
          <w:sz w:val="18"/>
          <w:szCs w:val="18"/>
          <w:highlight w:val="yellow"/>
          <w:u w:val="single"/>
          <w:lang w:eastAsia="fr-FR"/>
        </w:rPr>
        <w:lastRenderedPageBreak/>
        <w:t>CM12</w:t>
      </w:r>
      <w:r w:rsidRPr="00CF684E">
        <w:rPr>
          <w:rFonts w:ascii="Arial" w:hAnsi="Arial" w:cs="Arial"/>
          <w:b/>
          <w:bCs/>
          <w:color w:val="000000" w:themeColor="text1"/>
          <w:sz w:val="18"/>
          <w:szCs w:val="18"/>
          <w:u w:val="single"/>
          <w:lang w:eastAsia="fr-FR"/>
        </w:rPr>
        <w:t xml:space="preserve"> – Les ilots de Langerhans : Nombreuses et mystérieuses communications entre les cellules </w:t>
      </w:r>
      <m:oMath>
        <m:r>
          <m:rPr>
            <m:sty m:val="bi"/>
          </m:rPr>
          <w:rPr>
            <w:rFonts w:ascii="Cambria Math" w:hAnsi="Cambria Math" w:cs="Arial"/>
            <w:color w:val="000000" w:themeColor="text1"/>
            <w:sz w:val="18"/>
            <w:szCs w:val="18"/>
            <w:u w:val="single"/>
            <w:lang w:eastAsia="fr-FR"/>
          </w:rPr>
          <m:t>α, β, δ</m:t>
        </m:r>
      </m:oMath>
      <w:r w:rsidRPr="00CF684E">
        <w:rPr>
          <w:rFonts w:ascii="Arial" w:eastAsiaTheme="minorEastAsia" w:hAnsi="Arial" w:cs="Arial"/>
          <w:b/>
          <w:bCs/>
          <w:color w:val="000000" w:themeColor="text1"/>
          <w:sz w:val="18"/>
          <w:szCs w:val="18"/>
          <w:u w:val="single"/>
          <w:lang w:eastAsia="fr-FR"/>
        </w:rPr>
        <w:t xml:space="preserve"> et PP : </w:t>
      </w:r>
    </w:p>
    <w:p w14:paraId="11D470EE" w14:textId="77777777" w:rsidR="00ED4694" w:rsidRPr="00CF684E" w:rsidRDefault="00ED4694" w:rsidP="00ED4694">
      <w:pPr>
        <w:pStyle w:val="Sansinterligne"/>
        <w:jc w:val="both"/>
        <w:rPr>
          <w:rFonts w:ascii="Arial" w:eastAsiaTheme="minorEastAsia" w:hAnsi="Arial" w:cs="Arial"/>
          <w:b/>
          <w:bCs/>
          <w:color w:val="000000" w:themeColor="text1"/>
          <w:sz w:val="18"/>
          <w:szCs w:val="18"/>
          <w:u w:val="single"/>
          <w:lang w:eastAsia="fr-FR"/>
        </w:rPr>
      </w:pPr>
    </w:p>
    <w:p w14:paraId="1DFD1355" w14:textId="77777777" w:rsidR="00ED4694" w:rsidRPr="00CF684E" w:rsidRDefault="00ED4694" w:rsidP="00ED4694">
      <w:pPr>
        <w:pStyle w:val="Sansinterligne"/>
        <w:jc w:val="both"/>
        <w:rPr>
          <w:rFonts w:ascii="Arial" w:hAnsi="Arial" w:cs="Arial"/>
          <w:color w:val="000000" w:themeColor="text1"/>
          <w:sz w:val="18"/>
          <w:szCs w:val="18"/>
          <w:lang w:eastAsia="fr-FR"/>
        </w:rPr>
      </w:pPr>
      <w:r w:rsidRPr="00CF684E">
        <w:rPr>
          <w:rFonts w:ascii="Arial" w:hAnsi="Arial" w:cs="Arial"/>
          <w:color w:val="000000" w:themeColor="text1"/>
          <w:sz w:val="18"/>
          <w:szCs w:val="18"/>
          <w:lang w:eastAsia="fr-FR"/>
        </w:rPr>
        <w:t xml:space="preserve">Le pancréas est une glande plurilobée. Ces lobes contiennent les ilots de Langerhans et des acini (qui libèrent du sucre </w:t>
      </w:r>
      <w:r w:rsidRPr="005D0883">
        <w:rPr>
          <w:rFonts w:ascii="Arial" w:hAnsi="Arial" w:cs="Arial"/>
          <w:color w:val="000000" w:themeColor="text1"/>
          <w:sz w:val="16"/>
          <w:szCs w:val="16"/>
          <w:lang w:eastAsia="fr-FR"/>
        </w:rPr>
        <w:t>pancréatique</w:t>
      </w:r>
      <w:r w:rsidRPr="00CF684E">
        <w:rPr>
          <w:rFonts w:ascii="Arial" w:hAnsi="Arial" w:cs="Arial"/>
          <w:color w:val="000000" w:themeColor="text1"/>
          <w:sz w:val="18"/>
          <w:szCs w:val="18"/>
          <w:lang w:eastAsia="fr-FR"/>
        </w:rPr>
        <w:t xml:space="preserve">). </w:t>
      </w:r>
    </w:p>
    <w:p w14:paraId="10DB788D"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hAnsi="Arial" w:cs="Arial"/>
          <w:b/>
          <w:bCs/>
          <w:color w:val="000000" w:themeColor="text1"/>
          <w:sz w:val="18"/>
          <w:szCs w:val="18"/>
          <w:lang w:eastAsia="fr-FR"/>
        </w:rPr>
        <w:t>L’ilot de</w:t>
      </w:r>
      <w:r w:rsidRPr="00CF684E">
        <w:rPr>
          <w:rFonts w:ascii="Arial" w:hAnsi="Arial" w:cs="Arial"/>
          <w:color w:val="000000" w:themeColor="text1"/>
          <w:sz w:val="18"/>
          <w:szCs w:val="18"/>
          <w:lang w:eastAsia="fr-FR"/>
        </w:rPr>
        <w:t xml:space="preserve"> </w:t>
      </w:r>
      <w:r w:rsidRPr="00CF684E">
        <w:rPr>
          <w:rFonts w:ascii="Arial" w:hAnsi="Arial" w:cs="Arial"/>
          <w:b/>
          <w:bCs/>
          <w:color w:val="000000" w:themeColor="text1"/>
          <w:sz w:val="18"/>
          <w:szCs w:val="18"/>
          <w:lang w:eastAsia="fr-FR"/>
        </w:rPr>
        <w:t>Langerhans</w:t>
      </w:r>
      <w:r w:rsidRPr="00CF684E">
        <w:rPr>
          <w:rFonts w:ascii="Arial" w:hAnsi="Arial" w:cs="Arial"/>
          <w:color w:val="000000" w:themeColor="text1"/>
          <w:sz w:val="18"/>
          <w:szCs w:val="18"/>
          <w:lang w:eastAsia="fr-FR"/>
        </w:rPr>
        <w:t xml:space="preserve"> est un micro-organe, dont le diamètre varie entre 20 et 200 microns. Il contient de 1000 à 10000 cellules et qui joue un rôle dans l’homéostasie du glucose avec la sécrétion </w:t>
      </w:r>
      <w:r w:rsidRPr="00F57766">
        <w:rPr>
          <w:rFonts w:ascii="Arial" w:hAnsi="Arial" w:cs="Arial"/>
          <w:b/>
          <w:bCs/>
          <w:color w:val="000000" w:themeColor="text1"/>
          <w:sz w:val="18"/>
          <w:szCs w:val="18"/>
          <w:u w:val="single"/>
          <w:lang w:eastAsia="fr-FR"/>
        </w:rPr>
        <w:t>d’insuline</w:t>
      </w:r>
      <w:r w:rsidRPr="00CF684E">
        <w:rPr>
          <w:rFonts w:ascii="Arial" w:hAnsi="Arial" w:cs="Arial"/>
          <w:color w:val="000000" w:themeColor="text1"/>
          <w:sz w:val="18"/>
          <w:szCs w:val="18"/>
          <w:u w:val="single"/>
          <w:lang w:eastAsia="fr-FR"/>
        </w:rPr>
        <w:t xml:space="preserve"> par les cellules </w:t>
      </w:r>
      <m:oMath>
        <m:r>
          <w:rPr>
            <w:rFonts w:ascii="Cambria Math" w:hAnsi="Cambria Math" w:cs="Arial"/>
            <w:color w:val="000000" w:themeColor="text1"/>
            <w:sz w:val="18"/>
            <w:szCs w:val="18"/>
            <w:u w:val="single"/>
            <w:lang w:eastAsia="fr-FR"/>
          </w:rPr>
          <m:t>β</m:t>
        </m:r>
      </m:oMath>
      <w:r w:rsidRPr="00CF684E">
        <w:rPr>
          <w:rFonts w:ascii="Arial" w:eastAsiaTheme="minorEastAsia" w:hAnsi="Arial" w:cs="Arial"/>
          <w:color w:val="000000" w:themeColor="text1"/>
          <w:sz w:val="18"/>
          <w:szCs w:val="18"/>
          <w:lang w:eastAsia="fr-FR"/>
        </w:rPr>
        <w:t xml:space="preserve">, du </w:t>
      </w:r>
      <w:r w:rsidRPr="00175335">
        <w:rPr>
          <w:rFonts w:ascii="Arial" w:eastAsiaTheme="minorEastAsia" w:hAnsi="Arial" w:cs="Arial"/>
          <w:b/>
          <w:bCs/>
          <w:color w:val="000000" w:themeColor="text1"/>
          <w:sz w:val="18"/>
          <w:szCs w:val="18"/>
          <w:lang w:eastAsia="fr-FR"/>
        </w:rPr>
        <w:t>g</w:t>
      </w:r>
      <w:r w:rsidRPr="00175335">
        <w:rPr>
          <w:rFonts w:ascii="Arial" w:eastAsiaTheme="minorEastAsia" w:hAnsi="Arial" w:cs="Arial"/>
          <w:b/>
          <w:bCs/>
          <w:color w:val="000000" w:themeColor="text1"/>
          <w:sz w:val="18"/>
          <w:szCs w:val="18"/>
          <w:u w:val="single"/>
          <w:lang w:eastAsia="fr-FR"/>
        </w:rPr>
        <w:t>lucagon</w:t>
      </w:r>
      <w:r w:rsidRPr="00CF684E">
        <w:rPr>
          <w:rFonts w:ascii="Arial" w:eastAsiaTheme="minorEastAsia" w:hAnsi="Arial" w:cs="Arial"/>
          <w:color w:val="000000" w:themeColor="text1"/>
          <w:sz w:val="18"/>
          <w:szCs w:val="18"/>
          <w:u w:val="single"/>
          <w:lang w:eastAsia="fr-FR"/>
        </w:rPr>
        <w:t xml:space="preserve"> par les C </w:t>
      </w:r>
      <m:oMath>
        <m:r>
          <w:rPr>
            <w:rFonts w:ascii="Cambria Math" w:hAnsi="Cambria Math" w:cs="Arial"/>
            <w:color w:val="000000" w:themeColor="text1"/>
            <w:sz w:val="18"/>
            <w:szCs w:val="18"/>
            <w:u w:val="single"/>
            <w:lang w:eastAsia="fr-FR"/>
          </w:rPr>
          <m:t>α</m:t>
        </m:r>
      </m:oMath>
      <w:r w:rsidRPr="00CF684E">
        <w:rPr>
          <w:rFonts w:ascii="Arial" w:eastAsiaTheme="minorEastAsia" w:hAnsi="Arial" w:cs="Arial"/>
          <w:color w:val="000000" w:themeColor="text1"/>
          <w:sz w:val="18"/>
          <w:szCs w:val="18"/>
          <w:lang w:eastAsia="fr-FR"/>
        </w:rPr>
        <w:t xml:space="preserve">, de la </w:t>
      </w:r>
      <w:r w:rsidRPr="00F57766">
        <w:rPr>
          <w:rFonts w:ascii="Arial" w:eastAsiaTheme="minorEastAsia" w:hAnsi="Arial" w:cs="Arial"/>
          <w:b/>
          <w:bCs/>
          <w:color w:val="000000" w:themeColor="text1"/>
          <w:sz w:val="18"/>
          <w:szCs w:val="18"/>
          <w:u w:val="single"/>
          <w:lang w:eastAsia="fr-FR"/>
        </w:rPr>
        <w:t>somatostatine</w:t>
      </w:r>
      <w:r w:rsidRPr="00CF684E">
        <w:rPr>
          <w:rFonts w:ascii="Arial" w:eastAsiaTheme="minorEastAsia" w:hAnsi="Arial" w:cs="Arial"/>
          <w:color w:val="000000" w:themeColor="text1"/>
          <w:sz w:val="18"/>
          <w:szCs w:val="18"/>
          <w:u w:val="single"/>
          <w:lang w:eastAsia="fr-FR"/>
        </w:rPr>
        <w:t xml:space="preserve"> par les C </w:t>
      </w:r>
      <m:oMath>
        <m:r>
          <w:rPr>
            <w:rFonts w:ascii="Cambria Math" w:hAnsi="Cambria Math" w:cs="Arial"/>
            <w:color w:val="000000" w:themeColor="text1"/>
            <w:sz w:val="18"/>
            <w:szCs w:val="18"/>
            <w:u w:val="single"/>
            <w:lang w:eastAsia="fr-FR"/>
          </w:rPr>
          <m:t>δ</m:t>
        </m:r>
      </m:oMath>
      <w:r w:rsidRPr="00CF684E">
        <w:rPr>
          <w:rFonts w:ascii="Arial" w:eastAsiaTheme="minorEastAsia" w:hAnsi="Arial" w:cs="Arial"/>
          <w:color w:val="000000" w:themeColor="text1"/>
          <w:sz w:val="18"/>
          <w:szCs w:val="18"/>
          <w:lang w:eastAsia="fr-FR"/>
        </w:rPr>
        <w:t xml:space="preserve">.  Les </w:t>
      </w:r>
      <w:r w:rsidRPr="00CF684E">
        <w:rPr>
          <w:rFonts w:ascii="Arial" w:eastAsiaTheme="minorEastAsia" w:hAnsi="Arial" w:cs="Arial"/>
          <w:color w:val="000000" w:themeColor="text1"/>
          <w:sz w:val="18"/>
          <w:szCs w:val="18"/>
          <w:u w:val="single"/>
          <w:lang w:eastAsia="fr-FR"/>
        </w:rPr>
        <w:t xml:space="preserve">C PP libèrent du </w:t>
      </w:r>
      <w:r w:rsidRPr="00F57766">
        <w:rPr>
          <w:rFonts w:ascii="Arial" w:eastAsiaTheme="minorEastAsia" w:hAnsi="Arial" w:cs="Arial"/>
          <w:b/>
          <w:bCs/>
          <w:color w:val="000000" w:themeColor="text1"/>
          <w:sz w:val="18"/>
          <w:szCs w:val="18"/>
          <w:u w:val="single"/>
          <w:lang w:eastAsia="fr-FR"/>
        </w:rPr>
        <w:t>peptide pancréatique</w:t>
      </w:r>
      <w:r w:rsidRPr="00CF684E">
        <w:rPr>
          <w:rFonts w:ascii="Arial" w:eastAsiaTheme="minorEastAsia" w:hAnsi="Arial" w:cs="Arial"/>
          <w:color w:val="000000" w:themeColor="text1"/>
          <w:sz w:val="18"/>
          <w:szCs w:val="18"/>
          <w:lang w:eastAsia="fr-FR"/>
        </w:rPr>
        <w:t>.</w:t>
      </w:r>
    </w:p>
    <w:p w14:paraId="4EAC7670"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eastAsiaTheme="minorEastAsia" w:hAnsi="Arial" w:cs="Arial"/>
          <w:color w:val="000000" w:themeColor="text1"/>
          <w:sz w:val="18"/>
          <w:szCs w:val="18"/>
          <w:lang w:eastAsia="fr-FR"/>
        </w:rPr>
        <w:t>La somatostatine en censée agir uniquement localement car sa durée d’action est très rapide (1 à 3 min).</w:t>
      </w:r>
    </w:p>
    <w:p w14:paraId="49488FE3" w14:textId="77777777" w:rsidR="00ED4694" w:rsidRPr="00CF684E" w:rsidRDefault="00ED4694" w:rsidP="00ED4694">
      <w:pPr>
        <w:pStyle w:val="Sansinterligne"/>
        <w:jc w:val="both"/>
        <w:rPr>
          <w:rFonts w:ascii="Arial" w:hAnsi="Arial" w:cs="Arial"/>
          <w:color w:val="000000" w:themeColor="text1"/>
          <w:sz w:val="18"/>
          <w:szCs w:val="18"/>
          <w:lang w:eastAsia="fr-FR"/>
        </w:rPr>
      </w:pPr>
      <w:r w:rsidRPr="00CF684E">
        <w:rPr>
          <w:rFonts w:ascii="Arial" w:eastAsiaTheme="minorEastAsia" w:hAnsi="Arial" w:cs="Arial"/>
          <w:color w:val="000000" w:themeColor="text1"/>
          <w:sz w:val="18"/>
          <w:szCs w:val="18"/>
          <w:lang w:eastAsia="fr-FR"/>
        </w:rPr>
        <w:t xml:space="preserve">La sécrétion de l’insuline et glucagon est inhibée par la </w:t>
      </w:r>
      <w:r w:rsidRPr="0013144B">
        <w:rPr>
          <w:rFonts w:ascii="Arial" w:eastAsiaTheme="minorEastAsia" w:hAnsi="Arial" w:cs="Arial"/>
          <w:b/>
          <w:bCs/>
          <w:color w:val="000000" w:themeColor="text1"/>
          <w:sz w:val="18"/>
          <w:szCs w:val="18"/>
          <w:lang w:eastAsia="fr-FR"/>
        </w:rPr>
        <w:t>somatostatine</w:t>
      </w:r>
      <w:r w:rsidRPr="00CF684E">
        <w:rPr>
          <w:rFonts w:ascii="Arial" w:eastAsiaTheme="minorEastAsia" w:hAnsi="Arial" w:cs="Arial"/>
          <w:color w:val="000000" w:themeColor="text1"/>
          <w:sz w:val="18"/>
          <w:szCs w:val="18"/>
          <w:lang w:eastAsia="fr-FR"/>
        </w:rPr>
        <w:t xml:space="preserve">. </w:t>
      </w:r>
    </w:p>
    <w:p w14:paraId="7FC4D233" w14:textId="77777777" w:rsidR="00ED4694" w:rsidRPr="00CF684E" w:rsidRDefault="00ED4694" w:rsidP="00ED4694">
      <w:pPr>
        <w:pStyle w:val="Sansinterligne"/>
        <w:jc w:val="both"/>
        <w:rPr>
          <w:rFonts w:ascii="Arial" w:hAnsi="Arial" w:cs="Arial"/>
          <w:color w:val="000000" w:themeColor="text1"/>
          <w:sz w:val="18"/>
          <w:szCs w:val="18"/>
          <w:lang w:eastAsia="fr-FR"/>
        </w:rPr>
      </w:pPr>
      <w:r w:rsidRPr="00CF684E">
        <w:rPr>
          <w:rFonts w:ascii="Arial" w:hAnsi="Arial" w:cs="Arial"/>
          <w:color w:val="000000" w:themeColor="text1"/>
          <w:sz w:val="18"/>
          <w:szCs w:val="18"/>
          <w:lang w:eastAsia="fr-FR"/>
        </w:rPr>
        <w:t xml:space="preserve">Pendant l’hypoglycémie, la sécrétion d’inuline s’arrête, mais les niveaux de glucagon sont à leur maximum. </w:t>
      </w:r>
      <w:r w:rsidRPr="00CF684E">
        <w:rPr>
          <w:rFonts w:ascii="Arial" w:hAnsi="Arial" w:cs="Arial"/>
          <w:color w:val="000000" w:themeColor="text1"/>
          <w:sz w:val="18"/>
          <w:szCs w:val="18"/>
          <w:lang w:eastAsia="fr-FR"/>
        </w:rPr>
        <w:br/>
        <w:t xml:space="preserve">Quand la glycémie augmente, la sécrétion de glucagon est largement supprimée avec l’insuline qui prend le relais. </w:t>
      </w:r>
      <w:r w:rsidRPr="00CF684E">
        <w:rPr>
          <w:rFonts w:ascii="Arial" w:hAnsi="Arial" w:cs="Arial"/>
          <w:color w:val="000000" w:themeColor="text1"/>
          <w:sz w:val="18"/>
          <w:szCs w:val="18"/>
          <w:lang w:eastAsia="fr-FR"/>
        </w:rPr>
        <w:br/>
        <w:t xml:space="preserve">La dynamique sécrétoire de ces 3 molécules (insuline, glucagon, somatostatine) est affectée dans les DT1 et DT2. </w:t>
      </w:r>
    </w:p>
    <w:p w14:paraId="3CC0ED75" w14:textId="77777777" w:rsidR="00ED4694" w:rsidRPr="00CF684E" w:rsidRDefault="00ED4694" w:rsidP="00ED4694">
      <w:pPr>
        <w:pStyle w:val="Sansinterligne"/>
        <w:jc w:val="both"/>
        <w:rPr>
          <w:rFonts w:ascii="Arial" w:hAnsi="Arial" w:cs="Arial"/>
          <w:color w:val="000000" w:themeColor="text1"/>
          <w:sz w:val="18"/>
          <w:szCs w:val="18"/>
          <w:lang w:eastAsia="fr-FR"/>
        </w:rPr>
      </w:pPr>
      <w:r w:rsidRPr="00CF684E">
        <w:rPr>
          <w:rFonts w:ascii="Arial" w:hAnsi="Arial" w:cs="Arial"/>
          <w:color w:val="000000" w:themeColor="text1"/>
          <w:sz w:val="18"/>
          <w:szCs w:val="18"/>
          <w:lang w:eastAsia="fr-FR"/>
        </w:rPr>
        <w:t>Une perfusion de somatostatine chez les patients atteints de diabète améliore le contrôle glycémique.</w:t>
      </w:r>
    </w:p>
    <w:p w14:paraId="50626FF4"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hAnsi="Arial" w:cs="Arial"/>
          <w:color w:val="000000" w:themeColor="text1"/>
          <w:sz w:val="18"/>
          <w:szCs w:val="18"/>
          <w:lang w:eastAsia="fr-FR"/>
        </w:rPr>
        <w:t xml:space="preserve">Chez l’homme : 60% de C </w:t>
      </w:r>
      <m:oMath>
        <m:r>
          <w:rPr>
            <w:rFonts w:ascii="Cambria Math" w:hAnsi="Cambria Math" w:cs="Arial"/>
            <w:color w:val="000000" w:themeColor="text1"/>
            <w:sz w:val="18"/>
            <w:szCs w:val="18"/>
            <w:lang w:eastAsia="fr-FR"/>
          </w:rPr>
          <m:t>β</m:t>
        </m:r>
      </m:oMath>
      <w:r w:rsidRPr="00CF684E">
        <w:rPr>
          <w:rFonts w:ascii="Arial" w:eastAsiaTheme="minorEastAsia" w:hAnsi="Arial" w:cs="Arial"/>
          <w:color w:val="000000" w:themeColor="text1"/>
          <w:sz w:val="18"/>
          <w:szCs w:val="18"/>
          <w:lang w:eastAsia="fr-FR"/>
        </w:rPr>
        <w:t xml:space="preserve"> pour 35% de C </w:t>
      </w:r>
      <m:oMath>
        <m:r>
          <w:rPr>
            <w:rFonts w:ascii="Cambria Math" w:hAnsi="Cambria Math" w:cs="Arial"/>
            <w:color w:val="000000" w:themeColor="text1"/>
            <w:sz w:val="18"/>
            <w:szCs w:val="18"/>
            <w:lang w:eastAsia="fr-FR"/>
          </w:rPr>
          <m:t>α.</m:t>
        </m:r>
      </m:oMath>
      <w:r w:rsidRPr="00CF684E">
        <w:rPr>
          <w:rFonts w:ascii="Arial" w:eastAsiaTheme="minorEastAsia" w:hAnsi="Arial" w:cs="Arial"/>
          <w:color w:val="000000" w:themeColor="text1"/>
          <w:sz w:val="18"/>
          <w:szCs w:val="18"/>
          <w:lang w:eastAsia="fr-FR"/>
        </w:rPr>
        <w:t xml:space="preserve"> (proportions différentes chez les autres espèces). </w:t>
      </w:r>
    </w:p>
    <w:p w14:paraId="6B6DC44C"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p>
    <w:p w14:paraId="6D107D96"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p>
    <w:p w14:paraId="2CAEC593" w14:textId="77777777" w:rsidR="00ED4694" w:rsidRPr="00CF684E" w:rsidRDefault="00ED4694" w:rsidP="00ED4694">
      <w:pPr>
        <w:pStyle w:val="Sansinterligne"/>
        <w:numPr>
          <w:ilvl w:val="0"/>
          <w:numId w:val="238"/>
        </w:numPr>
        <w:jc w:val="both"/>
        <w:rPr>
          <w:rFonts w:ascii="Arial" w:eastAsiaTheme="minorEastAsia" w:hAnsi="Arial" w:cs="Arial"/>
          <w:b/>
          <w:bCs/>
          <w:color w:val="00B0F0"/>
          <w:sz w:val="18"/>
          <w:szCs w:val="18"/>
          <w:u w:val="single"/>
          <w:lang w:eastAsia="fr-FR"/>
        </w:rPr>
      </w:pPr>
      <w:r w:rsidRPr="00CF684E">
        <w:rPr>
          <w:rFonts w:ascii="Arial" w:eastAsiaTheme="minorEastAsia" w:hAnsi="Arial" w:cs="Arial"/>
          <w:b/>
          <w:bCs/>
          <w:color w:val="00B0F0"/>
          <w:sz w:val="18"/>
          <w:szCs w:val="18"/>
          <w:u w:val="single"/>
          <w:lang w:eastAsia="fr-FR"/>
        </w:rPr>
        <w:t xml:space="preserve">La communication </w:t>
      </w:r>
    </w:p>
    <w:p w14:paraId="47DE6966" w14:textId="77777777" w:rsidR="00ED4694" w:rsidRPr="00CF684E" w:rsidRDefault="00ED4694" w:rsidP="00ED4694">
      <w:pPr>
        <w:pStyle w:val="Sansinterligne"/>
        <w:numPr>
          <w:ilvl w:val="0"/>
          <w:numId w:val="237"/>
        </w:numPr>
        <w:jc w:val="both"/>
        <w:rPr>
          <w:rFonts w:ascii="Arial" w:hAnsi="Arial" w:cs="Arial"/>
          <w:color w:val="ED7D31" w:themeColor="accent2"/>
          <w:sz w:val="18"/>
          <w:szCs w:val="18"/>
          <w:u w:val="single"/>
          <w:lang w:eastAsia="fr-FR"/>
        </w:rPr>
      </w:pPr>
      <w:r w:rsidRPr="00CF684E">
        <w:rPr>
          <w:rFonts w:ascii="Arial" w:eastAsiaTheme="minorEastAsia" w:hAnsi="Arial" w:cs="Arial"/>
          <w:color w:val="ED7D31" w:themeColor="accent2"/>
          <w:sz w:val="18"/>
          <w:szCs w:val="18"/>
          <w:u w:val="single"/>
          <w:lang w:eastAsia="fr-FR"/>
        </w:rPr>
        <w:t xml:space="preserve">Communication entre les cellules par les </w:t>
      </w:r>
      <w:r w:rsidRPr="004668DB">
        <w:rPr>
          <w:rFonts w:ascii="Arial" w:eastAsiaTheme="minorEastAsia" w:hAnsi="Arial" w:cs="Arial"/>
          <w:b/>
          <w:bCs/>
          <w:color w:val="ED7D31" w:themeColor="accent2"/>
          <w:sz w:val="18"/>
          <w:szCs w:val="18"/>
          <w:u w:val="single"/>
          <w:lang w:eastAsia="fr-FR"/>
        </w:rPr>
        <w:t>jonctions communicantes</w:t>
      </w:r>
    </w:p>
    <w:p w14:paraId="3A7E5575"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eastAsiaTheme="minorEastAsia" w:hAnsi="Arial" w:cs="Arial"/>
          <w:color w:val="000000" w:themeColor="text1"/>
          <w:sz w:val="18"/>
          <w:szCs w:val="18"/>
          <w:lang w:eastAsia="fr-FR"/>
        </w:rPr>
        <w:t>D’une grande importance, les jonctions communicantes sont nécessaires pour la synchronisation de la libération de l’insuline au niveau des ilots. Cette communication est très rapide (100 ms</w:t>
      </w:r>
      <w:r w:rsidRPr="00CF684E">
        <w:rPr>
          <w:rFonts w:ascii="Arial" w:eastAsiaTheme="minorEastAsia" w:hAnsi="Arial" w:cs="Arial"/>
          <w:i/>
          <w:iCs/>
          <w:color w:val="000000" w:themeColor="text1"/>
          <w:sz w:val="18"/>
          <w:szCs w:val="18"/>
          <w:lang w:eastAsia="fr-FR"/>
        </w:rPr>
        <w:t>)</w:t>
      </w:r>
      <w:r w:rsidRPr="00CF684E">
        <w:rPr>
          <w:rFonts w:ascii="Arial" w:eastAsiaTheme="minorEastAsia" w:hAnsi="Arial" w:cs="Arial"/>
          <w:color w:val="000000" w:themeColor="text1"/>
          <w:sz w:val="18"/>
          <w:szCs w:val="18"/>
          <w:lang w:eastAsia="fr-FR"/>
        </w:rPr>
        <w:t xml:space="preserve">. </w:t>
      </w:r>
    </w:p>
    <w:p w14:paraId="1BA13675"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eastAsiaTheme="minorEastAsia" w:hAnsi="Arial" w:cs="Arial"/>
          <w:color w:val="000000" w:themeColor="text1"/>
          <w:sz w:val="18"/>
          <w:szCs w:val="18"/>
          <w:lang w:eastAsia="fr-FR"/>
        </w:rPr>
        <w:t xml:space="preserve">La connexine-36 (exprimée sur C </w:t>
      </w:r>
      <m:oMath>
        <m:r>
          <w:rPr>
            <w:rFonts w:ascii="Cambria Math" w:hAnsi="Cambria Math" w:cs="Arial"/>
            <w:color w:val="000000" w:themeColor="text1"/>
            <w:sz w:val="18"/>
            <w:szCs w:val="18"/>
            <w:lang w:eastAsia="fr-FR"/>
          </w:rPr>
          <m:t>β</m:t>
        </m:r>
      </m:oMath>
      <w:r w:rsidRPr="00CF684E">
        <w:rPr>
          <w:rFonts w:ascii="Arial" w:eastAsiaTheme="minorEastAsia" w:hAnsi="Arial" w:cs="Arial"/>
          <w:color w:val="000000" w:themeColor="text1"/>
          <w:sz w:val="18"/>
          <w:szCs w:val="18"/>
          <w:lang w:eastAsia="fr-FR"/>
        </w:rPr>
        <w:t xml:space="preserve">) établit des jonctions </w:t>
      </w:r>
      <w:r w:rsidRPr="00CF684E">
        <w:rPr>
          <w:rFonts w:ascii="Arial" w:eastAsiaTheme="minorEastAsia" w:hAnsi="Arial" w:cs="Arial"/>
          <w:color w:val="000000" w:themeColor="text1"/>
          <w:sz w:val="18"/>
          <w:szCs w:val="18"/>
          <w:u w:val="single"/>
          <w:lang w:eastAsia="fr-FR"/>
        </w:rPr>
        <w:t>entre</w:t>
      </w:r>
      <w:r w:rsidRPr="00CF684E">
        <w:rPr>
          <w:rFonts w:ascii="Arial" w:eastAsiaTheme="minorEastAsia" w:hAnsi="Arial" w:cs="Arial"/>
          <w:color w:val="000000" w:themeColor="text1"/>
          <w:sz w:val="18"/>
          <w:szCs w:val="18"/>
          <w:lang w:eastAsia="fr-FR"/>
        </w:rPr>
        <w:t xml:space="preserve"> les C </w:t>
      </w:r>
      <m:oMath>
        <m:r>
          <w:rPr>
            <w:rFonts w:ascii="Cambria Math" w:hAnsi="Cambria Math" w:cs="Arial"/>
            <w:color w:val="000000" w:themeColor="text1"/>
            <w:sz w:val="18"/>
            <w:szCs w:val="18"/>
            <w:lang w:eastAsia="fr-FR"/>
          </w:rPr>
          <m:t>β</m:t>
        </m:r>
      </m:oMath>
      <w:r w:rsidRPr="00CF684E">
        <w:rPr>
          <w:rFonts w:ascii="Arial" w:eastAsiaTheme="minorEastAsia" w:hAnsi="Arial" w:cs="Arial"/>
          <w:color w:val="000000" w:themeColor="text1"/>
          <w:sz w:val="18"/>
          <w:szCs w:val="18"/>
          <w:lang w:eastAsia="fr-FR"/>
        </w:rPr>
        <w:t>.</w:t>
      </w:r>
    </w:p>
    <w:p w14:paraId="12B2EEE3"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eastAsiaTheme="minorEastAsia" w:hAnsi="Arial" w:cs="Arial"/>
          <w:color w:val="000000" w:themeColor="text1"/>
          <w:sz w:val="18"/>
          <w:szCs w:val="18"/>
          <w:lang w:eastAsia="fr-FR"/>
        </w:rPr>
        <w:t xml:space="preserve">Chez les C </w:t>
      </w:r>
      <m:oMath>
        <m:r>
          <w:rPr>
            <w:rFonts w:ascii="Cambria Math" w:hAnsi="Cambria Math" w:cs="Arial"/>
            <w:color w:val="000000" w:themeColor="text1"/>
            <w:sz w:val="18"/>
            <w:szCs w:val="18"/>
            <w:lang w:eastAsia="fr-FR"/>
          </w:rPr>
          <m:t>α</m:t>
        </m:r>
      </m:oMath>
      <w:r w:rsidRPr="00CF684E">
        <w:rPr>
          <w:rFonts w:ascii="Arial" w:eastAsiaTheme="minorEastAsia" w:hAnsi="Arial" w:cs="Arial"/>
          <w:color w:val="000000" w:themeColor="text1"/>
          <w:sz w:val="18"/>
          <w:szCs w:val="18"/>
          <w:lang w:eastAsia="fr-FR"/>
        </w:rPr>
        <w:t xml:space="preserve">, ce n’est pas le même type de connexines qui est exprimé = pas de jonction fonctionnelle qui peut s’établir entre les C </w:t>
      </w:r>
      <m:oMath>
        <m:r>
          <w:rPr>
            <w:rFonts w:ascii="Cambria Math" w:hAnsi="Cambria Math" w:cs="Arial"/>
            <w:color w:val="000000" w:themeColor="text1"/>
            <w:sz w:val="18"/>
            <w:szCs w:val="18"/>
            <w:lang w:eastAsia="fr-FR"/>
          </w:rPr>
          <m:t>α</m:t>
        </m:r>
      </m:oMath>
      <w:r w:rsidRPr="00CF684E">
        <w:rPr>
          <w:rFonts w:ascii="Arial" w:eastAsiaTheme="minorEastAsia" w:hAnsi="Arial" w:cs="Arial"/>
          <w:color w:val="000000" w:themeColor="text1"/>
          <w:sz w:val="18"/>
          <w:szCs w:val="18"/>
          <w:lang w:eastAsia="fr-FR"/>
        </w:rPr>
        <w:t xml:space="preserve"> et </w:t>
      </w:r>
      <m:oMath>
        <m:r>
          <w:rPr>
            <w:rFonts w:ascii="Cambria Math" w:hAnsi="Cambria Math" w:cs="Arial"/>
            <w:color w:val="000000" w:themeColor="text1"/>
            <w:sz w:val="18"/>
            <w:szCs w:val="18"/>
            <w:lang w:eastAsia="fr-FR"/>
          </w:rPr>
          <m:t>β</m:t>
        </m:r>
      </m:oMath>
      <w:r w:rsidRPr="00CF684E">
        <w:rPr>
          <w:rFonts w:ascii="Arial" w:eastAsiaTheme="minorEastAsia" w:hAnsi="Arial" w:cs="Arial"/>
          <w:color w:val="000000" w:themeColor="text1"/>
          <w:sz w:val="18"/>
          <w:szCs w:val="18"/>
          <w:lang w:eastAsia="fr-FR"/>
        </w:rPr>
        <w:t>.</w:t>
      </w:r>
    </w:p>
    <w:p w14:paraId="75833FC5"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hAnsi="Arial" w:cs="Arial"/>
          <w:noProof/>
          <w:color w:val="000000" w:themeColor="text1"/>
          <w:sz w:val="18"/>
          <w:szCs w:val="18"/>
          <w:lang w:eastAsia="fr-FR"/>
        </w:rPr>
        <w:drawing>
          <wp:anchor distT="0" distB="0" distL="114300" distR="114300" simplePos="0" relativeHeight="251808768" behindDoc="1" locked="0" layoutInCell="1" allowOverlap="1" wp14:anchorId="3453EC0E" wp14:editId="1293B1DA">
            <wp:simplePos x="0" y="0"/>
            <wp:positionH relativeFrom="column">
              <wp:posOffset>4619625</wp:posOffset>
            </wp:positionH>
            <wp:positionV relativeFrom="paragraph">
              <wp:posOffset>90261</wp:posOffset>
            </wp:positionV>
            <wp:extent cx="2118995" cy="1743710"/>
            <wp:effectExtent l="0" t="0" r="1905" b="0"/>
            <wp:wrapTight wrapText="bothSides">
              <wp:wrapPolygon edited="0">
                <wp:start x="0" y="0"/>
                <wp:lineTo x="0" y="21395"/>
                <wp:lineTo x="21490" y="21395"/>
                <wp:lineTo x="21490" y="0"/>
                <wp:lineTo x="0" y="0"/>
              </wp:wrapPolygon>
            </wp:wrapTight>
            <wp:docPr id="11608085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808501" name="Image 116080850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18995" cy="1743710"/>
                    </a:xfrm>
                    <a:prstGeom prst="rect">
                      <a:avLst/>
                    </a:prstGeom>
                  </pic:spPr>
                </pic:pic>
              </a:graphicData>
            </a:graphic>
            <wp14:sizeRelH relativeFrom="page">
              <wp14:pctWidth>0</wp14:pctWidth>
            </wp14:sizeRelH>
            <wp14:sizeRelV relativeFrom="page">
              <wp14:pctHeight>0</wp14:pctHeight>
            </wp14:sizeRelV>
          </wp:anchor>
        </w:drawing>
      </w:r>
    </w:p>
    <w:p w14:paraId="47326971" w14:textId="77777777" w:rsidR="00ED4694" w:rsidRPr="00CF684E" w:rsidRDefault="00ED4694" w:rsidP="00ED4694">
      <w:pPr>
        <w:pStyle w:val="Sansinterligne"/>
        <w:numPr>
          <w:ilvl w:val="0"/>
          <w:numId w:val="237"/>
        </w:numPr>
        <w:jc w:val="both"/>
        <w:rPr>
          <w:rFonts w:ascii="Arial" w:eastAsiaTheme="minorEastAsia" w:hAnsi="Arial" w:cs="Arial"/>
          <w:color w:val="ED7D31" w:themeColor="accent2"/>
          <w:sz w:val="18"/>
          <w:szCs w:val="18"/>
          <w:u w:val="single"/>
          <w:lang w:eastAsia="fr-FR"/>
        </w:rPr>
      </w:pPr>
      <w:r w:rsidRPr="00CF684E">
        <w:rPr>
          <w:rFonts w:ascii="Arial" w:eastAsiaTheme="minorEastAsia" w:hAnsi="Arial" w:cs="Arial"/>
          <w:color w:val="ED7D31" w:themeColor="accent2"/>
          <w:sz w:val="18"/>
          <w:szCs w:val="18"/>
          <w:u w:val="single"/>
          <w:lang w:eastAsia="fr-FR"/>
        </w:rPr>
        <w:t>Signalisation paracrine entre et parmi les types de C insulaires</w:t>
      </w:r>
    </w:p>
    <w:p w14:paraId="7403FE12"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eastAsiaTheme="minorEastAsia" w:hAnsi="Arial" w:cs="Arial"/>
          <w:color w:val="000000" w:themeColor="text1"/>
          <w:sz w:val="18"/>
          <w:szCs w:val="18"/>
          <w:lang w:eastAsia="fr-FR"/>
        </w:rPr>
        <w:t xml:space="preserve">C </w:t>
      </w:r>
      <m:oMath>
        <m:r>
          <w:rPr>
            <w:rFonts w:ascii="Cambria Math" w:hAnsi="Cambria Math" w:cs="Arial"/>
            <w:color w:val="000000" w:themeColor="text1"/>
            <w:sz w:val="18"/>
            <w:szCs w:val="18"/>
            <w:lang w:eastAsia="fr-FR"/>
          </w:rPr>
          <m:t>β</m:t>
        </m:r>
      </m:oMath>
      <w:r w:rsidRPr="00CF684E">
        <w:rPr>
          <w:rFonts w:ascii="Arial" w:eastAsiaTheme="minorEastAsia" w:hAnsi="Arial" w:cs="Arial"/>
          <w:color w:val="000000" w:themeColor="text1"/>
          <w:sz w:val="18"/>
          <w:szCs w:val="18"/>
          <w:lang w:eastAsia="fr-FR"/>
        </w:rPr>
        <w:t xml:space="preserve"> = sécrétion d’insuline, Zn2+, la sérotonine, l’acide </w:t>
      </w:r>
      <w:r w:rsidRPr="00CF684E">
        <w:rPr>
          <w:rFonts w:ascii="Arial" w:eastAsiaTheme="minorEastAsia" w:hAnsi="Arial" w:cs="Arial"/>
          <w:color w:val="000000" w:themeColor="text1"/>
          <w:sz w:val="18"/>
          <w:szCs w:val="18"/>
          <w:lang w:eastAsia="fr-FR"/>
        </w:rPr>
        <w:sym w:font="Symbol" w:char="F067"/>
      </w:r>
      <w:r w:rsidRPr="00CF684E">
        <w:rPr>
          <w:rFonts w:ascii="Arial" w:eastAsiaTheme="minorEastAsia" w:hAnsi="Arial" w:cs="Arial"/>
          <w:color w:val="000000" w:themeColor="text1"/>
          <w:sz w:val="18"/>
          <w:szCs w:val="18"/>
          <w:lang w:eastAsia="fr-FR"/>
        </w:rPr>
        <w:t>-aminobutyrique (GABA), le glutamate, le GHB</w:t>
      </w:r>
    </w:p>
    <w:p w14:paraId="5836F990"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eastAsiaTheme="minorEastAsia" w:hAnsi="Arial" w:cs="Arial"/>
          <w:color w:val="000000" w:themeColor="text1"/>
          <w:sz w:val="18"/>
          <w:szCs w:val="18"/>
          <w:lang w:eastAsia="fr-FR"/>
        </w:rPr>
        <w:t xml:space="preserve">C </w:t>
      </w:r>
      <m:oMath>
        <m:r>
          <w:rPr>
            <w:rFonts w:ascii="Cambria Math" w:hAnsi="Cambria Math" w:cs="Arial"/>
            <w:color w:val="000000" w:themeColor="text1"/>
            <w:sz w:val="18"/>
            <w:szCs w:val="18"/>
            <w:lang w:eastAsia="fr-FR"/>
          </w:rPr>
          <m:t>α</m:t>
        </m:r>
      </m:oMath>
      <w:r w:rsidRPr="00CF684E">
        <w:rPr>
          <w:rFonts w:ascii="Arial" w:eastAsiaTheme="minorEastAsia" w:hAnsi="Arial" w:cs="Arial"/>
          <w:color w:val="000000" w:themeColor="text1"/>
          <w:sz w:val="18"/>
          <w:szCs w:val="18"/>
          <w:lang w:eastAsia="fr-FR"/>
        </w:rPr>
        <w:t xml:space="preserve"> = sécrétion de glucagon</w:t>
      </w:r>
    </w:p>
    <w:p w14:paraId="5011016C"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eastAsiaTheme="minorEastAsia" w:hAnsi="Arial" w:cs="Arial"/>
          <w:color w:val="000000" w:themeColor="text1"/>
          <w:sz w:val="18"/>
          <w:szCs w:val="18"/>
          <w:lang w:eastAsia="fr-FR"/>
        </w:rPr>
        <w:t xml:space="preserve">C </w:t>
      </w:r>
      <m:oMath>
        <m:r>
          <w:rPr>
            <w:rFonts w:ascii="Cambria Math" w:hAnsi="Cambria Math" w:cs="Arial"/>
            <w:color w:val="000000" w:themeColor="text1"/>
            <w:sz w:val="18"/>
            <w:szCs w:val="18"/>
            <w:lang w:eastAsia="fr-FR"/>
          </w:rPr>
          <m:t>δ</m:t>
        </m:r>
      </m:oMath>
      <w:r w:rsidRPr="00CF684E">
        <w:rPr>
          <w:rFonts w:ascii="Arial" w:eastAsiaTheme="minorEastAsia" w:hAnsi="Arial" w:cs="Arial"/>
          <w:color w:val="000000" w:themeColor="text1"/>
          <w:sz w:val="18"/>
          <w:szCs w:val="18"/>
          <w:lang w:eastAsia="fr-FR"/>
        </w:rPr>
        <w:t xml:space="preserve"> = sécrétion de somatostatine qui inhibe les sécrétions d’insuline sur C </w:t>
      </w:r>
      <m:oMath>
        <m:r>
          <w:rPr>
            <w:rFonts w:ascii="Cambria Math" w:hAnsi="Cambria Math" w:cs="Arial"/>
            <w:color w:val="000000" w:themeColor="text1"/>
            <w:sz w:val="18"/>
            <w:szCs w:val="18"/>
            <w:lang w:eastAsia="fr-FR"/>
          </w:rPr>
          <m:t>β</m:t>
        </m:r>
      </m:oMath>
      <w:r w:rsidRPr="00CF684E">
        <w:rPr>
          <w:rFonts w:ascii="Arial" w:eastAsiaTheme="minorEastAsia" w:hAnsi="Arial" w:cs="Arial"/>
          <w:color w:val="000000" w:themeColor="text1"/>
          <w:sz w:val="18"/>
          <w:szCs w:val="18"/>
          <w:lang w:eastAsia="fr-FR"/>
        </w:rPr>
        <w:t xml:space="preserve">, et les sécrétions de glucagon sur C </w:t>
      </w:r>
      <m:oMath>
        <m:r>
          <w:rPr>
            <w:rFonts w:ascii="Cambria Math" w:hAnsi="Cambria Math" w:cs="Arial"/>
            <w:color w:val="000000" w:themeColor="text1"/>
            <w:sz w:val="18"/>
            <w:szCs w:val="18"/>
            <w:lang w:eastAsia="fr-FR"/>
          </w:rPr>
          <m:t>α</m:t>
        </m:r>
      </m:oMath>
      <w:r w:rsidRPr="00CF684E">
        <w:rPr>
          <w:rFonts w:ascii="Arial" w:eastAsiaTheme="minorEastAsia" w:hAnsi="Arial" w:cs="Arial"/>
          <w:color w:val="000000" w:themeColor="text1"/>
          <w:sz w:val="18"/>
          <w:szCs w:val="18"/>
          <w:lang w:eastAsia="fr-FR"/>
        </w:rPr>
        <w:t>.</w:t>
      </w:r>
    </w:p>
    <w:p w14:paraId="37706C98"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eastAsiaTheme="minorEastAsia" w:hAnsi="Arial" w:cs="Arial"/>
          <w:color w:val="000000" w:themeColor="text1"/>
          <w:sz w:val="18"/>
          <w:szCs w:val="18"/>
          <w:lang w:eastAsia="fr-FR"/>
        </w:rPr>
        <w:t xml:space="preserve">Étant prédominantes, les C </w:t>
      </w:r>
      <m:oMath>
        <m:r>
          <m:rPr>
            <m:sty m:val="p"/>
          </m:rPr>
          <w:rPr>
            <w:rFonts w:ascii="Cambria Math" w:hAnsi="Cambria Math" w:cs="Arial"/>
            <w:color w:val="000000" w:themeColor="text1"/>
            <w:sz w:val="18"/>
            <w:szCs w:val="18"/>
            <w:lang w:eastAsia="fr-FR"/>
          </w:rPr>
          <m:t>β</m:t>
        </m:r>
      </m:oMath>
      <w:r w:rsidRPr="00CF684E">
        <w:rPr>
          <w:rFonts w:ascii="Arial" w:eastAsiaTheme="minorEastAsia" w:hAnsi="Arial" w:cs="Arial"/>
          <w:color w:val="000000" w:themeColor="text1"/>
          <w:sz w:val="18"/>
          <w:szCs w:val="18"/>
          <w:lang w:eastAsia="fr-FR"/>
        </w:rPr>
        <w:t xml:space="preserve"> émettent le plus de facteur paracrine connus, qui peuvent affecter les C alpha, delta et PP. Les C </w:t>
      </w:r>
      <m:oMath>
        <m:r>
          <w:rPr>
            <w:rFonts w:ascii="Cambria Math" w:hAnsi="Cambria Math" w:cs="Arial"/>
            <w:color w:val="000000" w:themeColor="text1"/>
            <w:sz w:val="18"/>
            <w:szCs w:val="18"/>
            <w:lang w:eastAsia="fr-FR"/>
          </w:rPr>
          <m:t>α</m:t>
        </m:r>
      </m:oMath>
      <w:r w:rsidRPr="00CF684E">
        <w:rPr>
          <w:rFonts w:ascii="Arial" w:eastAsiaTheme="minorEastAsia" w:hAnsi="Arial" w:cs="Arial"/>
          <w:color w:val="000000" w:themeColor="text1"/>
          <w:sz w:val="18"/>
          <w:szCs w:val="18"/>
          <w:lang w:eastAsia="fr-FR"/>
        </w:rPr>
        <w:t xml:space="preserve"> ont une voie de signalisation qui peut aller vers les C </w:t>
      </w:r>
      <m:oMath>
        <m:r>
          <w:rPr>
            <w:rFonts w:ascii="Cambria Math" w:hAnsi="Cambria Math" w:cs="Arial"/>
            <w:color w:val="000000" w:themeColor="text1"/>
            <w:sz w:val="18"/>
            <w:szCs w:val="18"/>
            <w:lang w:eastAsia="fr-FR"/>
          </w:rPr>
          <m:t>β</m:t>
        </m:r>
      </m:oMath>
      <w:r w:rsidRPr="00CF684E">
        <w:rPr>
          <w:rFonts w:ascii="Arial" w:eastAsiaTheme="minorEastAsia" w:hAnsi="Arial" w:cs="Arial"/>
          <w:color w:val="000000" w:themeColor="text1"/>
          <w:sz w:val="18"/>
          <w:szCs w:val="18"/>
          <w:lang w:eastAsia="fr-FR"/>
        </w:rPr>
        <w:t xml:space="preserve">, avec le rôle important de GLP1 (libéré par C </w:t>
      </w:r>
      <m:oMath>
        <m:r>
          <w:rPr>
            <w:rFonts w:ascii="Cambria Math" w:hAnsi="Cambria Math" w:cs="Arial"/>
            <w:color w:val="000000" w:themeColor="text1"/>
            <w:sz w:val="18"/>
            <w:szCs w:val="18"/>
            <w:lang w:eastAsia="fr-FR"/>
          </w:rPr>
          <m:t>α</m:t>
        </m:r>
      </m:oMath>
      <w:r w:rsidRPr="00CF684E">
        <w:rPr>
          <w:rFonts w:ascii="Arial" w:eastAsiaTheme="minorEastAsia" w:hAnsi="Arial" w:cs="Arial"/>
          <w:color w:val="000000" w:themeColor="text1"/>
          <w:sz w:val="18"/>
          <w:szCs w:val="18"/>
          <w:lang w:eastAsia="fr-FR"/>
        </w:rPr>
        <w:t xml:space="preserve">).  </w:t>
      </w:r>
    </w:p>
    <w:p w14:paraId="6F02CD52"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eastAsiaTheme="minorEastAsia" w:hAnsi="Arial" w:cs="Arial"/>
          <w:color w:val="000000" w:themeColor="text1"/>
          <w:sz w:val="18"/>
          <w:szCs w:val="18"/>
          <w:lang w:eastAsia="fr-FR"/>
        </w:rPr>
        <w:t xml:space="preserve">La signalisation autocrine = insuline. Autorégulation de l’insuline sur les C </w:t>
      </w:r>
      <m:oMath>
        <m:r>
          <w:rPr>
            <w:rFonts w:ascii="Cambria Math" w:hAnsi="Cambria Math" w:cs="Arial"/>
            <w:color w:val="000000" w:themeColor="text1"/>
            <w:sz w:val="18"/>
            <w:szCs w:val="18"/>
            <w:lang w:eastAsia="fr-FR"/>
          </w:rPr>
          <m:t>β</m:t>
        </m:r>
      </m:oMath>
      <w:r w:rsidRPr="00CF684E">
        <w:rPr>
          <w:rFonts w:ascii="Arial" w:eastAsiaTheme="minorEastAsia" w:hAnsi="Arial" w:cs="Arial"/>
          <w:color w:val="000000" w:themeColor="text1"/>
          <w:sz w:val="18"/>
          <w:szCs w:val="18"/>
          <w:lang w:eastAsia="fr-FR"/>
        </w:rPr>
        <w:t xml:space="preserve"> par la sécrétion d’insuline.</w:t>
      </w:r>
    </w:p>
    <w:p w14:paraId="598BB547"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p>
    <w:p w14:paraId="5FB6539C" w14:textId="77777777" w:rsidR="00ED4694" w:rsidRPr="00CF684E" w:rsidRDefault="00ED4694" w:rsidP="00ED4694">
      <w:pPr>
        <w:pStyle w:val="Sansinterligne"/>
        <w:numPr>
          <w:ilvl w:val="0"/>
          <w:numId w:val="237"/>
        </w:numPr>
        <w:jc w:val="both"/>
        <w:rPr>
          <w:rFonts w:ascii="Arial" w:eastAsiaTheme="minorEastAsia" w:hAnsi="Arial" w:cs="Arial"/>
          <w:color w:val="ED7D31" w:themeColor="accent2"/>
          <w:sz w:val="18"/>
          <w:szCs w:val="18"/>
          <w:u w:val="single"/>
          <w:lang w:eastAsia="fr-FR"/>
        </w:rPr>
      </w:pPr>
      <w:r w:rsidRPr="00CF684E">
        <w:rPr>
          <w:rFonts w:ascii="Arial" w:eastAsiaTheme="minorEastAsia" w:hAnsi="Arial" w:cs="Arial"/>
          <w:color w:val="ED7D31" w:themeColor="accent2"/>
          <w:sz w:val="18"/>
          <w:szCs w:val="18"/>
          <w:u w:val="single"/>
          <w:lang w:eastAsia="fr-FR"/>
        </w:rPr>
        <w:t xml:space="preserve">Communication via les voies juxtacrines </w:t>
      </w:r>
    </w:p>
    <w:p w14:paraId="70B27A4F"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eastAsiaTheme="minorEastAsia" w:hAnsi="Arial" w:cs="Arial"/>
          <w:color w:val="000000" w:themeColor="text1"/>
          <w:sz w:val="18"/>
          <w:szCs w:val="18"/>
          <w:lang w:eastAsia="fr-FR"/>
        </w:rPr>
        <w:t xml:space="preserve">Les C </w:t>
      </w:r>
      <m:oMath>
        <m:r>
          <w:rPr>
            <w:rFonts w:ascii="Cambria Math" w:hAnsi="Cambria Math" w:cs="Arial"/>
            <w:color w:val="000000" w:themeColor="text1"/>
            <w:sz w:val="18"/>
            <w:szCs w:val="18"/>
            <w:lang w:eastAsia="fr-FR"/>
          </w:rPr>
          <m:t>α</m:t>
        </m:r>
      </m:oMath>
      <w:r w:rsidRPr="00CF684E">
        <w:rPr>
          <w:rFonts w:ascii="Arial" w:eastAsiaTheme="minorEastAsia" w:hAnsi="Arial" w:cs="Arial"/>
          <w:color w:val="000000" w:themeColor="text1"/>
          <w:sz w:val="18"/>
          <w:szCs w:val="18"/>
          <w:lang w:eastAsia="fr-FR"/>
        </w:rPr>
        <w:t xml:space="preserve"> et </w:t>
      </w:r>
      <m:oMath>
        <m:r>
          <w:rPr>
            <w:rFonts w:ascii="Cambria Math" w:hAnsi="Cambria Math" w:cs="Arial"/>
            <w:color w:val="000000" w:themeColor="text1"/>
            <w:sz w:val="18"/>
            <w:szCs w:val="18"/>
            <w:lang w:eastAsia="fr-FR"/>
          </w:rPr>
          <m:t>β</m:t>
        </m:r>
      </m:oMath>
      <w:r w:rsidRPr="00CF684E">
        <w:rPr>
          <w:rFonts w:ascii="Arial" w:eastAsiaTheme="minorEastAsia" w:hAnsi="Arial" w:cs="Arial"/>
          <w:color w:val="000000" w:themeColor="text1"/>
          <w:sz w:val="18"/>
          <w:szCs w:val="18"/>
          <w:lang w:eastAsia="fr-FR"/>
        </w:rPr>
        <w:t xml:space="preserve"> sont connectées, grâce à </w:t>
      </w:r>
      <w:r w:rsidRPr="00E96B8D">
        <w:rPr>
          <w:rFonts w:ascii="Arial" w:eastAsiaTheme="minorEastAsia" w:hAnsi="Arial" w:cs="Arial"/>
          <w:b/>
          <w:bCs/>
          <w:color w:val="000000" w:themeColor="text1"/>
          <w:sz w:val="18"/>
          <w:szCs w:val="18"/>
          <w:lang w:eastAsia="fr-FR"/>
        </w:rPr>
        <w:t>l’éphrine</w:t>
      </w:r>
      <w:r w:rsidRPr="00CF684E">
        <w:rPr>
          <w:rFonts w:ascii="Arial" w:eastAsiaTheme="minorEastAsia" w:hAnsi="Arial" w:cs="Arial"/>
          <w:color w:val="000000" w:themeColor="text1"/>
          <w:sz w:val="18"/>
          <w:szCs w:val="18"/>
          <w:lang w:eastAsia="fr-FR"/>
        </w:rPr>
        <w:t xml:space="preserve"> (situé sur la C </w:t>
      </w:r>
      <m:oMath>
        <m:r>
          <w:rPr>
            <w:rFonts w:ascii="Cambria Math" w:hAnsi="Cambria Math" w:cs="Arial"/>
            <w:color w:val="000000" w:themeColor="text1"/>
            <w:sz w:val="18"/>
            <w:szCs w:val="18"/>
            <w:lang w:eastAsia="fr-FR"/>
          </w:rPr>
          <m:t>α</m:t>
        </m:r>
      </m:oMath>
      <w:r w:rsidRPr="00CF684E">
        <w:rPr>
          <w:rFonts w:ascii="Arial" w:eastAsiaTheme="minorEastAsia" w:hAnsi="Arial" w:cs="Arial"/>
          <w:color w:val="000000" w:themeColor="text1"/>
          <w:sz w:val="18"/>
          <w:szCs w:val="18"/>
          <w:lang w:eastAsia="fr-FR"/>
        </w:rPr>
        <w:t xml:space="preserve">) et son récepteur (situé sur la C </w:t>
      </w:r>
      <m:oMath>
        <m:r>
          <w:rPr>
            <w:rFonts w:ascii="Cambria Math" w:hAnsi="Cambria Math" w:cs="Arial"/>
            <w:color w:val="000000" w:themeColor="text1"/>
            <w:sz w:val="18"/>
            <w:szCs w:val="18"/>
            <w:lang w:eastAsia="fr-FR"/>
          </w:rPr>
          <m:t>β</m:t>
        </m:r>
      </m:oMath>
      <w:r w:rsidRPr="00CF684E">
        <w:rPr>
          <w:rFonts w:ascii="Arial" w:eastAsiaTheme="minorEastAsia" w:hAnsi="Arial" w:cs="Arial"/>
          <w:color w:val="000000" w:themeColor="text1"/>
          <w:sz w:val="18"/>
          <w:szCs w:val="18"/>
          <w:lang w:eastAsia="fr-FR"/>
        </w:rPr>
        <w:t xml:space="preserve">). </w:t>
      </w:r>
    </w:p>
    <w:p w14:paraId="0A0B2575"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eastAsiaTheme="minorEastAsia" w:hAnsi="Arial" w:cs="Arial"/>
          <w:color w:val="000000" w:themeColor="text1"/>
          <w:sz w:val="18"/>
          <w:szCs w:val="18"/>
          <w:lang w:eastAsia="fr-FR"/>
        </w:rPr>
        <w:t xml:space="preserve">Lorsque ce système Eph/éphrine est activé, cela active une cascade de signalisation intracellulaire grâce à des kinases, importante pour la production d’insuline notamment. </w:t>
      </w:r>
    </w:p>
    <w:p w14:paraId="68A8BD9D"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p>
    <w:p w14:paraId="2C7F0E26" w14:textId="77777777" w:rsidR="00ED4694" w:rsidRPr="00CF684E" w:rsidRDefault="00ED4694" w:rsidP="00ED4694">
      <w:pPr>
        <w:pStyle w:val="Sansinterligne"/>
        <w:numPr>
          <w:ilvl w:val="0"/>
          <w:numId w:val="237"/>
        </w:numPr>
        <w:jc w:val="both"/>
        <w:rPr>
          <w:rFonts w:ascii="Arial" w:eastAsiaTheme="minorEastAsia" w:hAnsi="Arial" w:cs="Arial"/>
          <w:color w:val="ED7D31" w:themeColor="accent2"/>
          <w:sz w:val="18"/>
          <w:szCs w:val="18"/>
          <w:u w:val="single"/>
          <w:lang w:eastAsia="fr-FR"/>
        </w:rPr>
      </w:pPr>
      <w:r w:rsidRPr="00CF684E">
        <w:rPr>
          <w:rFonts w:ascii="Arial" w:eastAsiaTheme="minorEastAsia" w:hAnsi="Arial" w:cs="Arial"/>
          <w:color w:val="ED7D31" w:themeColor="accent2"/>
          <w:sz w:val="18"/>
          <w:szCs w:val="18"/>
          <w:u w:val="single"/>
          <w:lang w:eastAsia="fr-FR"/>
        </w:rPr>
        <w:t>Cils primaires, plaque tournante de la signalisation dans l’ilot</w:t>
      </w:r>
    </w:p>
    <w:p w14:paraId="214E80AD"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eastAsiaTheme="minorEastAsia" w:hAnsi="Arial" w:cs="Arial"/>
          <w:color w:val="000000" w:themeColor="text1"/>
          <w:sz w:val="18"/>
          <w:szCs w:val="18"/>
          <w:lang w:eastAsia="fr-FR"/>
        </w:rPr>
        <w:t xml:space="preserve">Les cils primaires sont présents sur la quasi totalités des C différenciées. Chaque C a des protubérances avec des microtubules formant la forme du cil, contenant de nombreux récepteurs. Certaines maladies génétiques sont dues à la mal fonction de ces cils primaires (ciliopathies). </w:t>
      </w:r>
    </w:p>
    <w:p w14:paraId="5BAB4184"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eastAsiaTheme="minorEastAsia" w:hAnsi="Arial" w:cs="Arial"/>
          <w:color w:val="000000" w:themeColor="text1"/>
          <w:sz w:val="18"/>
          <w:szCs w:val="18"/>
          <w:lang w:eastAsia="fr-FR"/>
        </w:rPr>
        <w:t>Ces cils primaires disposent d’une surface enrichie de récepteurs transmembranaires souvent RCPG, des récepteurs à l’insuline, à la somatostatine.</w:t>
      </w:r>
    </w:p>
    <w:p w14:paraId="53FD4888"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eastAsiaTheme="minorEastAsia" w:hAnsi="Arial" w:cs="Arial"/>
          <w:color w:val="000000" w:themeColor="text1"/>
          <w:sz w:val="18"/>
          <w:szCs w:val="18"/>
          <w:lang w:eastAsia="fr-FR"/>
        </w:rPr>
        <w:t>Ce cil est une sorte d’antenne nécessaire à la communication. S’il fonctionne mal, l’ilot ne marche pas bien.</w:t>
      </w:r>
    </w:p>
    <w:p w14:paraId="36D4729B"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p>
    <w:p w14:paraId="0F3D7F0D" w14:textId="77777777" w:rsidR="00ED4694" w:rsidRPr="00CF684E" w:rsidRDefault="00ED4694" w:rsidP="00ED4694">
      <w:pPr>
        <w:pStyle w:val="Sansinterligne"/>
        <w:numPr>
          <w:ilvl w:val="0"/>
          <w:numId w:val="237"/>
        </w:numPr>
        <w:jc w:val="both"/>
        <w:rPr>
          <w:rFonts w:ascii="Arial" w:eastAsiaTheme="minorEastAsia" w:hAnsi="Arial" w:cs="Arial"/>
          <w:color w:val="ED7D31" w:themeColor="accent2"/>
          <w:sz w:val="18"/>
          <w:szCs w:val="18"/>
          <w:u w:val="single"/>
          <w:lang w:eastAsia="fr-FR"/>
        </w:rPr>
      </w:pPr>
      <w:r w:rsidRPr="00CF684E">
        <w:rPr>
          <w:rFonts w:ascii="Arial" w:eastAsiaTheme="minorEastAsia" w:hAnsi="Arial" w:cs="Arial"/>
          <w:color w:val="ED7D31" w:themeColor="accent2"/>
          <w:sz w:val="18"/>
          <w:szCs w:val="18"/>
          <w:u w:val="single"/>
          <w:lang w:eastAsia="fr-FR"/>
        </w:rPr>
        <w:t>Communication via le système vasculaire et le flux sanguin</w:t>
      </w:r>
    </w:p>
    <w:p w14:paraId="453FC7ED"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r w:rsidRPr="00CF684E">
        <w:rPr>
          <w:rFonts w:ascii="Arial" w:eastAsiaTheme="minorEastAsia" w:hAnsi="Arial" w:cs="Arial"/>
          <w:color w:val="000000" w:themeColor="text1"/>
          <w:sz w:val="18"/>
          <w:szCs w:val="18"/>
          <w:lang w:eastAsia="fr-FR"/>
        </w:rPr>
        <w:t>La sécrétion d’insuline cible particulièrement le système vasculaire. Quand on libère de l’insuline, on stimule le système vasculaire entourant l’ilot pour faciliter la libération d’insuline.</w:t>
      </w:r>
    </w:p>
    <w:p w14:paraId="3AE59D66" w14:textId="77777777" w:rsidR="00ED4694" w:rsidRPr="00CF684E" w:rsidRDefault="00ED4694" w:rsidP="00ED4694">
      <w:pPr>
        <w:pStyle w:val="Sansinterligne"/>
        <w:jc w:val="both"/>
        <w:rPr>
          <w:rFonts w:ascii="Arial" w:eastAsiaTheme="minorEastAsia" w:hAnsi="Arial" w:cs="Arial"/>
          <w:color w:val="000000" w:themeColor="text1"/>
          <w:sz w:val="18"/>
          <w:szCs w:val="18"/>
          <w:lang w:eastAsia="fr-FR"/>
        </w:rPr>
      </w:pPr>
    </w:p>
    <w:p w14:paraId="15D424C7" w14:textId="77777777" w:rsidR="00ED4694" w:rsidRPr="00CF684E" w:rsidRDefault="00ED4694" w:rsidP="00ED4694">
      <w:pPr>
        <w:pStyle w:val="Sansinterligne"/>
        <w:numPr>
          <w:ilvl w:val="0"/>
          <w:numId w:val="237"/>
        </w:numPr>
        <w:jc w:val="both"/>
        <w:rPr>
          <w:rFonts w:ascii="Arial" w:eastAsiaTheme="minorEastAsia" w:hAnsi="Arial" w:cs="Arial"/>
          <w:color w:val="ED7D31" w:themeColor="accent2"/>
          <w:sz w:val="18"/>
          <w:szCs w:val="18"/>
          <w:u w:val="single"/>
          <w:lang w:eastAsia="fr-FR"/>
        </w:rPr>
      </w:pPr>
      <w:r w:rsidRPr="00CF684E">
        <w:rPr>
          <w:rFonts w:ascii="Arial" w:eastAsiaTheme="minorEastAsia" w:hAnsi="Arial" w:cs="Arial"/>
          <w:color w:val="ED7D31" w:themeColor="accent2"/>
          <w:sz w:val="18"/>
          <w:szCs w:val="18"/>
          <w:u w:val="single"/>
          <w:lang w:eastAsia="fr-FR"/>
        </w:rPr>
        <w:t>Communication via le système nerveux</w:t>
      </w:r>
    </w:p>
    <w:p w14:paraId="0693AE27" w14:textId="77777777" w:rsidR="00ED4694" w:rsidRPr="00CF684E" w:rsidRDefault="00ED4694" w:rsidP="00ED4694">
      <w:pPr>
        <w:pStyle w:val="Sansinterligne"/>
        <w:jc w:val="both"/>
        <w:rPr>
          <w:rFonts w:ascii="Arial" w:hAnsi="Arial" w:cs="Arial"/>
          <w:color w:val="000000" w:themeColor="text1"/>
          <w:sz w:val="18"/>
          <w:szCs w:val="18"/>
          <w:lang w:eastAsia="fr-FR"/>
        </w:rPr>
      </w:pPr>
      <w:r w:rsidRPr="00CF684E">
        <w:rPr>
          <w:rFonts w:ascii="Arial" w:hAnsi="Arial" w:cs="Arial"/>
          <w:color w:val="000000" w:themeColor="text1"/>
          <w:sz w:val="18"/>
          <w:szCs w:val="18"/>
          <w:lang w:eastAsia="fr-FR"/>
        </w:rPr>
        <w:t xml:space="preserve">L’innervation des ilots diminue avec l’âge mais aussi au cours du DT1. </w:t>
      </w:r>
    </w:p>
    <w:p w14:paraId="6A8CC90F" w14:textId="77777777" w:rsidR="00ED4694" w:rsidRPr="00CF684E" w:rsidRDefault="00ED4694" w:rsidP="00ED4694">
      <w:pPr>
        <w:pStyle w:val="Sansinterligne"/>
        <w:jc w:val="both"/>
        <w:rPr>
          <w:rFonts w:ascii="Arial" w:hAnsi="Arial" w:cs="Arial"/>
          <w:color w:val="000000" w:themeColor="text1"/>
          <w:sz w:val="18"/>
          <w:szCs w:val="18"/>
          <w:lang w:eastAsia="fr-FR"/>
        </w:rPr>
      </w:pPr>
    </w:p>
    <w:p w14:paraId="360A3BD0" w14:textId="77777777" w:rsidR="00ED4694" w:rsidRPr="00CF684E" w:rsidRDefault="00ED4694" w:rsidP="00ED4694">
      <w:pPr>
        <w:pStyle w:val="Sansinterligne"/>
        <w:numPr>
          <w:ilvl w:val="0"/>
          <w:numId w:val="238"/>
        </w:numPr>
        <w:jc w:val="both"/>
        <w:rPr>
          <w:rFonts w:ascii="Arial" w:hAnsi="Arial" w:cs="Arial"/>
          <w:b/>
          <w:bCs/>
          <w:color w:val="00B0F0"/>
          <w:sz w:val="18"/>
          <w:szCs w:val="18"/>
          <w:u w:val="single"/>
          <w:lang w:eastAsia="fr-FR"/>
        </w:rPr>
      </w:pPr>
      <w:r w:rsidRPr="00CF684E">
        <w:rPr>
          <w:rFonts w:ascii="Arial" w:hAnsi="Arial" w:cs="Arial"/>
          <w:noProof/>
          <w:color w:val="000000" w:themeColor="text1"/>
          <w:sz w:val="18"/>
          <w:szCs w:val="18"/>
          <w:lang w:eastAsia="fr-FR"/>
        </w:rPr>
        <w:drawing>
          <wp:anchor distT="0" distB="0" distL="114300" distR="114300" simplePos="0" relativeHeight="251806720" behindDoc="1" locked="0" layoutInCell="1" allowOverlap="1" wp14:anchorId="471AA6BA" wp14:editId="647AFFB1">
            <wp:simplePos x="0" y="0"/>
            <wp:positionH relativeFrom="column">
              <wp:posOffset>3935989</wp:posOffset>
            </wp:positionH>
            <wp:positionV relativeFrom="paragraph">
              <wp:posOffset>87469</wp:posOffset>
            </wp:positionV>
            <wp:extent cx="2900045" cy="1682115"/>
            <wp:effectExtent l="0" t="0" r="0" b="0"/>
            <wp:wrapTight wrapText="bothSides">
              <wp:wrapPolygon edited="0">
                <wp:start x="0" y="0"/>
                <wp:lineTo x="0" y="21364"/>
                <wp:lineTo x="21472" y="21364"/>
                <wp:lineTo x="21472" y="0"/>
                <wp:lineTo x="0" y="0"/>
              </wp:wrapPolygon>
            </wp:wrapTight>
            <wp:docPr id="193270064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251752" name="Image 672251752"/>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900045" cy="1682115"/>
                    </a:xfrm>
                    <a:prstGeom prst="rect">
                      <a:avLst/>
                    </a:prstGeom>
                  </pic:spPr>
                </pic:pic>
              </a:graphicData>
            </a:graphic>
            <wp14:sizeRelH relativeFrom="page">
              <wp14:pctWidth>0</wp14:pctWidth>
            </wp14:sizeRelH>
            <wp14:sizeRelV relativeFrom="page">
              <wp14:pctHeight>0</wp14:pctHeight>
            </wp14:sizeRelV>
          </wp:anchor>
        </w:drawing>
      </w:r>
      <w:r w:rsidRPr="00CF684E">
        <w:rPr>
          <w:rFonts w:ascii="Arial" w:hAnsi="Arial" w:cs="Arial"/>
          <w:b/>
          <w:bCs/>
          <w:color w:val="00B0F0"/>
          <w:sz w:val="18"/>
          <w:szCs w:val="18"/>
          <w:u w:val="single"/>
          <w:lang w:eastAsia="fr-FR"/>
        </w:rPr>
        <w:t xml:space="preserve">Les cellules </w:t>
      </w:r>
    </w:p>
    <w:p w14:paraId="41A55B9A" w14:textId="77777777" w:rsidR="00ED4694" w:rsidRPr="00CF684E" w:rsidRDefault="00ED4694" w:rsidP="00ED4694">
      <w:pPr>
        <w:pStyle w:val="Sansinterligne"/>
        <w:numPr>
          <w:ilvl w:val="0"/>
          <w:numId w:val="239"/>
        </w:numPr>
        <w:jc w:val="both"/>
        <w:rPr>
          <w:rFonts w:ascii="Arial" w:hAnsi="Arial" w:cs="Arial"/>
          <w:color w:val="ED7D31" w:themeColor="accent2"/>
          <w:sz w:val="18"/>
          <w:szCs w:val="18"/>
          <w:u w:val="single"/>
          <w:lang w:eastAsia="fr-FR"/>
        </w:rPr>
      </w:pPr>
      <w:r w:rsidRPr="00CF684E">
        <w:rPr>
          <w:rFonts w:ascii="Arial" w:hAnsi="Arial" w:cs="Arial"/>
          <w:color w:val="ED7D31" w:themeColor="accent2"/>
          <w:sz w:val="18"/>
          <w:szCs w:val="18"/>
          <w:u w:val="single"/>
          <w:lang w:eastAsia="fr-FR"/>
        </w:rPr>
        <w:t xml:space="preserve">Les cellules </w:t>
      </w:r>
      <m:oMath>
        <m:r>
          <w:rPr>
            <w:rFonts w:ascii="Cambria Math" w:hAnsi="Cambria Math" w:cs="Arial"/>
            <w:color w:val="ED7D31" w:themeColor="accent2"/>
            <w:sz w:val="18"/>
            <w:szCs w:val="18"/>
            <w:u w:val="single"/>
            <w:lang w:eastAsia="fr-FR"/>
          </w:rPr>
          <m:t>β</m:t>
        </m:r>
      </m:oMath>
    </w:p>
    <w:p w14:paraId="7FB7EFE5" w14:textId="77777777" w:rsidR="00ED4694" w:rsidRPr="00CF684E" w:rsidRDefault="00ED4694" w:rsidP="00ED4694">
      <w:pPr>
        <w:pStyle w:val="Sansinterligne"/>
        <w:jc w:val="both"/>
        <w:rPr>
          <w:rFonts w:ascii="Arial" w:hAnsi="Arial" w:cs="Arial"/>
          <w:color w:val="000000" w:themeColor="text1"/>
          <w:sz w:val="18"/>
          <w:szCs w:val="18"/>
          <w:lang w:eastAsia="fr-FR"/>
        </w:rPr>
      </w:pPr>
      <w:r w:rsidRPr="00CF684E">
        <w:rPr>
          <w:rFonts w:ascii="Arial" w:hAnsi="Arial" w:cs="Arial"/>
          <w:color w:val="000000" w:themeColor="text1"/>
          <w:sz w:val="18"/>
          <w:szCs w:val="18"/>
          <w:lang w:eastAsia="fr-FR"/>
        </w:rPr>
        <w:t xml:space="preserve">La C </w:t>
      </w:r>
      <m:oMath>
        <m:r>
          <w:rPr>
            <w:rFonts w:ascii="Cambria Math" w:hAnsi="Cambria Math" w:cs="Arial"/>
            <w:color w:val="000000" w:themeColor="text1"/>
            <w:sz w:val="18"/>
            <w:szCs w:val="18"/>
            <w:lang w:eastAsia="fr-FR"/>
          </w:rPr>
          <m:t>β</m:t>
        </m:r>
      </m:oMath>
      <w:r w:rsidRPr="00CF684E">
        <w:rPr>
          <w:rFonts w:ascii="Arial" w:hAnsi="Arial" w:cs="Arial"/>
          <w:color w:val="000000" w:themeColor="text1"/>
          <w:sz w:val="18"/>
          <w:szCs w:val="18"/>
          <w:lang w:eastAsia="fr-FR"/>
        </w:rPr>
        <w:t xml:space="preserve"> est la « seule » cellule qui sécrète de l’insuline dans le corps. </w:t>
      </w:r>
    </w:p>
    <w:p w14:paraId="4E7B12EF" w14:textId="77777777" w:rsidR="00ED4694" w:rsidRPr="00CF684E" w:rsidRDefault="00ED4694" w:rsidP="00ED4694">
      <w:pPr>
        <w:pStyle w:val="Sansinterligne"/>
        <w:jc w:val="both"/>
        <w:rPr>
          <w:rFonts w:ascii="Arial" w:hAnsi="Arial" w:cs="Arial"/>
          <w:color w:val="000000" w:themeColor="text1"/>
          <w:sz w:val="18"/>
          <w:szCs w:val="18"/>
          <w:lang w:eastAsia="fr-FR"/>
        </w:rPr>
      </w:pPr>
    </w:p>
    <w:p w14:paraId="629246A5" w14:textId="77777777" w:rsidR="00ED4694" w:rsidRPr="00CF684E" w:rsidRDefault="00ED4694" w:rsidP="00ED4694">
      <w:pPr>
        <w:pStyle w:val="Sansinterligne"/>
        <w:jc w:val="both"/>
        <w:rPr>
          <w:rFonts w:ascii="Arial" w:hAnsi="Arial" w:cs="Arial"/>
          <w:i/>
          <w:iCs/>
          <w:color w:val="000000" w:themeColor="text1"/>
          <w:sz w:val="18"/>
          <w:szCs w:val="18"/>
          <w:lang w:eastAsia="fr-FR"/>
        </w:rPr>
      </w:pPr>
      <w:r w:rsidRPr="00CF684E">
        <w:rPr>
          <w:rFonts w:ascii="Arial" w:hAnsi="Arial" w:cs="Arial"/>
          <w:i/>
          <w:iCs/>
          <w:color w:val="000000" w:themeColor="text1"/>
          <w:sz w:val="18"/>
          <w:szCs w:val="18"/>
          <w:lang w:eastAsia="fr-FR"/>
        </w:rPr>
        <w:t xml:space="preserve">Le glucose rentre dans la C par le GLUT2 et est phosphorylé par la glycolyse = augmentation d’ATP = fermeture des canaux potassiques ATP dépendants = dépolarisation = activation des canaux calciques = entrée du Ca2+ qui se fixe sur les vésicules stockées d’insuline = exocytose d’insuline. </w:t>
      </w:r>
    </w:p>
    <w:p w14:paraId="20AD1065" w14:textId="77777777" w:rsidR="00ED4694" w:rsidRPr="00CF684E" w:rsidRDefault="00ED4694" w:rsidP="00ED4694">
      <w:pPr>
        <w:pStyle w:val="Sansinterligne"/>
        <w:jc w:val="both"/>
        <w:rPr>
          <w:rFonts w:ascii="Arial" w:hAnsi="Arial" w:cs="Arial"/>
          <w:i/>
          <w:iCs/>
          <w:color w:val="000000" w:themeColor="text1"/>
          <w:sz w:val="18"/>
          <w:szCs w:val="18"/>
          <w:lang w:eastAsia="fr-FR"/>
        </w:rPr>
      </w:pPr>
      <w:r w:rsidRPr="00CF684E">
        <w:rPr>
          <w:rFonts w:ascii="Arial" w:hAnsi="Arial" w:cs="Arial"/>
          <w:i/>
          <w:iCs/>
          <w:color w:val="000000" w:themeColor="text1"/>
          <w:sz w:val="18"/>
          <w:szCs w:val="18"/>
          <w:lang w:eastAsia="fr-FR"/>
        </w:rPr>
        <w:t>Signalisation ephrine avec les phosphokinases qui peuvent jouer sur la libération d’insuline.</w:t>
      </w:r>
    </w:p>
    <w:p w14:paraId="2A5AAE1C" w14:textId="77777777" w:rsidR="00ED4694" w:rsidRPr="00CF684E" w:rsidRDefault="00ED4694" w:rsidP="00ED4694">
      <w:pPr>
        <w:pStyle w:val="Sansinterligne"/>
        <w:jc w:val="both"/>
        <w:rPr>
          <w:rFonts w:ascii="Arial" w:hAnsi="Arial" w:cs="Arial"/>
          <w:i/>
          <w:iCs/>
          <w:color w:val="000000" w:themeColor="text1"/>
          <w:sz w:val="18"/>
          <w:szCs w:val="18"/>
          <w:lang w:eastAsia="fr-FR"/>
        </w:rPr>
      </w:pPr>
    </w:p>
    <w:p w14:paraId="73D64395" w14:textId="77777777" w:rsidR="00ED4694" w:rsidRPr="00CF684E" w:rsidRDefault="00ED4694" w:rsidP="00ED4694">
      <w:pPr>
        <w:pStyle w:val="Sansinterligne"/>
        <w:jc w:val="both"/>
        <w:rPr>
          <w:rFonts w:ascii="Arial" w:hAnsi="Arial" w:cs="Arial"/>
          <w:color w:val="000000" w:themeColor="text1"/>
          <w:sz w:val="18"/>
          <w:szCs w:val="18"/>
          <w:lang w:eastAsia="fr-FR"/>
        </w:rPr>
      </w:pPr>
      <w:r w:rsidRPr="00CF684E">
        <w:rPr>
          <w:rFonts w:ascii="Arial" w:hAnsi="Arial" w:cs="Arial"/>
          <w:color w:val="000000" w:themeColor="text1"/>
          <w:sz w:val="18"/>
          <w:szCs w:val="18"/>
          <w:lang w:eastAsia="fr-FR"/>
        </w:rPr>
        <w:t>Les flux de calciques sont synchronisés pour entrainer une activité qui permet un comportement pulsatile des ilots.</w:t>
      </w:r>
    </w:p>
    <w:p w14:paraId="7DEB9C0B" w14:textId="77777777" w:rsidR="00ED4694" w:rsidRPr="00CF684E" w:rsidRDefault="00ED4694" w:rsidP="00ED4694">
      <w:pPr>
        <w:pStyle w:val="Sansinterligne"/>
        <w:jc w:val="both"/>
        <w:rPr>
          <w:rFonts w:ascii="Arial" w:hAnsi="Arial" w:cs="Arial"/>
          <w:color w:val="000000" w:themeColor="text1"/>
          <w:sz w:val="18"/>
          <w:szCs w:val="18"/>
          <w:lang w:eastAsia="fr-FR"/>
        </w:rPr>
      </w:pPr>
    </w:p>
    <w:p w14:paraId="52CE4802" w14:textId="77777777" w:rsidR="00ED4694" w:rsidRPr="00CF684E" w:rsidRDefault="00ED4694" w:rsidP="00ED4694">
      <w:pPr>
        <w:pStyle w:val="Sansinterligne"/>
        <w:jc w:val="both"/>
        <w:rPr>
          <w:rFonts w:ascii="Arial" w:hAnsi="Arial" w:cs="Arial"/>
          <w:color w:val="000000" w:themeColor="text1"/>
          <w:sz w:val="18"/>
          <w:szCs w:val="18"/>
          <w:lang w:eastAsia="fr-FR"/>
        </w:rPr>
      </w:pPr>
    </w:p>
    <w:p w14:paraId="4EAD51DD" w14:textId="77777777" w:rsidR="00ED4694" w:rsidRPr="00CF684E" w:rsidRDefault="00ED4694" w:rsidP="00ED4694">
      <w:pPr>
        <w:pStyle w:val="Sansinterligne"/>
        <w:jc w:val="both"/>
        <w:rPr>
          <w:rFonts w:ascii="Arial" w:hAnsi="Arial" w:cs="Arial"/>
          <w:color w:val="000000" w:themeColor="text1"/>
          <w:sz w:val="18"/>
          <w:szCs w:val="18"/>
          <w:lang w:eastAsia="fr-FR"/>
        </w:rPr>
      </w:pPr>
    </w:p>
    <w:p w14:paraId="6A2A5CA8" w14:textId="77777777" w:rsidR="00ED4694" w:rsidRPr="00CF684E" w:rsidRDefault="00ED4694" w:rsidP="00ED4694">
      <w:pPr>
        <w:pStyle w:val="Sansinterligne"/>
        <w:jc w:val="both"/>
        <w:rPr>
          <w:rFonts w:ascii="Arial" w:hAnsi="Arial" w:cs="Arial"/>
          <w:color w:val="000000" w:themeColor="text1"/>
          <w:sz w:val="18"/>
          <w:szCs w:val="18"/>
          <w:lang w:eastAsia="fr-FR"/>
        </w:rPr>
      </w:pPr>
      <w:r w:rsidRPr="00CF684E">
        <w:rPr>
          <w:rFonts w:ascii="Arial" w:hAnsi="Arial" w:cs="Arial"/>
          <w:noProof/>
          <w:color w:val="000000" w:themeColor="text1"/>
          <w:sz w:val="18"/>
          <w:szCs w:val="18"/>
          <w:lang w:eastAsia="fr-FR"/>
        </w:rPr>
        <w:lastRenderedPageBreak/>
        <w:drawing>
          <wp:anchor distT="0" distB="0" distL="114300" distR="114300" simplePos="0" relativeHeight="251807744" behindDoc="1" locked="0" layoutInCell="1" allowOverlap="1" wp14:anchorId="5DB00623" wp14:editId="44E84894">
            <wp:simplePos x="0" y="0"/>
            <wp:positionH relativeFrom="column">
              <wp:posOffset>135255</wp:posOffset>
            </wp:positionH>
            <wp:positionV relativeFrom="paragraph">
              <wp:posOffset>0</wp:posOffset>
            </wp:positionV>
            <wp:extent cx="4257675" cy="2536190"/>
            <wp:effectExtent l="0" t="0" r="0" b="3810"/>
            <wp:wrapTight wrapText="bothSides">
              <wp:wrapPolygon edited="0">
                <wp:start x="0" y="0"/>
                <wp:lineTo x="0" y="21524"/>
                <wp:lineTo x="21519" y="21524"/>
                <wp:lineTo x="21519" y="0"/>
                <wp:lineTo x="0" y="0"/>
              </wp:wrapPolygon>
            </wp:wrapTight>
            <wp:docPr id="210638709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387096" name="Image 2106387096"/>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257675" cy="2536190"/>
                    </a:xfrm>
                    <a:prstGeom prst="rect">
                      <a:avLst/>
                    </a:prstGeom>
                  </pic:spPr>
                </pic:pic>
              </a:graphicData>
            </a:graphic>
            <wp14:sizeRelH relativeFrom="page">
              <wp14:pctWidth>0</wp14:pctWidth>
            </wp14:sizeRelH>
            <wp14:sizeRelV relativeFrom="page">
              <wp14:pctHeight>0</wp14:pctHeight>
            </wp14:sizeRelV>
          </wp:anchor>
        </w:drawing>
      </w:r>
      <w:r w:rsidRPr="00CF684E">
        <w:rPr>
          <w:rFonts w:ascii="Arial" w:hAnsi="Arial" w:cs="Arial"/>
          <w:color w:val="000000" w:themeColor="text1"/>
          <w:sz w:val="18"/>
          <w:szCs w:val="18"/>
          <w:lang w:eastAsia="fr-FR"/>
        </w:rPr>
        <w:t>Si on dissocie les ilots, les sécrétions d’insuline ne ressemblent à rien : sécrétion de glucagon augmentée …</w:t>
      </w:r>
    </w:p>
    <w:p w14:paraId="76317CE8" w14:textId="77777777" w:rsidR="00ED4694" w:rsidRPr="00CF684E" w:rsidRDefault="00ED4694" w:rsidP="00ED4694">
      <w:pPr>
        <w:pStyle w:val="Sansinterligne"/>
        <w:jc w:val="both"/>
        <w:rPr>
          <w:rFonts w:ascii="Arial" w:hAnsi="Arial" w:cs="Arial"/>
          <w:color w:val="000000" w:themeColor="text1"/>
          <w:sz w:val="18"/>
          <w:szCs w:val="18"/>
          <w:lang w:eastAsia="fr-FR"/>
        </w:rPr>
      </w:pPr>
    </w:p>
    <w:p w14:paraId="6391D55A" w14:textId="77777777" w:rsidR="00ED4694" w:rsidRPr="00CF684E" w:rsidRDefault="00ED4694" w:rsidP="00ED4694">
      <w:pPr>
        <w:pStyle w:val="Sansinterligne"/>
        <w:jc w:val="both"/>
        <w:rPr>
          <w:rFonts w:ascii="Arial" w:hAnsi="Arial" w:cs="Arial"/>
          <w:color w:val="000000" w:themeColor="text1"/>
          <w:sz w:val="18"/>
          <w:szCs w:val="18"/>
          <w:lang w:eastAsia="fr-FR"/>
        </w:rPr>
      </w:pPr>
    </w:p>
    <w:p w14:paraId="6CB2CE4F" w14:textId="77777777" w:rsidR="00ED4694" w:rsidRPr="00CF684E" w:rsidRDefault="00ED4694" w:rsidP="00ED4694">
      <w:pPr>
        <w:pStyle w:val="Sansinterligne"/>
        <w:jc w:val="both"/>
        <w:rPr>
          <w:rFonts w:ascii="Arial" w:hAnsi="Arial" w:cs="Arial"/>
          <w:color w:val="000000" w:themeColor="text1"/>
          <w:sz w:val="18"/>
          <w:szCs w:val="18"/>
          <w:lang w:eastAsia="fr-FR"/>
        </w:rPr>
      </w:pPr>
      <w:r w:rsidRPr="00CF684E">
        <w:rPr>
          <w:rFonts w:ascii="Arial" w:hAnsi="Arial" w:cs="Arial"/>
          <w:color w:val="000000" w:themeColor="text1"/>
          <w:sz w:val="18"/>
          <w:szCs w:val="18"/>
          <w:lang w:eastAsia="fr-FR"/>
        </w:rPr>
        <w:t xml:space="preserve">Les C </w:t>
      </w:r>
      <m:oMath>
        <m:r>
          <w:rPr>
            <w:rFonts w:ascii="Cambria Math" w:hAnsi="Cambria Math" w:cs="Arial"/>
            <w:color w:val="000000" w:themeColor="text1"/>
            <w:sz w:val="18"/>
            <w:szCs w:val="18"/>
            <w:lang w:eastAsia="fr-FR"/>
          </w:rPr>
          <m:t>β</m:t>
        </m:r>
      </m:oMath>
      <w:r w:rsidRPr="00CF684E">
        <w:rPr>
          <w:rFonts w:ascii="Arial" w:hAnsi="Arial" w:cs="Arial"/>
          <w:color w:val="000000" w:themeColor="text1"/>
          <w:sz w:val="18"/>
          <w:szCs w:val="18"/>
          <w:lang w:eastAsia="fr-FR"/>
        </w:rPr>
        <w:t xml:space="preserve"> sont importantes par rapport à l’ilot entier pour avoir un profil de libération normal. </w:t>
      </w:r>
    </w:p>
    <w:p w14:paraId="22A1AD21" w14:textId="77777777" w:rsidR="00ED4694" w:rsidRDefault="00ED4694" w:rsidP="00ED4694">
      <w:pPr>
        <w:pStyle w:val="Sansinterligne"/>
        <w:jc w:val="both"/>
        <w:rPr>
          <w:rFonts w:ascii="Arial" w:hAnsi="Arial" w:cs="Arial"/>
          <w:color w:val="000000" w:themeColor="text1"/>
          <w:sz w:val="18"/>
          <w:szCs w:val="18"/>
          <w:lang w:eastAsia="fr-FR"/>
        </w:rPr>
      </w:pPr>
      <w:r>
        <w:rPr>
          <w:rFonts w:ascii="Arial" w:hAnsi="Arial" w:cs="Arial"/>
          <w:noProof/>
          <w:color w:val="000000" w:themeColor="text1"/>
          <w:sz w:val="20"/>
          <w:szCs w:val="20"/>
          <w:lang w:eastAsia="fr-FR"/>
        </w:rPr>
        <w:drawing>
          <wp:anchor distT="0" distB="0" distL="114300" distR="114300" simplePos="0" relativeHeight="251809792" behindDoc="1" locked="0" layoutInCell="1" allowOverlap="1" wp14:anchorId="1E3523C5" wp14:editId="77A9F369">
            <wp:simplePos x="0" y="0"/>
            <wp:positionH relativeFrom="column">
              <wp:posOffset>4700905</wp:posOffset>
            </wp:positionH>
            <wp:positionV relativeFrom="paragraph">
              <wp:posOffset>66411</wp:posOffset>
            </wp:positionV>
            <wp:extent cx="1956435" cy="1349375"/>
            <wp:effectExtent l="0" t="0" r="0" b="0"/>
            <wp:wrapTight wrapText="bothSides">
              <wp:wrapPolygon edited="0">
                <wp:start x="0" y="0"/>
                <wp:lineTo x="0" y="21346"/>
                <wp:lineTo x="21453" y="21346"/>
                <wp:lineTo x="21453" y="0"/>
                <wp:lineTo x="0" y="0"/>
              </wp:wrapPolygon>
            </wp:wrapTight>
            <wp:docPr id="197358017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580176" name="Image 1973580176"/>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956435" cy="1349375"/>
                    </a:xfrm>
                    <a:prstGeom prst="rect">
                      <a:avLst/>
                    </a:prstGeom>
                  </pic:spPr>
                </pic:pic>
              </a:graphicData>
            </a:graphic>
            <wp14:sizeRelH relativeFrom="page">
              <wp14:pctWidth>0</wp14:pctWidth>
            </wp14:sizeRelH>
            <wp14:sizeRelV relativeFrom="page">
              <wp14:pctHeight>0</wp14:pctHeight>
            </wp14:sizeRelV>
          </wp:anchor>
        </w:drawing>
      </w:r>
    </w:p>
    <w:p w14:paraId="2F7B8B5A" w14:textId="77777777" w:rsidR="00ED4694" w:rsidRDefault="00ED4694" w:rsidP="00ED4694">
      <w:pPr>
        <w:pStyle w:val="Sansinterligne"/>
        <w:jc w:val="both"/>
        <w:rPr>
          <w:rFonts w:ascii="Arial" w:hAnsi="Arial" w:cs="Arial"/>
          <w:color w:val="000000" w:themeColor="text1"/>
          <w:sz w:val="18"/>
          <w:szCs w:val="18"/>
          <w:lang w:eastAsia="fr-FR"/>
        </w:rPr>
      </w:pPr>
      <w:r w:rsidRPr="00CF684E">
        <w:rPr>
          <w:rFonts w:ascii="Arial" w:hAnsi="Arial" w:cs="Arial"/>
          <w:color w:val="000000" w:themeColor="text1"/>
          <w:sz w:val="18"/>
          <w:szCs w:val="18"/>
          <w:lang w:eastAsia="fr-FR"/>
        </w:rPr>
        <w:t xml:space="preserve">L’interaction entre les C </w:t>
      </w:r>
      <w:r>
        <w:rPr>
          <w:rFonts w:ascii="Arial" w:hAnsi="Arial" w:cs="Arial"/>
          <w:color w:val="000000" w:themeColor="text1"/>
          <w:sz w:val="18"/>
          <w:szCs w:val="18"/>
          <w:lang w:eastAsia="fr-FR"/>
        </w:rPr>
        <w:t>est très</w:t>
      </w:r>
      <w:r w:rsidRPr="00CF684E">
        <w:rPr>
          <w:rFonts w:ascii="Arial" w:hAnsi="Arial" w:cs="Arial"/>
          <w:color w:val="000000" w:themeColor="text1"/>
          <w:sz w:val="18"/>
          <w:szCs w:val="18"/>
          <w:lang w:eastAsia="fr-FR"/>
        </w:rPr>
        <w:t xml:space="preserve"> importante</w:t>
      </w:r>
      <w:r>
        <w:rPr>
          <w:rFonts w:ascii="Arial" w:hAnsi="Arial" w:cs="Arial"/>
          <w:color w:val="000000" w:themeColor="text1"/>
          <w:sz w:val="18"/>
          <w:szCs w:val="18"/>
          <w:lang w:eastAsia="fr-FR"/>
        </w:rPr>
        <w:t>, notamment</w:t>
      </w:r>
      <w:r w:rsidRPr="00CF684E">
        <w:rPr>
          <w:rFonts w:ascii="Arial" w:hAnsi="Arial" w:cs="Arial"/>
          <w:color w:val="000000" w:themeColor="text1"/>
          <w:sz w:val="18"/>
          <w:szCs w:val="18"/>
          <w:lang w:eastAsia="fr-FR"/>
        </w:rPr>
        <w:t xml:space="preserve"> grâce au</w:t>
      </w:r>
      <w:r>
        <w:rPr>
          <w:rFonts w:ascii="Arial" w:hAnsi="Arial" w:cs="Arial"/>
          <w:color w:val="000000" w:themeColor="text1"/>
          <w:sz w:val="18"/>
          <w:szCs w:val="18"/>
          <w:lang w:eastAsia="fr-FR"/>
        </w:rPr>
        <w:t>x</w:t>
      </w:r>
      <w:r w:rsidRPr="00CF684E">
        <w:rPr>
          <w:rFonts w:ascii="Arial" w:hAnsi="Arial" w:cs="Arial"/>
          <w:color w:val="000000" w:themeColor="text1"/>
          <w:sz w:val="18"/>
          <w:szCs w:val="18"/>
          <w:lang w:eastAsia="fr-FR"/>
        </w:rPr>
        <w:t xml:space="preserve"> connexine</w:t>
      </w:r>
      <w:r>
        <w:rPr>
          <w:rFonts w:ascii="Arial" w:hAnsi="Arial" w:cs="Arial"/>
          <w:color w:val="000000" w:themeColor="text1"/>
          <w:sz w:val="18"/>
          <w:szCs w:val="18"/>
          <w:lang w:eastAsia="fr-FR"/>
        </w:rPr>
        <w:t>s</w:t>
      </w:r>
      <w:r w:rsidRPr="00CF684E">
        <w:rPr>
          <w:rFonts w:ascii="Arial" w:hAnsi="Arial" w:cs="Arial"/>
          <w:color w:val="000000" w:themeColor="text1"/>
          <w:sz w:val="18"/>
          <w:szCs w:val="18"/>
          <w:lang w:eastAsia="fr-FR"/>
        </w:rPr>
        <w:t xml:space="preserve"> 36. </w:t>
      </w:r>
    </w:p>
    <w:p w14:paraId="319DD6A9" w14:textId="77777777" w:rsidR="00ED4694" w:rsidRDefault="00ED4694" w:rsidP="00ED4694">
      <w:pPr>
        <w:pStyle w:val="Sansinterligne"/>
        <w:jc w:val="both"/>
        <w:rPr>
          <w:rFonts w:ascii="Arial" w:hAnsi="Arial" w:cs="Arial"/>
          <w:color w:val="000000" w:themeColor="text1"/>
          <w:sz w:val="18"/>
          <w:szCs w:val="18"/>
          <w:lang w:eastAsia="fr-FR"/>
        </w:rPr>
      </w:pPr>
      <w:r w:rsidRPr="00CF684E">
        <w:rPr>
          <w:rFonts w:ascii="Arial" w:hAnsi="Arial" w:cs="Arial"/>
          <w:color w:val="000000" w:themeColor="text1"/>
          <w:sz w:val="18"/>
          <w:szCs w:val="18"/>
          <w:lang w:eastAsia="fr-FR"/>
        </w:rPr>
        <w:t xml:space="preserve">La régulation autocrine est principalement inhibitrice avec </w:t>
      </w:r>
      <w:r>
        <w:rPr>
          <w:rFonts w:ascii="Arial" w:hAnsi="Arial" w:cs="Arial"/>
          <w:color w:val="000000" w:themeColor="text1"/>
          <w:sz w:val="18"/>
          <w:szCs w:val="18"/>
          <w:lang w:eastAsia="fr-FR"/>
        </w:rPr>
        <w:t xml:space="preserve">la </w:t>
      </w:r>
      <w:r w:rsidRPr="00CF684E">
        <w:rPr>
          <w:rFonts w:ascii="Arial" w:hAnsi="Arial" w:cs="Arial"/>
          <w:color w:val="000000" w:themeColor="text1"/>
          <w:sz w:val="18"/>
          <w:szCs w:val="18"/>
          <w:lang w:eastAsia="fr-FR"/>
        </w:rPr>
        <w:t xml:space="preserve">sécrétion de Zn2+, GHB, dopamine, sérotonine, Gaba. </w:t>
      </w:r>
    </w:p>
    <w:p w14:paraId="0F40D881" w14:textId="77777777" w:rsidR="00ED4694" w:rsidRDefault="00ED4694" w:rsidP="00ED4694">
      <w:pPr>
        <w:pStyle w:val="Sansinterligne"/>
        <w:jc w:val="both"/>
        <w:rPr>
          <w:rFonts w:ascii="Arial" w:hAnsi="Arial" w:cs="Arial"/>
          <w:color w:val="000000" w:themeColor="text1"/>
          <w:sz w:val="18"/>
          <w:szCs w:val="18"/>
          <w:lang w:eastAsia="fr-FR"/>
        </w:rPr>
      </w:pPr>
    </w:p>
    <w:p w14:paraId="45BE8ECD" w14:textId="77777777" w:rsidR="00ED4694" w:rsidRPr="00CF684E" w:rsidRDefault="00ED4694" w:rsidP="00ED4694">
      <w:pPr>
        <w:pStyle w:val="Sansinterligne"/>
        <w:numPr>
          <w:ilvl w:val="0"/>
          <w:numId w:val="239"/>
        </w:numPr>
        <w:jc w:val="both"/>
        <w:rPr>
          <w:rFonts w:ascii="Arial" w:hAnsi="Arial" w:cs="Arial"/>
          <w:color w:val="ED7D31" w:themeColor="accent2"/>
          <w:sz w:val="18"/>
          <w:szCs w:val="18"/>
          <w:u w:val="single"/>
          <w:lang w:eastAsia="fr-FR"/>
        </w:rPr>
      </w:pPr>
      <w:r w:rsidRPr="00CF684E">
        <w:rPr>
          <w:rFonts w:ascii="Arial" w:hAnsi="Arial" w:cs="Arial"/>
          <w:color w:val="ED7D31" w:themeColor="accent2"/>
          <w:sz w:val="18"/>
          <w:szCs w:val="18"/>
          <w:u w:val="single"/>
          <w:lang w:eastAsia="fr-FR"/>
        </w:rPr>
        <w:t xml:space="preserve">Les cellules </w:t>
      </w:r>
      <m:oMath>
        <m:r>
          <w:rPr>
            <w:rFonts w:ascii="Cambria Math" w:hAnsi="Cambria Math" w:cs="Arial"/>
            <w:color w:val="ED7D31" w:themeColor="accent2"/>
            <w:sz w:val="18"/>
            <w:szCs w:val="18"/>
            <w:u w:val="single"/>
            <w:lang w:eastAsia="fr-FR"/>
          </w:rPr>
          <m:t>α</m:t>
        </m:r>
      </m:oMath>
    </w:p>
    <w:p w14:paraId="3A792251" w14:textId="77777777" w:rsidR="00ED4694" w:rsidRPr="00CF684E" w:rsidRDefault="00ED4694" w:rsidP="00ED4694">
      <w:pPr>
        <w:pStyle w:val="Sansinterligne"/>
        <w:jc w:val="both"/>
        <w:rPr>
          <w:rFonts w:ascii="Arial" w:hAnsi="Arial" w:cs="Arial"/>
          <w:color w:val="000000" w:themeColor="text1"/>
          <w:sz w:val="18"/>
          <w:szCs w:val="18"/>
          <w:lang w:eastAsia="fr-FR"/>
        </w:rPr>
      </w:pPr>
      <w:r w:rsidRPr="00CF684E">
        <w:rPr>
          <w:rFonts w:ascii="Arial" w:hAnsi="Arial" w:cs="Arial"/>
          <w:color w:val="000000" w:themeColor="text1"/>
          <w:sz w:val="18"/>
          <w:szCs w:val="18"/>
          <w:lang w:eastAsia="fr-FR"/>
        </w:rPr>
        <w:t xml:space="preserve">En cas d’hypoglycémie (taux de glucose inférieur à 4 mM), les C </w:t>
      </w:r>
      <m:oMath>
        <m:r>
          <w:rPr>
            <w:rFonts w:ascii="Cambria Math" w:hAnsi="Cambria Math" w:cs="Arial"/>
            <w:color w:val="000000" w:themeColor="text1"/>
            <w:sz w:val="18"/>
            <w:szCs w:val="18"/>
            <w:lang w:eastAsia="fr-FR"/>
          </w:rPr>
          <m:t>α</m:t>
        </m:r>
      </m:oMath>
      <w:r w:rsidRPr="00CF684E">
        <w:rPr>
          <w:rFonts w:ascii="Arial" w:hAnsi="Arial" w:cs="Arial"/>
          <w:color w:val="000000" w:themeColor="text1"/>
          <w:sz w:val="18"/>
          <w:szCs w:val="18"/>
          <w:lang w:eastAsia="fr-FR"/>
        </w:rPr>
        <w:t xml:space="preserve"> sécrètent du glucagon</w:t>
      </w:r>
      <w:r>
        <w:rPr>
          <w:rFonts w:ascii="Arial" w:hAnsi="Arial" w:cs="Arial"/>
          <w:color w:val="000000" w:themeColor="text1"/>
          <w:sz w:val="18"/>
          <w:szCs w:val="18"/>
          <w:lang w:eastAsia="fr-FR"/>
        </w:rPr>
        <w:t xml:space="preserve">, </w:t>
      </w:r>
      <w:r w:rsidRPr="00CF684E">
        <w:rPr>
          <w:rFonts w:ascii="Arial" w:hAnsi="Arial" w:cs="Arial"/>
          <w:color w:val="000000" w:themeColor="text1"/>
          <w:sz w:val="18"/>
          <w:szCs w:val="18"/>
          <w:lang w:eastAsia="fr-FR"/>
        </w:rPr>
        <w:t>stimul</w:t>
      </w:r>
      <w:r>
        <w:rPr>
          <w:rFonts w:ascii="Arial" w:hAnsi="Arial" w:cs="Arial"/>
          <w:color w:val="000000" w:themeColor="text1"/>
          <w:sz w:val="18"/>
          <w:szCs w:val="18"/>
          <w:lang w:eastAsia="fr-FR"/>
        </w:rPr>
        <w:t>ant</w:t>
      </w:r>
      <w:r w:rsidRPr="00CF684E">
        <w:rPr>
          <w:rFonts w:ascii="Arial" w:hAnsi="Arial" w:cs="Arial"/>
          <w:color w:val="000000" w:themeColor="text1"/>
          <w:sz w:val="18"/>
          <w:szCs w:val="18"/>
          <w:lang w:eastAsia="fr-FR"/>
        </w:rPr>
        <w:t xml:space="preserve"> la production du glucose par le foie. En cas de normo glycémie, la sécrétion de glucagon est supprimée (si taux de glucose supérieur à 7 mM).</w:t>
      </w:r>
    </w:p>
    <w:p w14:paraId="54266114" w14:textId="77777777" w:rsidR="00ED4694" w:rsidRPr="00CF684E" w:rsidRDefault="00ED4694" w:rsidP="00ED4694">
      <w:pPr>
        <w:pStyle w:val="Sansinterligne"/>
        <w:jc w:val="both"/>
        <w:rPr>
          <w:rFonts w:ascii="Arial" w:hAnsi="Arial" w:cs="Arial"/>
          <w:color w:val="000000" w:themeColor="text1"/>
          <w:sz w:val="18"/>
          <w:szCs w:val="18"/>
          <w:lang w:eastAsia="fr-FR"/>
        </w:rPr>
      </w:pPr>
      <w:r w:rsidRPr="00CF684E">
        <w:rPr>
          <w:rFonts w:ascii="Arial" w:hAnsi="Arial" w:cs="Arial"/>
          <w:color w:val="000000" w:themeColor="text1"/>
          <w:sz w:val="18"/>
          <w:szCs w:val="18"/>
          <w:lang w:eastAsia="fr-FR"/>
        </w:rPr>
        <w:t xml:space="preserve">Le glucagon affecte </w:t>
      </w:r>
      <w:r>
        <w:rPr>
          <w:rFonts w:ascii="Arial" w:hAnsi="Arial" w:cs="Arial"/>
          <w:color w:val="000000" w:themeColor="text1"/>
          <w:sz w:val="18"/>
          <w:szCs w:val="18"/>
          <w:lang w:eastAsia="fr-FR"/>
        </w:rPr>
        <w:t xml:space="preserve">donc </w:t>
      </w:r>
      <w:r w:rsidRPr="00CF684E">
        <w:rPr>
          <w:rFonts w:ascii="Arial" w:hAnsi="Arial" w:cs="Arial"/>
          <w:color w:val="000000" w:themeColor="text1"/>
          <w:sz w:val="18"/>
          <w:szCs w:val="18"/>
          <w:lang w:eastAsia="fr-FR"/>
        </w:rPr>
        <w:t xml:space="preserve">la production du glucose par le foie et potentialise la sécrétion d’insuline. </w:t>
      </w:r>
    </w:p>
    <w:p w14:paraId="5F672C6F" w14:textId="77777777" w:rsidR="00ED4694" w:rsidRPr="00CF684E" w:rsidRDefault="00ED4694" w:rsidP="00ED4694">
      <w:pPr>
        <w:pStyle w:val="Sansinterligne"/>
        <w:jc w:val="both"/>
        <w:rPr>
          <w:rFonts w:ascii="Arial" w:hAnsi="Arial" w:cs="Arial"/>
          <w:color w:val="000000" w:themeColor="text1"/>
          <w:sz w:val="18"/>
          <w:szCs w:val="18"/>
          <w:lang w:eastAsia="fr-FR"/>
        </w:rPr>
      </w:pPr>
      <w:r w:rsidRPr="00CF684E">
        <w:rPr>
          <w:rFonts w:ascii="Arial" w:hAnsi="Arial" w:cs="Arial"/>
          <w:color w:val="000000" w:themeColor="text1"/>
          <w:sz w:val="18"/>
          <w:szCs w:val="18"/>
          <w:lang w:eastAsia="fr-FR"/>
        </w:rPr>
        <w:t xml:space="preserve">On ne connait pas de maladie résultant de défaut de sécrétion de glucagon. Mais dans le diabète, </w:t>
      </w:r>
      <w:r>
        <w:rPr>
          <w:rFonts w:ascii="Arial" w:hAnsi="Arial" w:cs="Arial"/>
          <w:color w:val="000000" w:themeColor="text1"/>
          <w:sz w:val="18"/>
          <w:szCs w:val="18"/>
          <w:lang w:eastAsia="fr-FR"/>
        </w:rPr>
        <w:t xml:space="preserve">on a remarqué une </w:t>
      </w:r>
      <w:r w:rsidRPr="00CF684E">
        <w:rPr>
          <w:rFonts w:ascii="Arial" w:hAnsi="Arial" w:cs="Arial"/>
          <w:color w:val="000000" w:themeColor="text1"/>
          <w:sz w:val="18"/>
          <w:szCs w:val="18"/>
          <w:lang w:eastAsia="fr-FR"/>
        </w:rPr>
        <w:t xml:space="preserve">différence avec C </w:t>
      </w:r>
      <m:oMath>
        <m:r>
          <w:rPr>
            <w:rFonts w:ascii="Cambria Math" w:hAnsi="Cambria Math" w:cs="Arial"/>
            <w:color w:val="000000" w:themeColor="text1"/>
            <w:sz w:val="18"/>
            <w:szCs w:val="18"/>
            <w:lang w:eastAsia="fr-FR"/>
          </w:rPr>
          <m:t>α</m:t>
        </m:r>
      </m:oMath>
      <w:r w:rsidRPr="00CF684E">
        <w:rPr>
          <w:rFonts w:ascii="Arial" w:hAnsi="Arial" w:cs="Arial"/>
          <w:color w:val="000000" w:themeColor="text1"/>
          <w:sz w:val="18"/>
          <w:szCs w:val="18"/>
          <w:lang w:eastAsia="fr-FR"/>
        </w:rPr>
        <w:t xml:space="preserve"> saine</w:t>
      </w:r>
      <w:r>
        <w:rPr>
          <w:rFonts w:ascii="Arial" w:hAnsi="Arial" w:cs="Arial"/>
          <w:color w:val="000000" w:themeColor="text1"/>
          <w:sz w:val="18"/>
          <w:szCs w:val="18"/>
          <w:lang w:eastAsia="fr-FR"/>
        </w:rPr>
        <w:t xml:space="preserve">, </w:t>
      </w:r>
      <w:r w:rsidRPr="00CF684E">
        <w:rPr>
          <w:rFonts w:ascii="Arial" w:hAnsi="Arial" w:cs="Arial"/>
          <w:color w:val="000000" w:themeColor="text1"/>
          <w:sz w:val="18"/>
          <w:szCs w:val="18"/>
          <w:lang w:eastAsia="fr-FR"/>
        </w:rPr>
        <w:t xml:space="preserve">preuve d’un dysfonctionnement des C </w:t>
      </w:r>
      <m:oMath>
        <m:r>
          <w:rPr>
            <w:rFonts w:ascii="Cambria Math" w:hAnsi="Cambria Math" w:cs="Arial"/>
            <w:color w:val="000000" w:themeColor="text1"/>
            <w:sz w:val="18"/>
            <w:szCs w:val="18"/>
            <w:lang w:eastAsia="fr-FR"/>
          </w:rPr>
          <m:t>α</m:t>
        </m:r>
      </m:oMath>
      <w:r w:rsidRPr="00CF684E">
        <w:rPr>
          <w:rFonts w:ascii="Arial" w:hAnsi="Arial" w:cs="Arial"/>
          <w:color w:val="000000" w:themeColor="text1"/>
          <w:sz w:val="18"/>
          <w:szCs w:val="18"/>
          <w:lang w:eastAsia="fr-FR"/>
        </w:rPr>
        <w:t xml:space="preserve"> dans le diabète.</w:t>
      </w:r>
      <w:r>
        <w:rPr>
          <w:rFonts w:ascii="Arial" w:hAnsi="Arial" w:cs="Arial"/>
          <w:color w:val="000000" w:themeColor="text1"/>
          <w:sz w:val="18"/>
          <w:szCs w:val="18"/>
          <w:lang w:eastAsia="fr-FR"/>
        </w:rPr>
        <w:t xml:space="preserve"> </w:t>
      </w:r>
      <w:r w:rsidRPr="00CF684E">
        <w:rPr>
          <w:rFonts w:ascii="Arial" w:hAnsi="Arial" w:cs="Arial"/>
          <w:color w:val="000000" w:themeColor="text1"/>
          <w:sz w:val="18"/>
          <w:szCs w:val="18"/>
          <w:lang w:eastAsia="fr-FR"/>
        </w:rPr>
        <w:t>Dans le diabète,</w:t>
      </w:r>
      <w:r>
        <w:rPr>
          <w:rFonts w:ascii="Arial" w:hAnsi="Arial" w:cs="Arial"/>
          <w:color w:val="000000" w:themeColor="text1"/>
          <w:sz w:val="18"/>
          <w:szCs w:val="18"/>
          <w:lang w:eastAsia="fr-FR"/>
        </w:rPr>
        <w:t xml:space="preserve"> se produit une</w:t>
      </w:r>
      <w:r w:rsidRPr="00CF684E">
        <w:rPr>
          <w:rFonts w:ascii="Arial" w:hAnsi="Arial" w:cs="Arial"/>
          <w:color w:val="000000" w:themeColor="text1"/>
          <w:sz w:val="18"/>
          <w:szCs w:val="18"/>
          <w:lang w:eastAsia="fr-FR"/>
        </w:rPr>
        <w:t xml:space="preserve"> hypersécrétion incontrôlée de glucagon dans les C </w:t>
      </w:r>
      <m:oMath>
        <m:r>
          <w:rPr>
            <w:rFonts w:ascii="Cambria Math" w:hAnsi="Cambria Math" w:cs="Arial"/>
            <w:color w:val="000000" w:themeColor="text1"/>
            <w:sz w:val="18"/>
            <w:szCs w:val="18"/>
            <w:lang w:eastAsia="fr-FR"/>
          </w:rPr>
          <m:t>α</m:t>
        </m:r>
      </m:oMath>
      <w:r w:rsidRPr="00CF684E">
        <w:rPr>
          <w:rFonts w:ascii="Arial" w:hAnsi="Arial" w:cs="Arial"/>
          <w:color w:val="000000" w:themeColor="text1"/>
          <w:sz w:val="18"/>
          <w:szCs w:val="18"/>
          <w:lang w:eastAsia="fr-FR"/>
        </w:rPr>
        <w:t xml:space="preserve"> </w:t>
      </w:r>
      <w:r>
        <w:rPr>
          <w:rFonts w:ascii="Arial" w:hAnsi="Arial" w:cs="Arial"/>
          <w:color w:val="000000" w:themeColor="text1"/>
          <w:sz w:val="18"/>
          <w:szCs w:val="18"/>
          <w:lang w:eastAsia="fr-FR"/>
        </w:rPr>
        <w:t xml:space="preserve">(= </w:t>
      </w:r>
      <w:r w:rsidRPr="00CF684E">
        <w:rPr>
          <w:rFonts w:ascii="Arial" w:hAnsi="Arial" w:cs="Arial"/>
          <w:color w:val="000000" w:themeColor="text1"/>
          <w:sz w:val="18"/>
          <w:szCs w:val="18"/>
          <w:lang w:eastAsia="fr-FR"/>
        </w:rPr>
        <w:t>hyperglucagonémie</w:t>
      </w:r>
      <w:r>
        <w:rPr>
          <w:rFonts w:ascii="Arial" w:hAnsi="Arial" w:cs="Arial"/>
          <w:color w:val="000000" w:themeColor="text1"/>
          <w:sz w:val="18"/>
          <w:szCs w:val="18"/>
          <w:lang w:eastAsia="fr-FR"/>
        </w:rPr>
        <w:t>)</w:t>
      </w:r>
      <w:r w:rsidRPr="00CF684E">
        <w:rPr>
          <w:rFonts w:ascii="Arial" w:hAnsi="Arial" w:cs="Arial"/>
          <w:color w:val="000000" w:themeColor="text1"/>
          <w:sz w:val="18"/>
          <w:szCs w:val="18"/>
          <w:lang w:eastAsia="fr-FR"/>
        </w:rPr>
        <w:t xml:space="preserve">, qui aggrave l’hyperglycémie. </w:t>
      </w:r>
    </w:p>
    <w:p w14:paraId="142074F2" w14:textId="77777777" w:rsidR="00ED4694" w:rsidRPr="00CF684E" w:rsidRDefault="00ED4694" w:rsidP="00ED4694">
      <w:pPr>
        <w:pStyle w:val="Sansinterligne"/>
        <w:jc w:val="both"/>
        <w:rPr>
          <w:rFonts w:ascii="Arial" w:hAnsi="Arial" w:cs="Arial"/>
          <w:color w:val="000000" w:themeColor="text1"/>
          <w:sz w:val="18"/>
          <w:szCs w:val="18"/>
          <w:lang w:eastAsia="fr-FR"/>
        </w:rPr>
      </w:pPr>
      <w:r w:rsidRPr="00CF684E">
        <w:rPr>
          <w:rFonts w:ascii="Arial" w:hAnsi="Arial" w:cs="Arial"/>
          <w:color w:val="000000" w:themeColor="text1"/>
          <w:sz w:val="18"/>
          <w:szCs w:val="18"/>
          <w:lang w:eastAsia="fr-FR"/>
        </w:rPr>
        <w:t>Les thérapies à base de glucagon rétabliss</w:t>
      </w:r>
      <w:r>
        <w:rPr>
          <w:rFonts w:ascii="Arial" w:hAnsi="Arial" w:cs="Arial"/>
          <w:color w:val="000000" w:themeColor="text1"/>
          <w:sz w:val="18"/>
          <w:szCs w:val="18"/>
          <w:lang w:eastAsia="fr-FR"/>
        </w:rPr>
        <w:t>a</w:t>
      </w:r>
      <w:r w:rsidRPr="00CF684E">
        <w:rPr>
          <w:rFonts w:ascii="Arial" w:hAnsi="Arial" w:cs="Arial"/>
          <w:color w:val="000000" w:themeColor="text1"/>
          <w:sz w:val="18"/>
          <w:szCs w:val="18"/>
          <w:lang w:eastAsia="fr-FR"/>
        </w:rPr>
        <w:t>nt efficacement la glycémie normale sont en d</w:t>
      </w:r>
      <w:r>
        <w:rPr>
          <w:rFonts w:ascii="Arial" w:hAnsi="Arial" w:cs="Arial"/>
          <w:color w:val="000000" w:themeColor="text1"/>
          <w:sz w:val="18"/>
          <w:szCs w:val="18"/>
          <w:lang w:eastAsia="fr-FR"/>
        </w:rPr>
        <w:t>éveloppement</w:t>
      </w:r>
      <w:r w:rsidRPr="00CF684E">
        <w:rPr>
          <w:rFonts w:ascii="Arial" w:hAnsi="Arial" w:cs="Arial"/>
          <w:color w:val="000000" w:themeColor="text1"/>
          <w:sz w:val="18"/>
          <w:szCs w:val="18"/>
          <w:lang w:eastAsia="fr-FR"/>
        </w:rPr>
        <w:t>, principalement au</w:t>
      </w:r>
      <w:r>
        <w:rPr>
          <w:rFonts w:ascii="Arial" w:hAnsi="Arial" w:cs="Arial"/>
          <w:color w:val="000000" w:themeColor="text1"/>
          <w:sz w:val="18"/>
          <w:szCs w:val="18"/>
          <w:lang w:eastAsia="fr-FR"/>
        </w:rPr>
        <w:t>x</w:t>
      </w:r>
      <w:r w:rsidRPr="00CF684E">
        <w:rPr>
          <w:rFonts w:ascii="Arial" w:hAnsi="Arial" w:cs="Arial"/>
          <w:color w:val="000000" w:themeColor="text1"/>
          <w:sz w:val="18"/>
          <w:szCs w:val="18"/>
          <w:lang w:eastAsia="fr-FR"/>
        </w:rPr>
        <w:t xml:space="preserve"> USA. </w:t>
      </w:r>
    </w:p>
    <w:p w14:paraId="3C331A7E" w14:textId="77777777" w:rsidR="00ED4694" w:rsidRDefault="00ED4694" w:rsidP="00ED4694">
      <w:pPr>
        <w:pStyle w:val="Sansinterligne"/>
        <w:jc w:val="both"/>
        <w:rPr>
          <w:rFonts w:ascii="Arial" w:hAnsi="Arial" w:cs="Arial"/>
          <w:color w:val="000000" w:themeColor="text1"/>
          <w:sz w:val="18"/>
          <w:szCs w:val="18"/>
          <w:lang w:eastAsia="fr-FR"/>
        </w:rPr>
      </w:pPr>
    </w:p>
    <w:p w14:paraId="0F8C1E8E" w14:textId="77777777" w:rsidR="00ED4694" w:rsidRPr="00CF684E" w:rsidRDefault="00ED4694" w:rsidP="00ED4694">
      <w:pPr>
        <w:pStyle w:val="Sansinterligne"/>
        <w:jc w:val="both"/>
        <w:rPr>
          <w:rFonts w:ascii="Arial" w:hAnsi="Arial" w:cs="Arial"/>
          <w:color w:val="000000" w:themeColor="text1"/>
          <w:sz w:val="18"/>
          <w:szCs w:val="18"/>
          <w:lang w:eastAsia="fr-FR"/>
        </w:rPr>
      </w:pPr>
      <w:r>
        <w:rPr>
          <w:rFonts w:ascii="Arial" w:hAnsi="Arial" w:cs="Arial"/>
          <w:color w:val="000000" w:themeColor="text1"/>
          <w:sz w:val="18"/>
          <w:szCs w:val="18"/>
          <w:lang w:eastAsia="fr-FR"/>
        </w:rPr>
        <w:t xml:space="preserve">Il </w:t>
      </w:r>
      <w:r w:rsidRPr="00B93BDD">
        <w:rPr>
          <w:rFonts w:ascii="Arial" w:hAnsi="Arial" w:cs="Arial"/>
          <w:b/>
          <w:bCs/>
          <w:color w:val="000000" w:themeColor="text1"/>
          <w:sz w:val="18"/>
          <w:szCs w:val="18"/>
          <w:lang w:eastAsia="fr-FR"/>
        </w:rPr>
        <w:t>existe 2 modèles de sécrétion</w:t>
      </w:r>
      <w:r w:rsidRPr="00CF684E">
        <w:rPr>
          <w:rFonts w:ascii="Arial" w:hAnsi="Arial" w:cs="Arial"/>
          <w:color w:val="000000" w:themeColor="text1"/>
          <w:sz w:val="18"/>
          <w:szCs w:val="18"/>
          <w:lang w:eastAsia="fr-FR"/>
        </w:rPr>
        <w:t xml:space="preserve"> glucagon</w:t>
      </w:r>
      <w:r>
        <w:rPr>
          <w:rFonts w:ascii="Arial" w:hAnsi="Arial" w:cs="Arial"/>
          <w:color w:val="000000" w:themeColor="text1"/>
          <w:sz w:val="18"/>
          <w:szCs w:val="18"/>
          <w:lang w:eastAsia="fr-FR"/>
        </w:rPr>
        <w:t xml:space="preserve">, </w:t>
      </w:r>
      <w:r w:rsidRPr="00CF684E">
        <w:rPr>
          <w:rFonts w:ascii="Arial" w:hAnsi="Arial" w:cs="Arial"/>
          <w:color w:val="000000" w:themeColor="text1"/>
          <w:sz w:val="18"/>
          <w:szCs w:val="18"/>
          <w:lang w:eastAsia="fr-FR"/>
        </w:rPr>
        <w:t>médiée par le glucose</w:t>
      </w:r>
      <w:r>
        <w:rPr>
          <w:rFonts w:ascii="Arial" w:hAnsi="Arial" w:cs="Arial"/>
          <w:color w:val="000000" w:themeColor="text1"/>
          <w:sz w:val="18"/>
          <w:szCs w:val="18"/>
          <w:lang w:eastAsia="fr-FR"/>
        </w:rPr>
        <w:t xml:space="preserve"> </w:t>
      </w:r>
      <w:r w:rsidRPr="00CF684E">
        <w:rPr>
          <w:rFonts w:ascii="Arial" w:hAnsi="Arial" w:cs="Arial"/>
          <w:color w:val="000000" w:themeColor="text1"/>
          <w:sz w:val="18"/>
          <w:szCs w:val="18"/>
          <w:lang w:eastAsia="fr-FR"/>
        </w:rPr>
        <w:t xml:space="preserve">: </w:t>
      </w:r>
    </w:p>
    <w:p w14:paraId="0D7CEBB4" w14:textId="77777777" w:rsidR="00ED4694" w:rsidRDefault="00ED4694" w:rsidP="00ED4694">
      <w:pPr>
        <w:pStyle w:val="Sansinterligne"/>
        <w:numPr>
          <w:ilvl w:val="0"/>
          <w:numId w:val="140"/>
        </w:numPr>
        <w:jc w:val="both"/>
        <w:rPr>
          <w:rFonts w:ascii="Arial" w:hAnsi="Arial" w:cs="Arial"/>
          <w:color w:val="000000" w:themeColor="text1"/>
          <w:sz w:val="18"/>
          <w:szCs w:val="18"/>
          <w:lang w:eastAsia="fr-FR"/>
        </w:rPr>
      </w:pPr>
      <w:r w:rsidRPr="00726D27">
        <w:rPr>
          <w:rFonts w:ascii="Arial" w:hAnsi="Arial" w:cs="Arial"/>
          <w:color w:val="000000" w:themeColor="text1"/>
          <w:sz w:val="18"/>
          <w:szCs w:val="18"/>
          <w:u w:val="single"/>
          <w:lang w:eastAsia="fr-FR"/>
        </w:rPr>
        <w:t>Modèle électrophysiologique</w:t>
      </w:r>
      <w:r w:rsidRPr="00CF684E">
        <w:rPr>
          <w:rFonts w:ascii="Arial" w:hAnsi="Arial" w:cs="Arial"/>
          <w:color w:val="000000" w:themeColor="text1"/>
          <w:sz w:val="18"/>
          <w:szCs w:val="18"/>
          <w:lang w:eastAsia="fr-FR"/>
        </w:rPr>
        <w:t xml:space="preserve"> : rapport ATP/ADP augmenté </w:t>
      </w:r>
      <w:r w:rsidRPr="00CF684E">
        <w:rPr>
          <w:rFonts w:ascii="Arial" w:hAnsi="Arial" w:cs="Arial"/>
          <w:color w:val="000000" w:themeColor="text1"/>
          <w:sz w:val="18"/>
          <w:szCs w:val="18"/>
          <w:lang w:eastAsia="fr-FR"/>
        </w:rPr>
        <w:sym w:font="Wingdings" w:char="F0E0"/>
      </w:r>
      <w:r w:rsidRPr="00CF684E">
        <w:rPr>
          <w:rFonts w:ascii="Arial" w:hAnsi="Arial" w:cs="Arial"/>
          <w:color w:val="000000" w:themeColor="text1"/>
          <w:sz w:val="18"/>
          <w:szCs w:val="18"/>
          <w:lang w:eastAsia="fr-FR"/>
        </w:rPr>
        <w:t xml:space="preserve"> inhibition canaux K+ membranaire </w:t>
      </w:r>
      <w:r w:rsidRPr="00CF684E">
        <w:rPr>
          <w:rFonts w:ascii="Arial" w:hAnsi="Arial" w:cs="Arial"/>
          <w:color w:val="000000" w:themeColor="text1"/>
          <w:sz w:val="18"/>
          <w:szCs w:val="18"/>
          <w:lang w:eastAsia="fr-FR"/>
        </w:rPr>
        <w:sym w:font="Wingdings" w:char="F0E0"/>
      </w:r>
      <w:r w:rsidRPr="00CF684E">
        <w:rPr>
          <w:rFonts w:ascii="Arial" w:hAnsi="Arial" w:cs="Arial"/>
          <w:color w:val="000000" w:themeColor="text1"/>
          <w:sz w:val="18"/>
          <w:szCs w:val="18"/>
          <w:lang w:eastAsia="fr-FR"/>
        </w:rPr>
        <w:t xml:space="preserve"> dépolarisation </w:t>
      </w:r>
      <w:r w:rsidRPr="00CF684E">
        <w:rPr>
          <w:rFonts w:ascii="Arial" w:hAnsi="Arial" w:cs="Arial"/>
          <w:color w:val="000000" w:themeColor="text1"/>
          <w:sz w:val="18"/>
          <w:szCs w:val="18"/>
          <w:lang w:eastAsia="fr-FR"/>
        </w:rPr>
        <w:sym w:font="Wingdings" w:char="F0E0"/>
      </w:r>
      <w:r w:rsidRPr="00CF684E">
        <w:rPr>
          <w:rFonts w:ascii="Arial" w:hAnsi="Arial" w:cs="Arial"/>
          <w:color w:val="000000" w:themeColor="text1"/>
          <w:sz w:val="18"/>
          <w:szCs w:val="18"/>
          <w:lang w:eastAsia="fr-FR"/>
        </w:rPr>
        <w:t xml:space="preserve"> activation canaux Ca2+ voltage d</w:t>
      </w:r>
      <w:r>
        <w:rPr>
          <w:rFonts w:ascii="Arial" w:hAnsi="Arial" w:cs="Arial"/>
          <w:color w:val="000000" w:themeColor="text1"/>
          <w:sz w:val="18"/>
          <w:szCs w:val="18"/>
          <w:lang w:eastAsia="fr-FR"/>
        </w:rPr>
        <w:t>épendant</w:t>
      </w:r>
      <w:r w:rsidRPr="00CF684E">
        <w:rPr>
          <w:rFonts w:ascii="Arial" w:hAnsi="Arial" w:cs="Arial"/>
          <w:color w:val="000000" w:themeColor="text1"/>
          <w:sz w:val="18"/>
          <w:szCs w:val="18"/>
          <w:lang w:eastAsia="fr-FR"/>
        </w:rPr>
        <w:t xml:space="preserve"> </w:t>
      </w:r>
      <w:r w:rsidRPr="00CF684E">
        <w:rPr>
          <w:rFonts w:ascii="Arial" w:hAnsi="Arial" w:cs="Arial"/>
          <w:color w:val="000000" w:themeColor="text1"/>
          <w:sz w:val="18"/>
          <w:szCs w:val="18"/>
          <w:lang w:eastAsia="fr-FR"/>
        </w:rPr>
        <w:sym w:font="Wingdings" w:char="F0E0"/>
      </w:r>
      <w:r w:rsidRPr="00CF684E">
        <w:rPr>
          <w:rFonts w:ascii="Arial" w:hAnsi="Arial" w:cs="Arial"/>
          <w:color w:val="000000" w:themeColor="text1"/>
          <w:sz w:val="18"/>
          <w:szCs w:val="18"/>
          <w:lang w:eastAsia="fr-FR"/>
        </w:rPr>
        <w:t xml:space="preserve"> entrée Ca2+ qui se fixe sur vésicules contenant glucagon </w:t>
      </w:r>
      <w:r w:rsidRPr="00CF684E">
        <w:rPr>
          <w:rFonts w:ascii="Arial" w:hAnsi="Arial" w:cs="Arial"/>
          <w:color w:val="000000" w:themeColor="text1"/>
          <w:sz w:val="18"/>
          <w:szCs w:val="18"/>
          <w:lang w:eastAsia="fr-FR"/>
        </w:rPr>
        <w:sym w:font="Wingdings" w:char="F0E0"/>
      </w:r>
      <w:r w:rsidRPr="00CF684E">
        <w:rPr>
          <w:rFonts w:ascii="Arial" w:hAnsi="Arial" w:cs="Arial"/>
          <w:color w:val="000000" w:themeColor="text1"/>
          <w:sz w:val="18"/>
          <w:szCs w:val="18"/>
          <w:lang w:eastAsia="fr-FR"/>
        </w:rPr>
        <w:t xml:space="preserve"> exocytose glucagon </w:t>
      </w:r>
    </w:p>
    <w:p w14:paraId="0C6B2220" w14:textId="77777777" w:rsidR="00ED4694" w:rsidRPr="00CF684E" w:rsidRDefault="00ED4694" w:rsidP="00ED4694">
      <w:pPr>
        <w:pStyle w:val="Sansinterligne"/>
        <w:ind w:left="360"/>
        <w:jc w:val="both"/>
        <w:rPr>
          <w:rFonts w:ascii="Arial" w:hAnsi="Arial" w:cs="Arial"/>
          <w:color w:val="000000" w:themeColor="text1"/>
          <w:sz w:val="18"/>
          <w:szCs w:val="18"/>
          <w:lang w:eastAsia="fr-FR"/>
        </w:rPr>
      </w:pPr>
    </w:p>
    <w:p w14:paraId="0508CEEA" w14:textId="77777777" w:rsidR="00ED4694" w:rsidRPr="00CF684E" w:rsidRDefault="00ED4694" w:rsidP="00ED4694">
      <w:pPr>
        <w:pStyle w:val="Sansinterligne"/>
        <w:numPr>
          <w:ilvl w:val="0"/>
          <w:numId w:val="140"/>
        </w:numPr>
        <w:jc w:val="both"/>
        <w:rPr>
          <w:rFonts w:ascii="Arial" w:hAnsi="Arial" w:cs="Arial"/>
          <w:color w:val="000000" w:themeColor="text1"/>
          <w:sz w:val="18"/>
          <w:szCs w:val="18"/>
          <w:lang w:eastAsia="fr-FR"/>
        </w:rPr>
      </w:pPr>
      <w:r w:rsidRPr="00726D27">
        <w:rPr>
          <w:rFonts w:ascii="Arial" w:hAnsi="Arial" w:cs="Arial"/>
          <w:color w:val="000000" w:themeColor="text1"/>
          <w:sz w:val="18"/>
          <w:szCs w:val="18"/>
          <w:u w:val="single"/>
          <w:lang w:eastAsia="fr-FR"/>
        </w:rPr>
        <w:t>Modèle AMPc</w:t>
      </w:r>
      <w:r w:rsidRPr="00CF684E">
        <w:rPr>
          <w:rFonts w:ascii="Arial" w:hAnsi="Arial" w:cs="Arial"/>
          <w:color w:val="000000" w:themeColor="text1"/>
          <w:sz w:val="18"/>
          <w:szCs w:val="18"/>
          <w:lang w:eastAsia="fr-FR"/>
        </w:rPr>
        <w:t> : augmentation d’AMPc qui pourrait expliquer l’activation des canaux Ca2+ voltage d</w:t>
      </w:r>
      <w:r>
        <w:rPr>
          <w:rFonts w:ascii="Arial" w:hAnsi="Arial" w:cs="Arial"/>
          <w:color w:val="000000" w:themeColor="text1"/>
          <w:sz w:val="18"/>
          <w:szCs w:val="18"/>
          <w:lang w:eastAsia="fr-FR"/>
        </w:rPr>
        <w:t>épendant</w:t>
      </w:r>
      <w:r w:rsidRPr="00CF684E">
        <w:rPr>
          <w:rFonts w:ascii="Arial" w:hAnsi="Arial" w:cs="Arial"/>
          <w:color w:val="000000" w:themeColor="text1"/>
          <w:sz w:val="18"/>
          <w:szCs w:val="18"/>
          <w:lang w:eastAsia="fr-FR"/>
        </w:rPr>
        <w:t xml:space="preserve"> VGCC</w:t>
      </w:r>
    </w:p>
    <w:p w14:paraId="3DF69DB5" w14:textId="77777777" w:rsidR="00ED4694" w:rsidRDefault="00ED4694" w:rsidP="00ED4694">
      <w:pPr>
        <w:pStyle w:val="Sansinterligne"/>
        <w:jc w:val="both"/>
        <w:rPr>
          <w:rFonts w:ascii="Arial" w:hAnsi="Arial" w:cs="Arial"/>
          <w:color w:val="000000" w:themeColor="text1"/>
          <w:sz w:val="18"/>
          <w:szCs w:val="18"/>
          <w:lang w:eastAsia="fr-FR"/>
        </w:rPr>
      </w:pPr>
      <w:r>
        <w:rPr>
          <w:rFonts w:ascii="Arial" w:hAnsi="Arial" w:cs="Arial"/>
          <w:noProof/>
          <w:color w:val="000000" w:themeColor="text1"/>
          <w:sz w:val="20"/>
          <w:szCs w:val="20"/>
          <w:lang w:eastAsia="fr-FR"/>
        </w:rPr>
        <w:drawing>
          <wp:anchor distT="0" distB="0" distL="114300" distR="114300" simplePos="0" relativeHeight="251811840" behindDoc="1" locked="0" layoutInCell="1" allowOverlap="1" wp14:anchorId="4DEC01D9" wp14:editId="720FC1AA">
            <wp:simplePos x="0" y="0"/>
            <wp:positionH relativeFrom="column">
              <wp:posOffset>1111827</wp:posOffset>
            </wp:positionH>
            <wp:positionV relativeFrom="paragraph">
              <wp:posOffset>64655</wp:posOffset>
            </wp:positionV>
            <wp:extent cx="2265045" cy="1888490"/>
            <wp:effectExtent l="0" t="0" r="0" b="3810"/>
            <wp:wrapTight wrapText="bothSides">
              <wp:wrapPolygon edited="0">
                <wp:start x="0" y="0"/>
                <wp:lineTo x="0" y="21498"/>
                <wp:lineTo x="21437" y="21498"/>
                <wp:lineTo x="21437" y="0"/>
                <wp:lineTo x="0" y="0"/>
              </wp:wrapPolygon>
            </wp:wrapTight>
            <wp:docPr id="13137091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70915" name="Image 131370915"/>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65045" cy="1888490"/>
                    </a:xfrm>
                    <a:prstGeom prst="rect">
                      <a:avLst/>
                    </a:prstGeom>
                  </pic:spPr>
                </pic:pic>
              </a:graphicData>
            </a:graphic>
            <wp14:sizeRelH relativeFrom="page">
              <wp14:pctWidth>0</wp14:pctWidth>
            </wp14:sizeRelH>
            <wp14:sizeRelV relativeFrom="page">
              <wp14:pctHeight>0</wp14:pctHeight>
            </wp14:sizeRelV>
          </wp:anchor>
        </w:drawing>
      </w:r>
    </w:p>
    <w:p w14:paraId="390CF329" w14:textId="77777777" w:rsidR="00ED4694" w:rsidRDefault="00ED4694" w:rsidP="00ED4694">
      <w:pPr>
        <w:pStyle w:val="Sansinterligne"/>
        <w:jc w:val="both"/>
        <w:rPr>
          <w:rFonts w:ascii="Arial" w:hAnsi="Arial" w:cs="Arial"/>
          <w:color w:val="000000" w:themeColor="text1"/>
          <w:sz w:val="18"/>
          <w:szCs w:val="18"/>
          <w:lang w:eastAsia="fr-FR"/>
        </w:rPr>
      </w:pPr>
      <w:r>
        <w:rPr>
          <w:rFonts w:ascii="Arial" w:hAnsi="Arial" w:cs="Arial"/>
          <w:noProof/>
          <w:color w:val="000000" w:themeColor="text1"/>
          <w:sz w:val="20"/>
          <w:szCs w:val="20"/>
          <w:lang w:eastAsia="fr-FR"/>
        </w:rPr>
        <w:drawing>
          <wp:anchor distT="0" distB="0" distL="114300" distR="114300" simplePos="0" relativeHeight="251810816" behindDoc="1" locked="0" layoutInCell="1" allowOverlap="1" wp14:anchorId="61857CCF" wp14:editId="5911FA2C">
            <wp:simplePos x="0" y="0"/>
            <wp:positionH relativeFrom="column">
              <wp:posOffset>3376410</wp:posOffset>
            </wp:positionH>
            <wp:positionV relativeFrom="paragraph">
              <wp:posOffset>48491</wp:posOffset>
            </wp:positionV>
            <wp:extent cx="2134870" cy="1482090"/>
            <wp:effectExtent l="0" t="0" r="0" b="3810"/>
            <wp:wrapTight wrapText="bothSides">
              <wp:wrapPolygon edited="0">
                <wp:start x="0" y="0"/>
                <wp:lineTo x="0" y="21470"/>
                <wp:lineTo x="21459" y="21470"/>
                <wp:lineTo x="21459" y="0"/>
                <wp:lineTo x="0" y="0"/>
              </wp:wrapPolygon>
            </wp:wrapTight>
            <wp:docPr id="53517475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74750" name="Image 535174750"/>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34870" cy="1482090"/>
                    </a:xfrm>
                    <a:prstGeom prst="rect">
                      <a:avLst/>
                    </a:prstGeom>
                  </pic:spPr>
                </pic:pic>
              </a:graphicData>
            </a:graphic>
            <wp14:sizeRelH relativeFrom="page">
              <wp14:pctWidth>0</wp14:pctWidth>
            </wp14:sizeRelH>
            <wp14:sizeRelV relativeFrom="page">
              <wp14:pctHeight>0</wp14:pctHeight>
            </wp14:sizeRelV>
          </wp:anchor>
        </w:drawing>
      </w:r>
    </w:p>
    <w:p w14:paraId="40D92D88" w14:textId="77777777" w:rsidR="00ED4694" w:rsidRDefault="00ED4694" w:rsidP="00ED4694">
      <w:pPr>
        <w:pStyle w:val="Sansinterligne"/>
        <w:jc w:val="both"/>
        <w:rPr>
          <w:rFonts w:ascii="Arial" w:hAnsi="Arial" w:cs="Arial"/>
          <w:color w:val="000000" w:themeColor="text1"/>
          <w:sz w:val="18"/>
          <w:szCs w:val="18"/>
          <w:lang w:eastAsia="fr-FR"/>
        </w:rPr>
      </w:pPr>
    </w:p>
    <w:p w14:paraId="66B498BD" w14:textId="77777777" w:rsidR="00ED4694" w:rsidRDefault="00ED4694" w:rsidP="00ED4694">
      <w:pPr>
        <w:pStyle w:val="Sansinterligne"/>
        <w:jc w:val="both"/>
        <w:rPr>
          <w:rFonts w:ascii="Arial" w:hAnsi="Arial" w:cs="Arial"/>
          <w:color w:val="000000" w:themeColor="text1"/>
          <w:sz w:val="18"/>
          <w:szCs w:val="18"/>
          <w:lang w:eastAsia="fr-FR"/>
        </w:rPr>
      </w:pPr>
    </w:p>
    <w:p w14:paraId="39547ECD" w14:textId="77777777" w:rsidR="00ED4694" w:rsidRDefault="00ED4694" w:rsidP="00ED4694">
      <w:pPr>
        <w:pStyle w:val="Sansinterligne"/>
        <w:jc w:val="both"/>
        <w:rPr>
          <w:rFonts w:ascii="Arial" w:hAnsi="Arial" w:cs="Arial"/>
          <w:color w:val="000000" w:themeColor="text1"/>
          <w:sz w:val="18"/>
          <w:szCs w:val="18"/>
          <w:lang w:eastAsia="fr-FR"/>
        </w:rPr>
      </w:pPr>
    </w:p>
    <w:p w14:paraId="799146C6" w14:textId="77777777" w:rsidR="00ED4694" w:rsidRDefault="00ED4694" w:rsidP="00ED4694">
      <w:pPr>
        <w:pStyle w:val="Sansinterligne"/>
        <w:jc w:val="both"/>
        <w:rPr>
          <w:rFonts w:ascii="Arial" w:hAnsi="Arial" w:cs="Arial"/>
          <w:color w:val="000000" w:themeColor="text1"/>
          <w:sz w:val="18"/>
          <w:szCs w:val="18"/>
          <w:lang w:eastAsia="fr-FR"/>
        </w:rPr>
      </w:pPr>
    </w:p>
    <w:p w14:paraId="555524FF" w14:textId="77777777" w:rsidR="00ED4694" w:rsidRPr="00CF684E" w:rsidRDefault="00ED4694" w:rsidP="00ED4694">
      <w:pPr>
        <w:pStyle w:val="Sansinterligne"/>
        <w:jc w:val="both"/>
        <w:rPr>
          <w:rFonts w:ascii="Arial" w:hAnsi="Arial" w:cs="Arial"/>
          <w:color w:val="000000" w:themeColor="text1"/>
          <w:sz w:val="18"/>
          <w:szCs w:val="18"/>
          <w:lang w:eastAsia="fr-FR"/>
        </w:rPr>
      </w:pPr>
    </w:p>
    <w:p w14:paraId="3E792946" w14:textId="77777777" w:rsidR="00ED4694" w:rsidRDefault="00ED4694" w:rsidP="00ED4694">
      <w:pPr>
        <w:pStyle w:val="Sansinterligne"/>
        <w:jc w:val="both"/>
        <w:rPr>
          <w:rFonts w:ascii="Arial" w:hAnsi="Arial" w:cs="Arial"/>
          <w:color w:val="000000" w:themeColor="text1"/>
          <w:sz w:val="18"/>
          <w:szCs w:val="18"/>
          <w:lang w:eastAsia="fr-FR"/>
        </w:rPr>
      </w:pPr>
    </w:p>
    <w:p w14:paraId="493125B7" w14:textId="77777777" w:rsidR="00ED4694" w:rsidRDefault="00ED4694" w:rsidP="00ED4694">
      <w:pPr>
        <w:pStyle w:val="Sansinterligne"/>
        <w:jc w:val="both"/>
        <w:rPr>
          <w:rFonts w:ascii="Arial" w:hAnsi="Arial" w:cs="Arial"/>
          <w:color w:val="000000" w:themeColor="text1"/>
          <w:sz w:val="18"/>
          <w:szCs w:val="18"/>
          <w:lang w:eastAsia="fr-FR"/>
        </w:rPr>
      </w:pPr>
    </w:p>
    <w:p w14:paraId="7D80BBA9" w14:textId="77777777" w:rsidR="00ED4694" w:rsidRDefault="00ED4694" w:rsidP="00ED4694">
      <w:pPr>
        <w:pStyle w:val="Sansinterligne"/>
        <w:jc w:val="both"/>
        <w:rPr>
          <w:rFonts w:ascii="Arial" w:hAnsi="Arial" w:cs="Arial"/>
          <w:color w:val="000000" w:themeColor="text1"/>
          <w:sz w:val="18"/>
          <w:szCs w:val="18"/>
          <w:lang w:eastAsia="fr-FR"/>
        </w:rPr>
      </w:pPr>
    </w:p>
    <w:p w14:paraId="4EAC4EF6" w14:textId="77777777" w:rsidR="00ED4694" w:rsidRDefault="00ED4694" w:rsidP="00ED4694">
      <w:pPr>
        <w:pStyle w:val="Sansinterligne"/>
        <w:jc w:val="both"/>
        <w:rPr>
          <w:rFonts w:ascii="Arial" w:hAnsi="Arial" w:cs="Arial"/>
          <w:color w:val="000000" w:themeColor="text1"/>
          <w:sz w:val="18"/>
          <w:szCs w:val="18"/>
          <w:lang w:eastAsia="fr-FR"/>
        </w:rPr>
      </w:pPr>
    </w:p>
    <w:p w14:paraId="435E03EA" w14:textId="77777777" w:rsidR="00ED4694" w:rsidRDefault="00ED4694" w:rsidP="00ED4694">
      <w:pPr>
        <w:pStyle w:val="Sansinterligne"/>
        <w:jc w:val="both"/>
        <w:rPr>
          <w:rFonts w:ascii="Arial" w:hAnsi="Arial" w:cs="Arial"/>
          <w:color w:val="000000" w:themeColor="text1"/>
          <w:sz w:val="18"/>
          <w:szCs w:val="18"/>
          <w:lang w:eastAsia="fr-FR"/>
        </w:rPr>
      </w:pPr>
    </w:p>
    <w:p w14:paraId="08C90BF7" w14:textId="77777777" w:rsidR="00ED4694" w:rsidRDefault="00ED4694" w:rsidP="00ED4694">
      <w:pPr>
        <w:pStyle w:val="Sansinterligne"/>
        <w:jc w:val="both"/>
        <w:rPr>
          <w:rFonts w:ascii="Arial" w:hAnsi="Arial" w:cs="Arial"/>
          <w:color w:val="000000" w:themeColor="text1"/>
          <w:sz w:val="18"/>
          <w:szCs w:val="18"/>
          <w:lang w:eastAsia="fr-FR"/>
        </w:rPr>
      </w:pPr>
    </w:p>
    <w:p w14:paraId="23DCC20C" w14:textId="77777777" w:rsidR="00ED4694" w:rsidRDefault="00ED4694" w:rsidP="00ED4694">
      <w:pPr>
        <w:pStyle w:val="Sansinterligne"/>
        <w:jc w:val="both"/>
        <w:rPr>
          <w:rFonts w:ascii="Arial" w:hAnsi="Arial" w:cs="Arial"/>
          <w:color w:val="000000" w:themeColor="text1"/>
          <w:sz w:val="18"/>
          <w:szCs w:val="18"/>
          <w:lang w:eastAsia="fr-FR"/>
        </w:rPr>
      </w:pPr>
      <w:r>
        <w:rPr>
          <w:noProof/>
        </w:rPr>
        <mc:AlternateContent>
          <mc:Choice Requires="wps">
            <w:drawing>
              <wp:anchor distT="0" distB="0" distL="114300" distR="114300" simplePos="0" relativeHeight="251812864" behindDoc="1" locked="0" layoutInCell="1" allowOverlap="1" wp14:anchorId="21B7562F" wp14:editId="117207A4">
                <wp:simplePos x="0" y="0"/>
                <wp:positionH relativeFrom="column">
                  <wp:posOffset>3562562</wp:posOffset>
                </wp:positionH>
                <wp:positionV relativeFrom="paragraph">
                  <wp:posOffset>10795</wp:posOffset>
                </wp:positionV>
                <wp:extent cx="2134870" cy="635"/>
                <wp:effectExtent l="0" t="0" r="0" b="12065"/>
                <wp:wrapTight wrapText="bothSides">
                  <wp:wrapPolygon edited="0">
                    <wp:start x="0" y="0"/>
                    <wp:lineTo x="0" y="0"/>
                    <wp:lineTo x="21459" y="0"/>
                    <wp:lineTo x="21459" y="0"/>
                    <wp:lineTo x="0" y="0"/>
                  </wp:wrapPolygon>
                </wp:wrapTight>
                <wp:docPr id="421126472" name="Zone de texte 1"/>
                <wp:cNvGraphicFramePr/>
                <a:graphic xmlns:a="http://schemas.openxmlformats.org/drawingml/2006/main">
                  <a:graphicData uri="http://schemas.microsoft.com/office/word/2010/wordprocessingShape">
                    <wps:wsp>
                      <wps:cNvSpPr txBox="1"/>
                      <wps:spPr>
                        <a:xfrm>
                          <a:off x="0" y="0"/>
                          <a:ext cx="2134870" cy="635"/>
                        </a:xfrm>
                        <a:prstGeom prst="rect">
                          <a:avLst/>
                        </a:prstGeom>
                        <a:solidFill>
                          <a:prstClr val="white"/>
                        </a:solidFill>
                        <a:ln>
                          <a:noFill/>
                        </a:ln>
                      </wps:spPr>
                      <wps:txbx>
                        <w:txbxContent>
                          <w:p w14:paraId="2A9EB2AD" w14:textId="77777777" w:rsidR="00ED4694" w:rsidRPr="0018731A" w:rsidRDefault="00ED4694" w:rsidP="00ED4694">
                            <w:pPr>
                              <w:pStyle w:val="Lgende"/>
                              <w:rPr>
                                <w:rFonts w:ascii="Arial" w:eastAsiaTheme="minorHAnsi" w:hAnsi="Arial" w:cs="Arial"/>
                                <w:noProof/>
                                <w:color w:val="000000" w:themeColor="text1"/>
                                <w:sz w:val="20"/>
                                <w:szCs w:val="20"/>
                              </w:rPr>
                            </w:pPr>
                            <w:r>
                              <w:t>Zoom sur le modèle électrophysiologique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1B7562F" id="_x0000_t202" coordsize="21600,21600" o:spt="202" path="m,l,21600r21600,l21600,xe">
                <v:stroke joinstyle="miter"/>
                <v:path gradientshapeok="t" o:connecttype="rect"/>
              </v:shapetype>
              <v:shape id="Zone de texte 1" o:spid="_x0000_s1027" type="#_x0000_t202" style="position:absolute;left:0;text-align:left;margin-left:280.5pt;margin-top:.85pt;width:168.1pt;height:.05pt;z-index:-25150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" stroked="f">
                <v:textbox style="mso-fit-shape-to-text:t" inset="0,0,0,0">
                  <w:txbxContent>
                    <w:p w14:paraId="2A9EB2AD" w14:textId="77777777" w:rsidR="00ED4694" w:rsidRPr="0018731A" w:rsidRDefault="00ED4694" w:rsidP="00ED4694">
                      <w:pPr>
                        <w:pStyle w:val="Lgende"/>
                        <w:rPr>
                          <w:rFonts w:ascii="Arial" w:eastAsiaTheme="minorHAnsi" w:hAnsi="Arial" w:cs="Arial"/>
                          <w:noProof/>
                          <w:color w:val="000000" w:themeColor="text1"/>
                          <w:sz w:val="20"/>
                          <w:szCs w:val="20"/>
                        </w:rPr>
                      </w:pPr>
                      <w:r>
                        <w:t>Zoom sur le modèle électrophysiologique</w:t>
                      </w:r>
                    </w:p>
                  </w:txbxContent>
                </v:textbox>
                <w10:wrap type="tight"/>
              </v:shape>
            </w:pict>
          </mc:Fallback>
        </mc:AlternateContent>
      </w:r>
    </w:p>
    <w:p w14:paraId="25394F6C" w14:textId="77777777" w:rsidR="00ED4694" w:rsidRDefault="00ED4694" w:rsidP="00ED4694">
      <w:pPr>
        <w:pStyle w:val="Sansinterligne"/>
        <w:jc w:val="both"/>
        <w:rPr>
          <w:rFonts w:ascii="Arial" w:hAnsi="Arial" w:cs="Arial"/>
          <w:color w:val="000000" w:themeColor="text1"/>
          <w:sz w:val="18"/>
          <w:szCs w:val="18"/>
          <w:lang w:eastAsia="fr-FR"/>
        </w:rPr>
      </w:pPr>
    </w:p>
    <w:p w14:paraId="22A89B08" w14:textId="77777777" w:rsidR="00ED4694" w:rsidRDefault="00ED4694" w:rsidP="00ED4694">
      <w:pPr>
        <w:pStyle w:val="Sansinterligne"/>
        <w:jc w:val="both"/>
        <w:rPr>
          <w:rFonts w:ascii="Arial" w:hAnsi="Arial" w:cs="Arial"/>
          <w:color w:val="000000" w:themeColor="text1"/>
          <w:sz w:val="18"/>
          <w:szCs w:val="18"/>
          <w:lang w:eastAsia="fr-FR"/>
        </w:rPr>
      </w:pPr>
    </w:p>
    <w:p w14:paraId="39504F9C" w14:textId="77777777" w:rsidR="00ED4694" w:rsidRPr="00CF684E" w:rsidRDefault="00ED4694" w:rsidP="00ED4694">
      <w:pPr>
        <w:pStyle w:val="Sansinterligne"/>
        <w:jc w:val="both"/>
        <w:rPr>
          <w:rFonts w:ascii="Arial" w:hAnsi="Arial" w:cs="Arial"/>
          <w:color w:val="000000" w:themeColor="text1"/>
          <w:sz w:val="18"/>
          <w:szCs w:val="18"/>
          <w:lang w:eastAsia="fr-FR"/>
        </w:rPr>
      </w:pPr>
      <w:r>
        <w:rPr>
          <w:rFonts w:ascii="Arial" w:hAnsi="Arial" w:cs="Arial"/>
          <w:color w:val="000000" w:themeColor="text1"/>
          <w:sz w:val="18"/>
          <w:szCs w:val="18"/>
          <w:lang w:eastAsia="fr-FR"/>
        </w:rPr>
        <w:t>Il existe des c</w:t>
      </w:r>
      <w:r w:rsidRPr="00CF684E">
        <w:rPr>
          <w:rFonts w:ascii="Arial" w:hAnsi="Arial" w:cs="Arial"/>
          <w:color w:val="000000" w:themeColor="text1"/>
          <w:sz w:val="18"/>
          <w:szCs w:val="18"/>
          <w:lang w:eastAsia="fr-FR"/>
        </w:rPr>
        <w:t xml:space="preserve">onnexines 46 sur C </w:t>
      </w:r>
      <m:oMath>
        <m:r>
          <w:rPr>
            <w:rFonts w:ascii="Cambria Math" w:hAnsi="Cambria Math" w:cs="Arial"/>
            <w:color w:val="000000" w:themeColor="text1"/>
            <w:sz w:val="18"/>
            <w:szCs w:val="18"/>
            <w:lang w:eastAsia="fr-FR"/>
          </w:rPr>
          <m:t>α</m:t>
        </m:r>
      </m:oMath>
      <w:r w:rsidRPr="00CF684E">
        <w:rPr>
          <w:rFonts w:ascii="Arial" w:hAnsi="Arial" w:cs="Arial"/>
          <w:color w:val="000000" w:themeColor="text1"/>
          <w:sz w:val="18"/>
          <w:szCs w:val="18"/>
          <w:lang w:eastAsia="fr-FR"/>
        </w:rPr>
        <w:t xml:space="preserve">. </w:t>
      </w:r>
      <w:r>
        <w:rPr>
          <w:rFonts w:ascii="Arial" w:hAnsi="Arial" w:cs="Arial"/>
          <w:color w:val="000000" w:themeColor="text1"/>
          <w:sz w:val="18"/>
          <w:szCs w:val="18"/>
          <w:lang w:eastAsia="fr-FR"/>
        </w:rPr>
        <w:t>En revanche, il n’y a p</w:t>
      </w:r>
      <w:r w:rsidRPr="00CF684E">
        <w:rPr>
          <w:rFonts w:ascii="Arial" w:hAnsi="Arial" w:cs="Arial"/>
          <w:color w:val="000000" w:themeColor="text1"/>
          <w:sz w:val="18"/>
          <w:szCs w:val="18"/>
          <w:lang w:eastAsia="fr-FR"/>
        </w:rPr>
        <w:t xml:space="preserve">as de connexon entre 2 cellules </w:t>
      </w:r>
      <m:oMath>
        <m:r>
          <w:rPr>
            <w:rFonts w:ascii="Cambria Math" w:hAnsi="Cambria Math" w:cs="Arial"/>
            <w:color w:val="000000" w:themeColor="text1"/>
            <w:sz w:val="18"/>
            <w:szCs w:val="18"/>
            <w:lang w:eastAsia="fr-FR"/>
          </w:rPr>
          <m:t>α</m:t>
        </m:r>
      </m:oMath>
      <w:r w:rsidRPr="00CF684E">
        <w:rPr>
          <w:rFonts w:ascii="Arial" w:hAnsi="Arial" w:cs="Arial"/>
          <w:color w:val="000000" w:themeColor="text1"/>
          <w:sz w:val="18"/>
          <w:szCs w:val="18"/>
          <w:lang w:eastAsia="fr-FR"/>
        </w:rPr>
        <w:t xml:space="preserve"> = pas de communication </w:t>
      </w:r>
      <w:r w:rsidRPr="00726D27">
        <w:rPr>
          <w:rFonts w:ascii="Arial" w:hAnsi="Arial" w:cs="Arial"/>
          <w:color w:val="000000" w:themeColor="text1"/>
          <w:sz w:val="18"/>
          <w:szCs w:val="18"/>
          <w:u w:val="single"/>
          <w:lang w:eastAsia="fr-FR"/>
        </w:rPr>
        <w:t>entre</w:t>
      </w:r>
      <w:r w:rsidRPr="00CF684E">
        <w:rPr>
          <w:rFonts w:ascii="Arial" w:hAnsi="Arial" w:cs="Arial"/>
          <w:color w:val="000000" w:themeColor="text1"/>
          <w:sz w:val="18"/>
          <w:szCs w:val="18"/>
          <w:lang w:eastAsia="fr-FR"/>
        </w:rPr>
        <w:t xml:space="preserve"> C </w:t>
      </w:r>
      <m:oMath>
        <m:r>
          <w:rPr>
            <w:rFonts w:ascii="Cambria Math" w:hAnsi="Cambria Math" w:cs="Arial"/>
            <w:color w:val="000000" w:themeColor="text1"/>
            <w:sz w:val="18"/>
            <w:szCs w:val="18"/>
            <w:lang w:eastAsia="fr-FR"/>
          </w:rPr>
          <m:t>α</m:t>
        </m:r>
      </m:oMath>
      <w:r w:rsidRPr="00CF684E">
        <w:rPr>
          <w:rFonts w:ascii="Arial" w:hAnsi="Arial" w:cs="Arial"/>
          <w:color w:val="000000" w:themeColor="text1"/>
          <w:sz w:val="18"/>
          <w:szCs w:val="18"/>
          <w:lang w:eastAsia="fr-FR"/>
        </w:rPr>
        <w:t xml:space="preserve"> via </w:t>
      </w:r>
      <w:r>
        <w:rPr>
          <w:rFonts w:ascii="Arial" w:hAnsi="Arial" w:cs="Arial"/>
          <w:color w:val="000000" w:themeColor="text1"/>
          <w:sz w:val="18"/>
          <w:szCs w:val="18"/>
          <w:lang w:eastAsia="fr-FR"/>
        </w:rPr>
        <w:t xml:space="preserve">des </w:t>
      </w:r>
      <w:r w:rsidRPr="00CF684E">
        <w:rPr>
          <w:rFonts w:ascii="Arial" w:hAnsi="Arial" w:cs="Arial"/>
          <w:color w:val="000000" w:themeColor="text1"/>
          <w:sz w:val="18"/>
          <w:szCs w:val="18"/>
          <w:lang w:eastAsia="fr-FR"/>
        </w:rPr>
        <w:t xml:space="preserve">jonctions communicantes. Présence d’éphrine (on </w:t>
      </w:r>
      <w:r>
        <w:rPr>
          <w:rFonts w:ascii="Arial" w:hAnsi="Arial" w:cs="Arial"/>
          <w:color w:val="000000" w:themeColor="text1"/>
          <w:sz w:val="18"/>
          <w:szCs w:val="18"/>
          <w:lang w:eastAsia="fr-FR"/>
        </w:rPr>
        <w:t xml:space="preserve">ne </w:t>
      </w:r>
      <w:r w:rsidRPr="00CF684E">
        <w:rPr>
          <w:rFonts w:ascii="Arial" w:hAnsi="Arial" w:cs="Arial"/>
          <w:color w:val="000000" w:themeColor="text1"/>
          <w:sz w:val="18"/>
          <w:szCs w:val="18"/>
          <w:lang w:eastAsia="fr-FR"/>
        </w:rPr>
        <w:t>sait pas p</w:t>
      </w:r>
      <w:r>
        <w:rPr>
          <w:rFonts w:ascii="Arial" w:hAnsi="Arial" w:cs="Arial"/>
          <w:color w:val="000000" w:themeColor="text1"/>
          <w:sz w:val="18"/>
          <w:szCs w:val="18"/>
          <w:lang w:eastAsia="fr-FR"/>
        </w:rPr>
        <w:t>our</w:t>
      </w:r>
      <w:r w:rsidRPr="00CF684E">
        <w:rPr>
          <w:rFonts w:ascii="Arial" w:hAnsi="Arial" w:cs="Arial"/>
          <w:color w:val="000000" w:themeColor="text1"/>
          <w:sz w:val="18"/>
          <w:szCs w:val="18"/>
          <w:lang w:eastAsia="fr-FR"/>
        </w:rPr>
        <w:t>q</w:t>
      </w:r>
      <w:r>
        <w:rPr>
          <w:rFonts w:ascii="Arial" w:hAnsi="Arial" w:cs="Arial"/>
          <w:color w:val="000000" w:themeColor="text1"/>
          <w:sz w:val="18"/>
          <w:szCs w:val="18"/>
          <w:lang w:eastAsia="fr-FR"/>
        </w:rPr>
        <w:t>uoi</w:t>
      </w:r>
      <w:r w:rsidRPr="00CF684E">
        <w:rPr>
          <w:rFonts w:ascii="Arial" w:hAnsi="Arial" w:cs="Arial"/>
          <w:color w:val="000000" w:themeColor="text1"/>
          <w:sz w:val="18"/>
          <w:szCs w:val="18"/>
          <w:lang w:eastAsia="fr-FR"/>
        </w:rPr>
        <w:t xml:space="preserve">). </w:t>
      </w:r>
    </w:p>
    <w:p w14:paraId="590AD502" w14:textId="77777777" w:rsidR="00ED4694" w:rsidRPr="005D0883" w:rsidRDefault="00ED4694" w:rsidP="00ED4694">
      <w:pPr>
        <w:jc w:val="both"/>
      </w:pPr>
      <w:r>
        <w:rPr>
          <w:rFonts w:ascii="Arial" w:hAnsi="Arial" w:cs="Arial"/>
          <w:color w:val="000000" w:themeColor="text1"/>
          <w:sz w:val="18"/>
          <w:szCs w:val="18"/>
        </w:rPr>
        <w:br/>
        <w:t xml:space="preserve">Ainsi, la C </w:t>
      </w:r>
      <m:oMath>
        <m:r>
          <w:rPr>
            <w:rFonts w:ascii="Cambria Math" w:hAnsi="Cambria Math" w:cs="Arial"/>
            <w:color w:val="000000" w:themeColor="text1"/>
            <w:sz w:val="18"/>
            <w:szCs w:val="18"/>
          </w:rPr>
          <m:t>α</m:t>
        </m:r>
      </m:oMath>
      <w:r>
        <w:rPr>
          <w:rFonts w:ascii="Arial" w:hAnsi="Arial" w:cs="Arial"/>
          <w:color w:val="000000" w:themeColor="text1"/>
          <w:sz w:val="18"/>
          <w:szCs w:val="18"/>
        </w:rPr>
        <w:t xml:space="preserve"> s</w:t>
      </w:r>
      <w:r w:rsidRPr="00CF684E">
        <w:rPr>
          <w:rFonts w:ascii="Arial" w:hAnsi="Arial" w:cs="Arial"/>
          <w:color w:val="000000" w:themeColor="text1"/>
          <w:sz w:val="18"/>
          <w:szCs w:val="18"/>
        </w:rPr>
        <w:t>écrète du glucagon</w:t>
      </w:r>
      <w:r>
        <w:rPr>
          <w:rFonts w:ascii="Arial" w:hAnsi="Arial" w:cs="Arial"/>
          <w:color w:val="000000" w:themeColor="text1"/>
          <w:sz w:val="18"/>
          <w:szCs w:val="18"/>
        </w:rPr>
        <w:t xml:space="preserve">, via le </w:t>
      </w:r>
      <w:r w:rsidRPr="00CF684E">
        <w:rPr>
          <w:rFonts w:ascii="Arial" w:hAnsi="Arial" w:cs="Arial"/>
          <w:color w:val="000000" w:themeColor="text1"/>
          <w:sz w:val="18"/>
          <w:szCs w:val="18"/>
        </w:rPr>
        <w:t>modèle électrophysiologique et modèle AMPc</w:t>
      </w:r>
      <w:r>
        <w:rPr>
          <w:rFonts w:ascii="Arial" w:hAnsi="Arial" w:cs="Arial"/>
          <w:color w:val="000000" w:themeColor="text1"/>
          <w:sz w:val="18"/>
          <w:szCs w:val="18"/>
        </w:rPr>
        <w:t>, qui entrainent notamment l’a</w:t>
      </w:r>
      <w:r w:rsidRPr="00CF684E">
        <w:rPr>
          <w:rFonts w:ascii="Arial" w:hAnsi="Arial" w:cs="Arial"/>
          <w:color w:val="000000" w:themeColor="text1"/>
          <w:sz w:val="18"/>
          <w:szCs w:val="18"/>
        </w:rPr>
        <w:t xml:space="preserve">ctivation </w:t>
      </w:r>
      <w:r>
        <w:rPr>
          <w:rFonts w:ascii="Arial" w:hAnsi="Arial" w:cs="Arial"/>
          <w:color w:val="000000" w:themeColor="text1"/>
          <w:sz w:val="18"/>
          <w:szCs w:val="18"/>
        </w:rPr>
        <w:t xml:space="preserve">des </w:t>
      </w:r>
      <w:r w:rsidRPr="00CF684E">
        <w:rPr>
          <w:rFonts w:ascii="Arial" w:hAnsi="Arial" w:cs="Arial"/>
          <w:color w:val="000000" w:themeColor="text1"/>
          <w:sz w:val="18"/>
          <w:szCs w:val="18"/>
        </w:rPr>
        <w:t>canaux calcium VGCC</w:t>
      </w:r>
      <w:r>
        <w:rPr>
          <w:rFonts w:ascii="Arial" w:hAnsi="Arial" w:cs="Arial"/>
          <w:color w:val="000000" w:themeColor="text1"/>
          <w:sz w:val="18"/>
          <w:szCs w:val="18"/>
        </w:rPr>
        <w:t xml:space="preserve">. </w:t>
      </w:r>
      <w:r w:rsidRPr="00CF684E">
        <w:rPr>
          <w:rFonts w:ascii="Arial" w:hAnsi="Arial" w:cs="Arial"/>
          <w:color w:val="000000" w:themeColor="text1"/>
          <w:sz w:val="18"/>
          <w:szCs w:val="18"/>
        </w:rPr>
        <w:t>Les sécrétions paracrines d’insuline (par C</w:t>
      </w:r>
      <w:r>
        <w:rPr>
          <w:rFonts w:ascii="Arial" w:hAnsi="Arial" w:cs="Arial"/>
          <w:color w:val="000000" w:themeColor="text1"/>
          <w:sz w:val="18"/>
          <w:szCs w:val="18"/>
        </w:rPr>
        <w:t xml:space="preserve"> </w:t>
      </w:r>
      <m:oMath>
        <m:r>
          <w:rPr>
            <w:rFonts w:ascii="Cambria Math" w:hAnsi="Cambria Math" w:cs="Arial"/>
            <w:color w:val="000000" w:themeColor="text1"/>
            <w:sz w:val="18"/>
            <w:szCs w:val="18"/>
          </w:rPr>
          <m:t>β</m:t>
        </m:r>
      </m:oMath>
      <w:r>
        <w:rPr>
          <w:rFonts w:ascii="Arial" w:hAnsi="Arial" w:cs="Arial"/>
          <w:color w:val="000000" w:themeColor="text1"/>
          <w:sz w:val="18"/>
          <w:szCs w:val="18"/>
        </w:rPr>
        <w:t>) e</w:t>
      </w:r>
      <w:r w:rsidRPr="00CF684E">
        <w:rPr>
          <w:rFonts w:ascii="Arial" w:hAnsi="Arial" w:cs="Arial"/>
          <w:color w:val="000000" w:themeColor="text1"/>
          <w:sz w:val="18"/>
          <w:szCs w:val="18"/>
        </w:rPr>
        <w:t xml:space="preserve">t de somatostatine (par C </w:t>
      </w:r>
      <m:oMath>
        <m:r>
          <w:rPr>
            <w:rFonts w:ascii="Cambria Math" w:hAnsi="Cambria Math" w:cs="Arial"/>
            <w:color w:val="000000" w:themeColor="text1"/>
            <w:sz w:val="18"/>
            <w:szCs w:val="18"/>
          </w:rPr>
          <m:t>δ</m:t>
        </m:r>
      </m:oMath>
      <w:r w:rsidRPr="00CF684E">
        <w:rPr>
          <w:rFonts w:ascii="Arial" w:hAnsi="Arial" w:cs="Arial"/>
          <w:color w:val="000000" w:themeColor="text1"/>
          <w:sz w:val="18"/>
          <w:szCs w:val="18"/>
        </w:rPr>
        <w:t xml:space="preserve">) entraine une diminution du modèle AMPc = diminution </w:t>
      </w:r>
      <w:r>
        <w:rPr>
          <w:rFonts w:ascii="Arial" w:hAnsi="Arial" w:cs="Arial"/>
          <w:color w:val="000000" w:themeColor="text1"/>
          <w:sz w:val="18"/>
          <w:szCs w:val="18"/>
        </w:rPr>
        <w:t xml:space="preserve">de la </w:t>
      </w:r>
      <w:r w:rsidRPr="00CF684E">
        <w:rPr>
          <w:rFonts w:ascii="Arial" w:hAnsi="Arial" w:cs="Arial"/>
          <w:color w:val="000000" w:themeColor="text1"/>
          <w:sz w:val="18"/>
          <w:szCs w:val="18"/>
        </w:rPr>
        <w:t xml:space="preserve">libération </w:t>
      </w:r>
      <w:r>
        <w:rPr>
          <w:rFonts w:ascii="Arial" w:hAnsi="Arial" w:cs="Arial"/>
          <w:color w:val="000000" w:themeColor="text1"/>
          <w:sz w:val="18"/>
          <w:szCs w:val="18"/>
        </w:rPr>
        <w:t xml:space="preserve">du </w:t>
      </w:r>
      <w:r w:rsidRPr="00CF684E">
        <w:rPr>
          <w:rFonts w:ascii="Arial" w:hAnsi="Arial" w:cs="Arial"/>
          <w:color w:val="000000" w:themeColor="text1"/>
          <w:sz w:val="18"/>
          <w:szCs w:val="18"/>
        </w:rPr>
        <w:t>glucagon</w:t>
      </w:r>
      <w:r>
        <w:rPr>
          <w:rFonts w:ascii="Arial" w:hAnsi="Arial" w:cs="Arial"/>
          <w:color w:val="000000" w:themeColor="text1"/>
          <w:sz w:val="18"/>
          <w:szCs w:val="18"/>
        </w:rPr>
        <w:t xml:space="preserve">. </w:t>
      </w:r>
    </w:p>
    <w:p w14:paraId="0F9A968E" w14:textId="77777777" w:rsidR="00ED4694" w:rsidRPr="00CF684E" w:rsidRDefault="00ED4694" w:rsidP="00ED4694">
      <w:pPr>
        <w:pStyle w:val="Sansinterligne"/>
        <w:jc w:val="both"/>
        <w:rPr>
          <w:rFonts w:ascii="Arial" w:hAnsi="Arial" w:cs="Arial"/>
          <w:color w:val="000000" w:themeColor="text1"/>
          <w:sz w:val="18"/>
          <w:szCs w:val="18"/>
          <w:lang w:eastAsia="fr-FR"/>
        </w:rPr>
      </w:pPr>
      <w:r>
        <w:rPr>
          <w:rFonts w:ascii="Arial" w:hAnsi="Arial" w:cs="Arial"/>
          <w:color w:val="000000" w:themeColor="text1"/>
          <w:sz w:val="18"/>
          <w:szCs w:val="18"/>
          <w:lang w:eastAsia="fr-FR"/>
        </w:rPr>
        <w:t>L’i</w:t>
      </w:r>
      <w:r w:rsidRPr="00CF684E">
        <w:rPr>
          <w:rFonts w:ascii="Arial" w:hAnsi="Arial" w:cs="Arial"/>
          <w:color w:val="000000" w:themeColor="text1"/>
          <w:sz w:val="18"/>
          <w:szCs w:val="18"/>
          <w:lang w:eastAsia="fr-FR"/>
        </w:rPr>
        <w:t xml:space="preserve">nsuline, </w:t>
      </w:r>
      <w:r>
        <w:rPr>
          <w:rFonts w:ascii="Arial" w:hAnsi="Arial" w:cs="Arial"/>
          <w:color w:val="000000" w:themeColor="text1"/>
          <w:sz w:val="18"/>
          <w:szCs w:val="18"/>
          <w:lang w:eastAsia="fr-FR"/>
        </w:rPr>
        <w:t xml:space="preserve">le </w:t>
      </w:r>
      <w:r w:rsidRPr="00CF684E">
        <w:rPr>
          <w:rFonts w:ascii="Arial" w:hAnsi="Arial" w:cs="Arial"/>
          <w:color w:val="000000" w:themeColor="text1"/>
          <w:sz w:val="18"/>
          <w:szCs w:val="18"/>
          <w:lang w:eastAsia="fr-FR"/>
        </w:rPr>
        <w:t xml:space="preserve">Zn2+ (via l’activation des canaux K+), le GHB, la sérotonine et le GABA sont des </w:t>
      </w:r>
      <w:r w:rsidRPr="005D0883">
        <w:rPr>
          <w:rFonts w:ascii="Arial" w:hAnsi="Arial" w:cs="Arial"/>
          <w:color w:val="000000" w:themeColor="text1"/>
          <w:sz w:val="18"/>
          <w:szCs w:val="18"/>
          <w:u w:val="single"/>
          <w:lang w:eastAsia="fr-FR"/>
        </w:rPr>
        <w:t>inhibiteurs</w:t>
      </w:r>
      <w:r w:rsidRPr="00CF684E">
        <w:rPr>
          <w:rFonts w:ascii="Arial" w:hAnsi="Arial" w:cs="Arial"/>
          <w:color w:val="000000" w:themeColor="text1"/>
          <w:sz w:val="18"/>
          <w:szCs w:val="18"/>
          <w:lang w:eastAsia="fr-FR"/>
        </w:rPr>
        <w:t xml:space="preserve"> de la sécrétion de glucagon par hyperpolarisation</w:t>
      </w:r>
      <w:r>
        <w:rPr>
          <w:rFonts w:ascii="Arial" w:hAnsi="Arial" w:cs="Arial"/>
          <w:color w:val="000000" w:themeColor="text1"/>
          <w:sz w:val="18"/>
          <w:szCs w:val="18"/>
          <w:lang w:eastAsia="fr-FR"/>
        </w:rPr>
        <w:t xml:space="preserve">. </w:t>
      </w:r>
      <w:r w:rsidRPr="00CF684E">
        <w:rPr>
          <w:rFonts w:ascii="Arial" w:hAnsi="Arial" w:cs="Arial"/>
          <w:color w:val="000000" w:themeColor="text1"/>
          <w:sz w:val="18"/>
          <w:szCs w:val="18"/>
          <w:lang w:eastAsia="fr-FR"/>
        </w:rPr>
        <w:t xml:space="preserve">Le GLP1 (glucagon like peptide 1) est un produit de sécrétion libéré par les C </w:t>
      </w:r>
      <m:oMath>
        <m:r>
          <w:rPr>
            <w:rFonts w:ascii="Cambria Math" w:hAnsi="Cambria Math" w:cs="Arial"/>
            <w:color w:val="000000" w:themeColor="text1"/>
            <w:sz w:val="18"/>
            <w:szCs w:val="18"/>
            <w:lang w:eastAsia="fr-FR"/>
          </w:rPr>
          <m:t>α</m:t>
        </m:r>
      </m:oMath>
      <w:r w:rsidRPr="00CF684E">
        <w:rPr>
          <w:rFonts w:ascii="Arial" w:hAnsi="Arial" w:cs="Arial"/>
          <w:color w:val="000000" w:themeColor="text1"/>
          <w:sz w:val="18"/>
          <w:szCs w:val="18"/>
          <w:lang w:eastAsia="fr-FR"/>
        </w:rPr>
        <w:t xml:space="preserve"> et un </w:t>
      </w:r>
      <w:r w:rsidRPr="005D0883">
        <w:rPr>
          <w:rFonts w:ascii="Arial" w:hAnsi="Arial" w:cs="Arial"/>
          <w:color w:val="000000" w:themeColor="text1"/>
          <w:sz w:val="18"/>
          <w:szCs w:val="18"/>
          <w:u w:val="single"/>
          <w:lang w:eastAsia="fr-FR"/>
        </w:rPr>
        <w:t>activateur</w:t>
      </w:r>
      <w:r w:rsidRPr="00CF684E">
        <w:rPr>
          <w:rFonts w:ascii="Arial" w:hAnsi="Arial" w:cs="Arial"/>
          <w:color w:val="000000" w:themeColor="text1"/>
          <w:sz w:val="18"/>
          <w:szCs w:val="18"/>
          <w:lang w:eastAsia="fr-FR"/>
        </w:rPr>
        <w:t xml:space="preserve"> de la C </w:t>
      </w:r>
      <m:oMath>
        <m:r>
          <w:rPr>
            <w:rFonts w:ascii="Cambria Math" w:hAnsi="Cambria Math" w:cs="Arial"/>
            <w:color w:val="000000" w:themeColor="text1"/>
            <w:sz w:val="18"/>
            <w:szCs w:val="18"/>
            <w:lang w:eastAsia="fr-FR"/>
          </w:rPr>
          <m:t>β</m:t>
        </m:r>
      </m:oMath>
      <w:r w:rsidRPr="00CF684E">
        <w:rPr>
          <w:rFonts w:ascii="Arial" w:hAnsi="Arial" w:cs="Arial"/>
          <w:color w:val="000000" w:themeColor="text1"/>
          <w:sz w:val="18"/>
          <w:szCs w:val="18"/>
          <w:lang w:eastAsia="fr-FR"/>
        </w:rPr>
        <w:t xml:space="preserve">. </w:t>
      </w:r>
    </w:p>
    <w:p w14:paraId="388E7D7C" w14:textId="77777777" w:rsidR="00ED4694" w:rsidRPr="00CF684E" w:rsidRDefault="00ED4694" w:rsidP="00ED4694">
      <w:pPr>
        <w:pStyle w:val="Sansinterligne"/>
        <w:jc w:val="both"/>
        <w:rPr>
          <w:rFonts w:ascii="Arial" w:hAnsi="Arial" w:cs="Arial"/>
          <w:color w:val="000000" w:themeColor="text1"/>
          <w:sz w:val="18"/>
          <w:szCs w:val="18"/>
          <w:lang w:eastAsia="fr-FR"/>
        </w:rPr>
      </w:pPr>
    </w:p>
    <w:p w14:paraId="4D70C4DB" w14:textId="77777777" w:rsidR="00ED4694" w:rsidRPr="005D0883" w:rsidRDefault="00ED4694" w:rsidP="00ED4694">
      <w:pPr>
        <w:pStyle w:val="Sansinterligne"/>
        <w:numPr>
          <w:ilvl w:val="0"/>
          <w:numId w:val="239"/>
        </w:numPr>
        <w:jc w:val="both"/>
        <w:rPr>
          <w:rFonts w:ascii="Arial" w:hAnsi="Arial" w:cs="Arial"/>
          <w:color w:val="ED7D31" w:themeColor="accent2"/>
          <w:sz w:val="18"/>
          <w:szCs w:val="18"/>
          <w:u w:val="single"/>
          <w:lang w:eastAsia="fr-FR"/>
        </w:rPr>
      </w:pPr>
      <w:r w:rsidRPr="005D0883">
        <w:rPr>
          <w:rFonts w:ascii="Arial" w:hAnsi="Arial" w:cs="Arial"/>
          <w:color w:val="ED7D31" w:themeColor="accent2"/>
          <w:sz w:val="18"/>
          <w:szCs w:val="18"/>
          <w:u w:val="single"/>
          <w:lang w:eastAsia="fr-FR"/>
        </w:rPr>
        <w:t xml:space="preserve">Les cellules </w:t>
      </w:r>
      <m:oMath>
        <m:r>
          <w:rPr>
            <w:rFonts w:ascii="Cambria Math" w:hAnsi="Cambria Math" w:cs="Arial"/>
            <w:color w:val="ED7D31" w:themeColor="accent2"/>
            <w:sz w:val="18"/>
            <w:szCs w:val="18"/>
            <w:u w:val="single"/>
            <w:lang w:eastAsia="fr-FR"/>
          </w:rPr>
          <m:t>δ</m:t>
        </m:r>
      </m:oMath>
    </w:p>
    <w:p w14:paraId="7A3CD1FB" w14:textId="77777777" w:rsidR="00ED4694" w:rsidRPr="00CF684E" w:rsidRDefault="00ED4694" w:rsidP="00ED4694">
      <w:pPr>
        <w:pStyle w:val="Sansinterligne"/>
        <w:jc w:val="both"/>
        <w:rPr>
          <w:rFonts w:ascii="Arial" w:hAnsi="Arial" w:cs="Arial"/>
          <w:color w:val="000000" w:themeColor="text1"/>
          <w:sz w:val="18"/>
          <w:szCs w:val="18"/>
          <w:lang w:eastAsia="fr-FR"/>
        </w:rPr>
      </w:pPr>
      <w:r>
        <w:rPr>
          <w:rFonts w:ascii="Arial" w:hAnsi="Arial" w:cs="Arial"/>
          <w:color w:val="000000" w:themeColor="text1"/>
          <w:sz w:val="18"/>
          <w:szCs w:val="18"/>
          <w:lang w:eastAsia="fr-FR"/>
        </w:rPr>
        <w:t>Ce sont des cellules de m</w:t>
      </w:r>
      <w:r w:rsidRPr="00CF684E">
        <w:rPr>
          <w:rFonts w:ascii="Arial" w:hAnsi="Arial" w:cs="Arial"/>
          <w:color w:val="000000" w:themeColor="text1"/>
          <w:sz w:val="18"/>
          <w:szCs w:val="18"/>
          <w:lang w:eastAsia="fr-FR"/>
        </w:rPr>
        <w:t>orphologie de type neuronal avec des processus cytoplasmiques qui s</w:t>
      </w:r>
      <w:r>
        <w:rPr>
          <w:rFonts w:ascii="Arial" w:hAnsi="Arial" w:cs="Arial"/>
          <w:color w:val="000000" w:themeColor="text1"/>
          <w:sz w:val="18"/>
          <w:szCs w:val="18"/>
          <w:lang w:eastAsia="fr-FR"/>
        </w:rPr>
        <w:t>’</w:t>
      </w:r>
      <w:r w:rsidRPr="00CF684E">
        <w:rPr>
          <w:rFonts w:ascii="Arial" w:hAnsi="Arial" w:cs="Arial"/>
          <w:color w:val="000000" w:themeColor="text1"/>
          <w:sz w:val="18"/>
          <w:szCs w:val="18"/>
          <w:lang w:eastAsia="fr-FR"/>
        </w:rPr>
        <w:t xml:space="preserve">étendent. </w:t>
      </w:r>
      <w:r>
        <w:rPr>
          <w:rFonts w:ascii="Arial" w:hAnsi="Arial" w:cs="Arial"/>
          <w:color w:val="000000" w:themeColor="text1"/>
          <w:sz w:val="18"/>
          <w:szCs w:val="18"/>
          <w:lang w:eastAsia="fr-FR"/>
        </w:rPr>
        <w:t>L</w:t>
      </w:r>
      <w:r w:rsidRPr="00CF684E">
        <w:rPr>
          <w:rFonts w:ascii="Arial" w:hAnsi="Arial" w:cs="Arial"/>
          <w:color w:val="000000" w:themeColor="text1"/>
          <w:sz w:val="18"/>
          <w:szCs w:val="18"/>
          <w:lang w:eastAsia="fr-FR"/>
        </w:rPr>
        <w:t xml:space="preserve">es cellules </w:t>
      </w:r>
      <m:oMath>
        <m:r>
          <w:rPr>
            <w:rFonts w:ascii="Cambria Math" w:hAnsi="Cambria Math" w:cs="Arial"/>
            <w:color w:val="000000" w:themeColor="text1"/>
            <w:sz w:val="18"/>
            <w:szCs w:val="18"/>
            <w:lang w:eastAsia="fr-FR"/>
          </w:rPr>
          <m:t>δ</m:t>
        </m:r>
      </m:oMath>
      <w:r>
        <w:rPr>
          <w:rFonts w:ascii="Arial" w:hAnsi="Arial" w:cs="Arial"/>
          <w:color w:val="000000" w:themeColor="text1"/>
          <w:sz w:val="18"/>
          <w:szCs w:val="18"/>
          <w:lang w:eastAsia="fr-FR"/>
        </w:rPr>
        <w:t xml:space="preserve"> ont une influence paracrine. </w:t>
      </w:r>
      <w:r w:rsidRPr="00CF684E">
        <w:rPr>
          <w:rFonts w:ascii="Arial" w:hAnsi="Arial" w:cs="Arial"/>
          <w:color w:val="000000" w:themeColor="text1"/>
          <w:sz w:val="18"/>
          <w:szCs w:val="18"/>
          <w:lang w:eastAsia="fr-FR"/>
        </w:rPr>
        <w:t xml:space="preserve">Elles ont un </w:t>
      </w:r>
      <w:r>
        <w:rPr>
          <w:rFonts w:ascii="Arial" w:hAnsi="Arial" w:cs="Arial"/>
          <w:color w:val="000000" w:themeColor="text1"/>
          <w:sz w:val="18"/>
          <w:szCs w:val="18"/>
          <w:lang w:eastAsia="fr-FR"/>
        </w:rPr>
        <w:t>rôle</w:t>
      </w:r>
      <w:r w:rsidRPr="00CF684E">
        <w:rPr>
          <w:rFonts w:ascii="Arial" w:hAnsi="Arial" w:cs="Arial"/>
          <w:color w:val="000000" w:themeColor="text1"/>
          <w:sz w:val="18"/>
          <w:szCs w:val="18"/>
          <w:lang w:eastAsia="fr-FR"/>
        </w:rPr>
        <w:t xml:space="preserve"> essentiel en contrôlant les actions des C</w:t>
      </w:r>
      <w:r>
        <w:rPr>
          <w:rFonts w:ascii="Arial" w:hAnsi="Arial" w:cs="Arial"/>
          <w:color w:val="000000" w:themeColor="text1"/>
          <w:sz w:val="18"/>
          <w:szCs w:val="18"/>
          <w:lang w:eastAsia="fr-FR"/>
        </w:rPr>
        <w:t xml:space="preserve"> </w:t>
      </w:r>
      <m:oMath>
        <m:r>
          <w:rPr>
            <w:rFonts w:ascii="Cambria Math" w:hAnsi="Cambria Math" w:cs="Arial"/>
            <w:color w:val="000000" w:themeColor="text1"/>
            <w:sz w:val="18"/>
            <w:szCs w:val="18"/>
            <w:lang w:eastAsia="fr-FR"/>
          </w:rPr>
          <m:t>α</m:t>
        </m:r>
      </m:oMath>
      <w:r w:rsidRPr="00CF684E">
        <w:rPr>
          <w:rFonts w:ascii="Arial" w:hAnsi="Arial" w:cs="Arial"/>
          <w:color w:val="000000" w:themeColor="text1"/>
          <w:sz w:val="18"/>
          <w:szCs w:val="18"/>
          <w:lang w:eastAsia="fr-FR"/>
        </w:rPr>
        <w:t xml:space="preserve"> et </w:t>
      </w:r>
      <m:oMath>
        <m:r>
          <w:rPr>
            <w:rFonts w:ascii="Cambria Math" w:hAnsi="Cambria Math" w:cs="Arial"/>
            <w:color w:val="000000" w:themeColor="text1"/>
            <w:sz w:val="18"/>
            <w:szCs w:val="18"/>
            <w:lang w:eastAsia="fr-FR"/>
          </w:rPr>
          <m:t>β</m:t>
        </m:r>
      </m:oMath>
      <w:r w:rsidRPr="00CF684E">
        <w:rPr>
          <w:rFonts w:ascii="Arial" w:hAnsi="Arial" w:cs="Arial"/>
          <w:color w:val="000000" w:themeColor="text1"/>
          <w:sz w:val="18"/>
          <w:szCs w:val="18"/>
          <w:lang w:eastAsia="fr-FR"/>
        </w:rPr>
        <w:t xml:space="preserve">. </w:t>
      </w:r>
      <w:r>
        <w:rPr>
          <w:rFonts w:ascii="Arial" w:hAnsi="Arial" w:cs="Arial"/>
          <w:color w:val="000000" w:themeColor="text1"/>
          <w:sz w:val="18"/>
          <w:szCs w:val="18"/>
          <w:lang w:eastAsia="fr-FR"/>
        </w:rPr>
        <w:t>La s</w:t>
      </w:r>
      <w:r w:rsidRPr="00CF684E">
        <w:rPr>
          <w:rFonts w:ascii="Arial" w:hAnsi="Arial" w:cs="Arial"/>
          <w:color w:val="000000" w:themeColor="text1"/>
          <w:sz w:val="18"/>
          <w:szCs w:val="18"/>
          <w:lang w:eastAsia="fr-FR"/>
        </w:rPr>
        <w:t>omatosta</w:t>
      </w:r>
      <w:r>
        <w:rPr>
          <w:rFonts w:ascii="Arial" w:hAnsi="Arial" w:cs="Arial"/>
          <w:color w:val="000000" w:themeColor="text1"/>
          <w:sz w:val="18"/>
          <w:szCs w:val="18"/>
          <w:lang w:eastAsia="fr-FR"/>
        </w:rPr>
        <w:t>t</w:t>
      </w:r>
      <w:r w:rsidRPr="00CF684E">
        <w:rPr>
          <w:rFonts w:ascii="Arial" w:hAnsi="Arial" w:cs="Arial"/>
          <w:color w:val="000000" w:themeColor="text1"/>
          <w:sz w:val="18"/>
          <w:szCs w:val="18"/>
          <w:lang w:eastAsia="fr-FR"/>
        </w:rPr>
        <w:t>ine sécrétée fonctionne comme facteur paracrine intra-ilot</w:t>
      </w:r>
      <w:r>
        <w:rPr>
          <w:rFonts w:ascii="Arial" w:hAnsi="Arial" w:cs="Arial"/>
          <w:color w:val="000000" w:themeColor="text1"/>
          <w:sz w:val="18"/>
          <w:szCs w:val="18"/>
          <w:lang w:eastAsia="fr-FR"/>
        </w:rPr>
        <w:t xml:space="preserve"> et sa sécrétion</w:t>
      </w:r>
      <w:r w:rsidRPr="00CF684E">
        <w:rPr>
          <w:rFonts w:ascii="Arial" w:hAnsi="Arial" w:cs="Arial"/>
          <w:color w:val="000000" w:themeColor="text1"/>
          <w:sz w:val="18"/>
          <w:szCs w:val="18"/>
          <w:lang w:eastAsia="fr-FR"/>
        </w:rPr>
        <w:t xml:space="preserve"> augmente avec la sécrétion de glucose.</w:t>
      </w:r>
    </w:p>
    <w:p w14:paraId="0A5094E1" w14:textId="77777777" w:rsidR="00ED4694" w:rsidRPr="00CF684E" w:rsidRDefault="00ED4694" w:rsidP="00ED4694">
      <w:pPr>
        <w:pStyle w:val="Sansinterligne"/>
        <w:jc w:val="both"/>
        <w:rPr>
          <w:rFonts w:ascii="Arial" w:hAnsi="Arial" w:cs="Arial"/>
          <w:color w:val="000000" w:themeColor="text1"/>
          <w:sz w:val="18"/>
          <w:szCs w:val="18"/>
          <w:lang w:eastAsia="fr-FR"/>
        </w:rPr>
      </w:pPr>
    </w:p>
    <w:p w14:paraId="506C379B" w14:textId="77777777" w:rsidR="00ED4694" w:rsidRPr="005D0883" w:rsidRDefault="00ED4694" w:rsidP="00ED4694">
      <w:pPr>
        <w:pStyle w:val="Sansinterligne"/>
        <w:numPr>
          <w:ilvl w:val="0"/>
          <w:numId w:val="239"/>
        </w:numPr>
        <w:jc w:val="both"/>
        <w:rPr>
          <w:rFonts w:ascii="Arial" w:hAnsi="Arial" w:cs="Arial"/>
          <w:color w:val="ED7D31" w:themeColor="accent2"/>
          <w:sz w:val="18"/>
          <w:szCs w:val="18"/>
          <w:u w:val="single"/>
          <w:lang w:eastAsia="fr-FR"/>
        </w:rPr>
      </w:pPr>
      <w:r w:rsidRPr="005D0883">
        <w:rPr>
          <w:rFonts w:ascii="Arial" w:hAnsi="Arial" w:cs="Arial"/>
          <w:color w:val="ED7D31" w:themeColor="accent2"/>
          <w:sz w:val="18"/>
          <w:szCs w:val="18"/>
          <w:u w:val="single"/>
          <w:lang w:eastAsia="fr-FR"/>
        </w:rPr>
        <w:t xml:space="preserve">Les cellules PP </w:t>
      </w:r>
    </w:p>
    <w:p w14:paraId="629E142B" w14:textId="77777777" w:rsidR="00ED4694" w:rsidRDefault="00ED4694" w:rsidP="00ED4694">
      <w:pPr>
        <w:pStyle w:val="Sansinterligne"/>
        <w:jc w:val="both"/>
        <w:rPr>
          <w:rFonts w:ascii="Arial" w:hAnsi="Arial" w:cs="Arial"/>
          <w:color w:val="000000" w:themeColor="text1"/>
          <w:sz w:val="18"/>
          <w:szCs w:val="18"/>
          <w:lang w:eastAsia="fr-FR"/>
        </w:rPr>
      </w:pPr>
      <w:r>
        <w:rPr>
          <w:rFonts w:ascii="Arial" w:hAnsi="Arial" w:cs="Arial"/>
          <w:color w:val="000000" w:themeColor="text1"/>
          <w:sz w:val="18"/>
          <w:szCs w:val="18"/>
          <w:lang w:eastAsia="fr-FR"/>
        </w:rPr>
        <w:t>Principalement présentes dans</w:t>
      </w:r>
      <w:r w:rsidRPr="00CF684E">
        <w:rPr>
          <w:rFonts w:ascii="Arial" w:hAnsi="Arial" w:cs="Arial"/>
          <w:color w:val="000000" w:themeColor="text1"/>
          <w:sz w:val="18"/>
          <w:szCs w:val="18"/>
          <w:lang w:eastAsia="fr-FR"/>
        </w:rPr>
        <w:t xml:space="preserve"> les </w:t>
      </w:r>
      <w:r>
        <w:rPr>
          <w:rFonts w:ascii="Arial" w:hAnsi="Arial" w:cs="Arial"/>
          <w:color w:val="000000" w:themeColor="text1"/>
          <w:sz w:val="18"/>
          <w:szCs w:val="18"/>
          <w:lang w:eastAsia="fr-FR"/>
        </w:rPr>
        <w:t>ilots</w:t>
      </w:r>
      <w:r w:rsidRPr="00CF684E">
        <w:rPr>
          <w:rFonts w:ascii="Arial" w:hAnsi="Arial" w:cs="Arial"/>
          <w:color w:val="000000" w:themeColor="text1"/>
          <w:sz w:val="18"/>
          <w:szCs w:val="18"/>
          <w:lang w:eastAsia="fr-FR"/>
        </w:rPr>
        <w:t xml:space="preserve"> de la t</w:t>
      </w:r>
      <w:r>
        <w:rPr>
          <w:rFonts w:ascii="Arial" w:hAnsi="Arial" w:cs="Arial"/>
          <w:color w:val="000000" w:themeColor="text1"/>
          <w:sz w:val="18"/>
          <w:szCs w:val="18"/>
          <w:lang w:eastAsia="fr-FR"/>
        </w:rPr>
        <w:t>ê</w:t>
      </w:r>
      <w:r w:rsidRPr="00CF684E">
        <w:rPr>
          <w:rFonts w:ascii="Arial" w:hAnsi="Arial" w:cs="Arial"/>
          <w:color w:val="000000" w:themeColor="text1"/>
          <w:sz w:val="18"/>
          <w:szCs w:val="18"/>
          <w:lang w:eastAsia="fr-FR"/>
        </w:rPr>
        <w:t>te du pancréas</w:t>
      </w:r>
      <w:r>
        <w:rPr>
          <w:rFonts w:ascii="Arial" w:hAnsi="Arial" w:cs="Arial"/>
          <w:color w:val="000000" w:themeColor="text1"/>
          <w:sz w:val="18"/>
          <w:szCs w:val="18"/>
          <w:lang w:eastAsia="fr-FR"/>
        </w:rPr>
        <w:t>, elles régulent</w:t>
      </w:r>
      <w:r w:rsidRPr="00CF684E">
        <w:rPr>
          <w:rFonts w:ascii="Arial" w:hAnsi="Arial" w:cs="Arial"/>
          <w:color w:val="000000" w:themeColor="text1"/>
          <w:sz w:val="18"/>
          <w:szCs w:val="18"/>
          <w:lang w:eastAsia="fr-FR"/>
        </w:rPr>
        <w:t xml:space="preserve"> l’activité endo et exocrine du pancréas</w:t>
      </w:r>
      <w:r>
        <w:rPr>
          <w:rFonts w:ascii="Arial" w:hAnsi="Arial" w:cs="Arial"/>
          <w:color w:val="000000" w:themeColor="text1"/>
          <w:sz w:val="18"/>
          <w:szCs w:val="18"/>
          <w:lang w:eastAsia="fr-FR"/>
        </w:rPr>
        <w:t>. Leur s</w:t>
      </w:r>
      <w:r w:rsidRPr="00CF684E">
        <w:rPr>
          <w:rFonts w:ascii="Arial" w:hAnsi="Arial" w:cs="Arial"/>
          <w:color w:val="000000" w:themeColor="text1"/>
          <w:sz w:val="18"/>
          <w:szCs w:val="18"/>
          <w:lang w:eastAsia="fr-FR"/>
        </w:rPr>
        <w:t xml:space="preserve">écrétion </w:t>
      </w:r>
      <w:r>
        <w:rPr>
          <w:rFonts w:ascii="Arial" w:hAnsi="Arial" w:cs="Arial"/>
          <w:color w:val="000000" w:themeColor="text1"/>
          <w:sz w:val="18"/>
          <w:szCs w:val="18"/>
          <w:lang w:eastAsia="fr-FR"/>
        </w:rPr>
        <w:t xml:space="preserve">est </w:t>
      </w:r>
      <w:r w:rsidRPr="00CF684E">
        <w:rPr>
          <w:rFonts w:ascii="Arial" w:hAnsi="Arial" w:cs="Arial"/>
          <w:color w:val="000000" w:themeColor="text1"/>
          <w:sz w:val="18"/>
          <w:szCs w:val="18"/>
          <w:lang w:eastAsia="fr-FR"/>
        </w:rPr>
        <w:t>déclenchée dès la phase céphalique pendant la digestion</w:t>
      </w:r>
      <w:r>
        <w:rPr>
          <w:rFonts w:ascii="Arial" w:hAnsi="Arial" w:cs="Arial"/>
          <w:color w:val="000000" w:themeColor="text1"/>
          <w:sz w:val="18"/>
          <w:szCs w:val="18"/>
          <w:lang w:eastAsia="fr-FR"/>
        </w:rPr>
        <w:t xml:space="preserve">. </w:t>
      </w:r>
      <w:r w:rsidRPr="00CF684E">
        <w:rPr>
          <w:rFonts w:ascii="Arial" w:hAnsi="Arial" w:cs="Arial"/>
          <w:color w:val="000000" w:themeColor="text1"/>
          <w:sz w:val="18"/>
          <w:szCs w:val="18"/>
          <w:lang w:eastAsia="fr-FR"/>
        </w:rPr>
        <w:t>L’hypoglycémie stimule les C PP, l’hyperglycémie les inhibe.</w:t>
      </w:r>
    </w:p>
    <w:p w14:paraId="65788DCF" w14:textId="77777777" w:rsidR="00ED4694" w:rsidRDefault="00ED4694" w:rsidP="00ED4694">
      <w:pPr>
        <w:pStyle w:val="Sansinterligne"/>
        <w:jc w:val="both"/>
        <w:rPr>
          <w:rFonts w:ascii="Arial" w:hAnsi="Arial" w:cs="Arial"/>
          <w:color w:val="000000" w:themeColor="text1"/>
          <w:sz w:val="18"/>
          <w:szCs w:val="18"/>
          <w:lang w:eastAsia="fr-FR"/>
        </w:rPr>
      </w:pPr>
    </w:p>
    <w:p w14:paraId="5CE53662" w14:textId="77777777" w:rsidR="00ED4694" w:rsidRDefault="00ED4694" w:rsidP="00ED4694">
      <w:pPr>
        <w:pStyle w:val="Sansinterligne"/>
        <w:jc w:val="both"/>
        <w:rPr>
          <w:rFonts w:ascii="Arial" w:hAnsi="Arial" w:cs="Arial"/>
          <w:color w:val="000000" w:themeColor="text1"/>
          <w:sz w:val="18"/>
          <w:szCs w:val="18"/>
          <w:lang w:eastAsia="fr-FR"/>
        </w:rPr>
      </w:pPr>
    </w:p>
    <w:p w14:paraId="606434ED" w14:textId="77777777" w:rsidR="00ED4694" w:rsidRDefault="00ED4694" w:rsidP="00ED4694">
      <w:pPr>
        <w:pStyle w:val="Sansinterligne"/>
        <w:jc w:val="both"/>
        <w:rPr>
          <w:rFonts w:ascii="Arial" w:hAnsi="Arial" w:cs="Arial"/>
          <w:color w:val="000000" w:themeColor="text1"/>
          <w:sz w:val="18"/>
          <w:szCs w:val="18"/>
          <w:lang w:eastAsia="fr-FR"/>
        </w:rPr>
      </w:pPr>
    </w:p>
    <w:p w14:paraId="7F4F5471" w14:textId="77777777" w:rsidR="00ED4694" w:rsidRDefault="00ED4694" w:rsidP="00ED4694">
      <w:pPr>
        <w:pStyle w:val="Sansinterligne"/>
        <w:jc w:val="both"/>
        <w:rPr>
          <w:rFonts w:ascii="Arial" w:hAnsi="Arial" w:cs="Arial"/>
          <w:color w:val="000000" w:themeColor="text1"/>
          <w:sz w:val="20"/>
          <w:szCs w:val="20"/>
          <w:lang w:eastAsia="fr-FR"/>
        </w:rPr>
      </w:pPr>
    </w:p>
    <w:p w14:paraId="216765EB" w14:textId="77777777" w:rsidR="00ED4694" w:rsidRDefault="00ED4694" w:rsidP="00ED4694">
      <w:pPr>
        <w:pStyle w:val="Sansinterligne"/>
        <w:jc w:val="both"/>
        <w:rPr>
          <w:rFonts w:ascii="Arial" w:hAnsi="Arial" w:cs="Arial"/>
          <w:b/>
          <w:bCs/>
          <w:color w:val="000000" w:themeColor="text1"/>
          <w:sz w:val="20"/>
          <w:szCs w:val="20"/>
          <w:u w:val="single"/>
          <w:lang w:eastAsia="fr-FR"/>
        </w:rPr>
      </w:pPr>
      <w:r w:rsidRPr="005749A0">
        <w:rPr>
          <w:rFonts w:ascii="Arial" w:hAnsi="Arial" w:cs="Arial"/>
          <w:b/>
          <w:bCs/>
          <w:color w:val="000000" w:themeColor="text1"/>
          <w:sz w:val="20"/>
          <w:szCs w:val="20"/>
          <w:highlight w:val="yellow"/>
          <w:u w:val="single"/>
          <w:lang w:eastAsia="fr-FR"/>
        </w:rPr>
        <w:lastRenderedPageBreak/>
        <w:t>CM1</w:t>
      </w:r>
      <w:r w:rsidRPr="007A182C">
        <w:rPr>
          <w:rFonts w:ascii="Arial" w:hAnsi="Arial" w:cs="Arial"/>
          <w:b/>
          <w:bCs/>
          <w:color w:val="000000" w:themeColor="text1"/>
          <w:sz w:val="20"/>
          <w:szCs w:val="20"/>
          <w:highlight w:val="yellow"/>
          <w:u w:val="single"/>
          <w:lang w:eastAsia="fr-FR"/>
        </w:rPr>
        <w:t>3</w:t>
      </w:r>
      <w:r w:rsidRPr="005749A0">
        <w:rPr>
          <w:rFonts w:ascii="Arial" w:hAnsi="Arial" w:cs="Arial"/>
          <w:b/>
          <w:bCs/>
          <w:color w:val="000000" w:themeColor="text1"/>
          <w:sz w:val="20"/>
          <w:szCs w:val="20"/>
          <w:u w:val="single"/>
          <w:lang w:eastAsia="fr-FR"/>
        </w:rPr>
        <w:t xml:space="preserve"> – Pharmacie clinique et DT1 :</w:t>
      </w:r>
    </w:p>
    <w:p w14:paraId="16BDAD62" w14:textId="77777777" w:rsidR="00ED4694" w:rsidRDefault="00ED4694" w:rsidP="00ED4694">
      <w:pPr>
        <w:pStyle w:val="Sansinterligne"/>
        <w:jc w:val="both"/>
        <w:rPr>
          <w:rFonts w:ascii="Arial" w:hAnsi="Arial" w:cs="Arial"/>
          <w:color w:val="000000" w:themeColor="text1"/>
          <w:sz w:val="20"/>
          <w:szCs w:val="20"/>
          <w:u w:val="single"/>
        </w:rPr>
      </w:pPr>
    </w:p>
    <w:p w14:paraId="05B1473F" w14:textId="77777777" w:rsidR="00ED4694" w:rsidRPr="007418D4" w:rsidRDefault="00ED4694" w:rsidP="00ED4694">
      <w:pPr>
        <w:pStyle w:val="Sansinterligne"/>
        <w:jc w:val="both"/>
        <w:rPr>
          <w:rFonts w:ascii="Arial" w:hAnsi="Arial" w:cs="Arial"/>
          <w:color w:val="000000" w:themeColor="text1"/>
          <w:sz w:val="20"/>
          <w:szCs w:val="20"/>
          <w:u w:val="single"/>
        </w:rPr>
      </w:pPr>
      <w:r w:rsidRPr="007418D4">
        <w:rPr>
          <w:rFonts w:ascii="Arial" w:hAnsi="Arial" w:cs="Arial"/>
          <w:color w:val="000000" w:themeColor="text1"/>
          <w:sz w:val="20"/>
          <w:szCs w:val="20"/>
          <w:u w:val="single"/>
        </w:rPr>
        <w:t>Physiopathologie</w:t>
      </w:r>
      <w:r>
        <w:rPr>
          <w:rFonts w:ascii="Arial" w:hAnsi="Arial" w:cs="Arial"/>
          <w:color w:val="000000" w:themeColor="text1"/>
          <w:sz w:val="20"/>
          <w:szCs w:val="20"/>
          <w:u w:val="single"/>
        </w:rPr>
        <w:t xml:space="preserve"> : </w:t>
      </w:r>
    </w:p>
    <w:p w14:paraId="7D06E9AA"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Destruction progressive des cellules béta pancréatiques aboutissant à </w:t>
      </w:r>
      <w:r w:rsidRPr="005749A0">
        <w:rPr>
          <w:rFonts w:ascii="Arial" w:hAnsi="Arial" w:cs="Arial"/>
          <w:b/>
          <w:bCs/>
          <w:color w:val="000000" w:themeColor="text1"/>
          <w:sz w:val="20"/>
          <w:szCs w:val="20"/>
        </w:rPr>
        <w:t xml:space="preserve">une carence en insuline </w:t>
      </w:r>
      <w:r w:rsidRPr="005749A0">
        <w:rPr>
          <w:rFonts w:ascii="Arial" w:hAnsi="Arial" w:cs="Arial"/>
          <w:color w:val="000000" w:themeColor="text1"/>
          <w:sz w:val="20"/>
          <w:szCs w:val="20"/>
        </w:rPr>
        <w:t>responsable d'hyperglycémie</w:t>
      </w:r>
    </w:p>
    <w:p w14:paraId="0D3F1E4A" w14:textId="77777777" w:rsidR="00ED4694" w:rsidRPr="007418D4" w:rsidRDefault="00ED4694" w:rsidP="00ED4694">
      <w:pPr>
        <w:pStyle w:val="Sansinterligne"/>
        <w:numPr>
          <w:ilvl w:val="0"/>
          <w:numId w:val="140"/>
        </w:numPr>
        <w:jc w:val="both"/>
        <w:rPr>
          <w:rFonts w:ascii="Arial" w:hAnsi="Arial" w:cs="Arial"/>
          <w:color w:val="000000" w:themeColor="text1"/>
          <w:sz w:val="20"/>
          <w:szCs w:val="20"/>
        </w:rPr>
      </w:pPr>
      <w:r w:rsidRPr="007418D4">
        <w:rPr>
          <w:rFonts w:ascii="Arial" w:hAnsi="Arial" w:cs="Arial"/>
          <w:color w:val="000000" w:themeColor="text1"/>
          <w:sz w:val="20"/>
          <w:szCs w:val="20"/>
        </w:rPr>
        <w:t xml:space="preserve">Maladie </w:t>
      </w:r>
      <w:r w:rsidRPr="007418D4">
        <w:rPr>
          <w:rFonts w:ascii="Arial" w:hAnsi="Arial" w:cs="Arial"/>
          <w:b/>
          <w:bCs/>
          <w:color w:val="000000" w:themeColor="text1"/>
          <w:sz w:val="20"/>
          <w:szCs w:val="20"/>
        </w:rPr>
        <w:t>auto-immune</w:t>
      </w:r>
      <w:r>
        <w:rPr>
          <w:rFonts w:ascii="Arial" w:hAnsi="Arial" w:cs="Arial"/>
          <w:b/>
          <w:bCs/>
          <w:color w:val="000000" w:themeColor="text1"/>
          <w:sz w:val="20"/>
          <w:szCs w:val="20"/>
        </w:rPr>
        <w:t xml:space="preserve"> : </w:t>
      </w:r>
      <w:r w:rsidRPr="007418D4">
        <w:rPr>
          <w:rFonts w:ascii="Arial" w:hAnsi="Arial" w:cs="Arial"/>
          <w:color w:val="000000" w:themeColor="text1"/>
          <w:sz w:val="20"/>
          <w:szCs w:val="20"/>
        </w:rPr>
        <w:t>présence d'anticorps : antiGAD, antiA2 et anti ilots dans 90% des ca</w:t>
      </w:r>
      <w:r>
        <w:rPr>
          <w:rFonts w:ascii="Arial" w:hAnsi="Arial" w:cs="Arial"/>
          <w:color w:val="000000" w:themeColor="text1"/>
          <w:sz w:val="20"/>
          <w:szCs w:val="20"/>
        </w:rPr>
        <w:t>s</w:t>
      </w:r>
      <w:r w:rsidRPr="007418D4">
        <w:rPr>
          <w:rFonts w:ascii="Arial" w:hAnsi="Arial" w:cs="Arial"/>
          <w:color w:val="000000" w:themeColor="text1"/>
          <w:sz w:val="20"/>
          <w:szCs w:val="20"/>
        </w:rPr>
        <w:t xml:space="preserve"> </w:t>
      </w:r>
    </w:p>
    <w:p w14:paraId="4979B65A"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Autres maladies auto-immunes fréquemment associées (maladie de Basedow,d'Addisson, thyroidite de Hashimoto, maladie coeliaque...) </w:t>
      </w:r>
    </w:p>
    <w:p w14:paraId="5D5580BF" w14:textId="77777777" w:rsidR="00ED4694" w:rsidRPr="007418D4" w:rsidRDefault="00ED4694" w:rsidP="00ED4694">
      <w:pPr>
        <w:pStyle w:val="Sansinterligne"/>
        <w:ind w:left="360"/>
        <w:jc w:val="both"/>
        <w:rPr>
          <w:rFonts w:ascii="Arial" w:hAnsi="Arial" w:cs="Arial"/>
          <w:color w:val="000000" w:themeColor="text1"/>
          <w:sz w:val="20"/>
          <w:szCs w:val="20"/>
        </w:rPr>
      </w:pPr>
      <w:r w:rsidRPr="007418D4">
        <w:rPr>
          <w:rFonts w:ascii="Arial" w:hAnsi="Arial" w:cs="Arial"/>
          <w:color w:val="000000" w:themeColor="text1"/>
          <w:sz w:val="20"/>
          <w:szCs w:val="20"/>
        </w:rPr>
        <w:t xml:space="preserve"> </w:t>
      </w:r>
    </w:p>
    <w:p w14:paraId="3439085D" w14:textId="77777777" w:rsidR="00ED4694" w:rsidRPr="007418D4" w:rsidRDefault="00ED4694" w:rsidP="00ED4694">
      <w:pPr>
        <w:pStyle w:val="Sansinterligne"/>
        <w:jc w:val="both"/>
        <w:rPr>
          <w:rFonts w:ascii="Arial" w:hAnsi="Arial" w:cs="Arial"/>
          <w:color w:val="000000" w:themeColor="text1"/>
          <w:sz w:val="20"/>
          <w:szCs w:val="20"/>
          <w:u w:val="single"/>
        </w:rPr>
      </w:pPr>
      <w:r w:rsidRPr="007418D4">
        <w:rPr>
          <w:rFonts w:ascii="Arial" w:hAnsi="Arial" w:cs="Arial"/>
          <w:color w:val="000000" w:themeColor="text1"/>
          <w:sz w:val="20"/>
          <w:szCs w:val="20"/>
          <w:u w:val="single"/>
        </w:rPr>
        <w:t>Épidémiologie</w:t>
      </w:r>
      <w:r>
        <w:rPr>
          <w:rFonts w:ascii="Arial" w:hAnsi="Arial" w:cs="Arial"/>
          <w:color w:val="000000" w:themeColor="text1"/>
          <w:sz w:val="20"/>
          <w:szCs w:val="20"/>
          <w:u w:val="single"/>
        </w:rPr>
        <w:t xml:space="preserve"> : </w:t>
      </w:r>
    </w:p>
    <w:p w14:paraId="0B029D9F"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150 000</w:t>
      </w:r>
      <w:r>
        <w:rPr>
          <w:rFonts w:ascii="Arial" w:hAnsi="Arial" w:cs="Arial"/>
          <w:color w:val="000000" w:themeColor="text1"/>
          <w:sz w:val="20"/>
          <w:szCs w:val="20"/>
        </w:rPr>
        <w:t>,</w:t>
      </w:r>
      <w:r w:rsidRPr="005749A0">
        <w:rPr>
          <w:rFonts w:ascii="Arial" w:hAnsi="Arial" w:cs="Arial"/>
          <w:color w:val="000000" w:themeColor="text1"/>
          <w:sz w:val="20"/>
          <w:szCs w:val="20"/>
        </w:rPr>
        <w:t xml:space="preserve"> 10% des diabètes </w:t>
      </w:r>
    </w:p>
    <w:p w14:paraId="7E659B53"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Environ 4000 nouveaux cas/an sont identifiés </w:t>
      </w:r>
    </w:p>
    <w:p w14:paraId="1B04B2B2"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Survient habituellement avant 35 ans mais peut survenir à tout âge </w:t>
      </w:r>
    </w:p>
    <w:p w14:paraId="1E480DBD"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Sexe ratio = 1 </w:t>
      </w:r>
    </w:p>
    <w:p w14:paraId="4D43D28B" w14:textId="77777777" w:rsidR="00ED4694" w:rsidRDefault="00ED4694" w:rsidP="00ED4694">
      <w:pPr>
        <w:pStyle w:val="Sansinterligne"/>
        <w:jc w:val="both"/>
        <w:rPr>
          <w:rFonts w:ascii="Arial" w:hAnsi="Arial" w:cs="Arial"/>
          <w:color w:val="000000" w:themeColor="text1"/>
          <w:sz w:val="20"/>
          <w:szCs w:val="20"/>
        </w:rPr>
      </w:pPr>
    </w:p>
    <w:p w14:paraId="3DF0F1E4" w14:textId="77777777" w:rsidR="00ED4694" w:rsidRPr="007418D4" w:rsidRDefault="00ED4694" w:rsidP="00ED4694">
      <w:pPr>
        <w:pStyle w:val="Sansinterligne"/>
        <w:jc w:val="both"/>
        <w:rPr>
          <w:rFonts w:ascii="Arial" w:hAnsi="Arial" w:cs="Arial"/>
          <w:color w:val="000000" w:themeColor="text1"/>
          <w:sz w:val="20"/>
          <w:szCs w:val="20"/>
          <w:u w:val="single"/>
        </w:rPr>
      </w:pPr>
      <w:r w:rsidRPr="007418D4">
        <w:rPr>
          <w:rFonts w:ascii="Arial" w:hAnsi="Arial" w:cs="Arial"/>
          <w:color w:val="000000" w:themeColor="text1"/>
          <w:sz w:val="20"/>
          <w:szCs w:val="20"/>
          <w:u w:val="single"/>
        </w:rPr>
        <w:t xml:space="preserve">Tableau Clinique </w:t>
      </w:r>
    </w:p>
    <w:p w14:paraId="5F7C9809"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Poids normal (non obèse)</w:t>
      </w:r>
    </w:p>
    <w:p w14:paraId="49E173CD" w14:textId="77777777" w:rsidR="00ED4694" w:rsidRPr="007418D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Mode de révélation : syndrome cardinal lié à la carence en insuline</w:t>
      </w:r>
      <w:r>
        <w:rPr>
          <w:rFonts w:ascii="Arial" w:hAnsi="Arial" w:cs="Arial"/>
          <w:color w:val="000000" w:themeColor="text1"/>
          <w:sz w:val="20"/>
          <w:szCs w:val="20"/>
        </w:rPr>
        <w:t> :</w:t>
      </w:r>
      <w:r w:rsidRPr="005749A0">
        <w:rPr>
          <w:rFonts w:ascii="Arial" w:hAnsi="Arial" w:cs="Arial"/>
          <w:color w:val="000000" w:themeColor="text1"/>
          <w:sz w:val="20"/>
          <w:szCs w:val="20"/>
        </w:rPr>
        <w:t xml:space="preserve"> syndrome</w:t>
      </w:r>
      <w:r>
        <w:rPr>
          <w:rFonts w:ascii="Arial" w:hAnsi="Arial" w:cs="Arial"/>
          <w:color w:val="000000" w:themeColor="text1"/>
          <w:sz w:val="20"/>
          <w:szCs w:val="20"/>
        </w:rPr>
        <w:t xml:space="preserve"> </w:t>
      </w:r>
      <w:r w:rsidRPr="005749A0">
        <w:rPr>
          <w:rFonts w:ascii="Arial" w:hAnsi="Arial" w:cs="Arial"/>
          <w:color w:val="000000" w:themeColor="text1"/>
          <w:sz w:val="20"/>
          <w:szCs w:val="20"/>
        </w:rPr>
        <w:t>polyuro-polydypsique</w:t>
      </w:r>
      <w:r>
        <w:rPr>
          <w:rFonts w:ascii="Arial" w:hAnsi="Arial" w:cs="Arial"/>
          <w:color w:val="000000" w:themeColor="text1"/>
          <w:sz w:val="20"/>
          <w:szCs w:val="20"/>
        </w:rPr>
        <w:t xml:space="preserve">, </w:t>
      </w:r>
      <w:r w:rsidRPr="005749A0">
        <w:rPr>
          <w:rFonts w:ascii="Arial" w:hAnsi="Arial" w:cs="Arial"/>
          <w:color w:val="000000" w:themeColor="text1"/>
          <w:sz w:val="20"/>
          <w:szCs w:val="20"/>
        </w:rPr>
        <w:t>amaigrissement</w:t>
      </w:r>
      <w:r>
        <w:rPr>
          <w:rFonts w:ascii="Arial" w:hAnsi="Arial" w:cs="Arial"/>
          <w:color w:val="000000" w:themeColor="text1"/>
          <w:sz w:val="20"/>
          <w:szCs w:val="20"/>
        </w:rPr>
        <w:t xml:space="preserve">, </w:t>
      </w:r>
      <w:r w:rsidRPr="005749A0">
        <w:rPr>
          <w:rFonts w:ascii="Arial" w:hAnsi="Arial" w:cs="Arial"/>
          <w:color w:val="000000" w:themeColor="text1"/>
          <w:sz w:val="20"/>
          <w:szCs w:val="20"/>
        </w:rPr>
        <w:t>asthénie</w:t>
      </w:r>
      <w:r>
        <w:rPr>
          <w:rFonts w:ascii="Arial" w:hAnsi="Arial" w:cs="Arial"/>
          <w:color w:val="000000" w:themeColor="text1"/>
          <w:sz w:val="20"/>
          <w:szCs w:val="20"/>
        </w:rPr>
        <w:t xml:space="preserve">, </w:t>
      </w:r>
      <w:r w:rsidRPr="007418D4">
        <w:rPr>
          <w:rFonts w:ascii="Arial" w:hAnsi="Arial" w:cs="Arial"/>
          <w:color w:val="000000" w:themeColor="text1"/>
          <w:sz w:val="20"/>
          <w:szCs w:val="20"/>
        </w:rPr>
        <w:t xml:space="preserve">polyphagie </w:t>
      </w:r>
    </w:p>
    <w:p w14:paraId="692453D7" w14:textId="77777777" w:rsidR="00ED4694" w:rsidRPr="007418D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C</w:t>
      </w:r>
      <w:r w:rsidRPr="005749A0">
        <w:rPr>
          <w:rFonts w:ascii="Arial" w:hAnsi="Arial" w:cs="Arial"/>
          <w:color w:val="000000" w:themeColor="text1"/>
          <w:sz w:val="20"/>
          <w:szCs w:val="20"/>
        </w:rPr>
        <w:t>arence en insuline entraîne une cétonurie</w:t>
      </w:r>
      <w:r>
        <w:rPr>
          <w:rFonts w:ascii="Arial" w:hAnsi="Arial" w:cs="Arial"/>
          <w:color w:val="000000" w:themeColor="text1"/>
          <w:sz w:val="20"/>
          <w:szCs w:val="20"/>
        </w:rPr>
        <w:t xml:space="preserve"> : voire une acido-cétose avec possible coma en l’absence de ttt </w:t>
      </w:r>
    </w:p>
    <w:p w14:paraId="31B14D2D"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Évolutivité rapide vers l’insulinodépendance par disparition complète de la fabrication d’insuline </w:t>
      </w:r>
    </w:p>
    <w:p w14:paraId="79EA8AAA" w14:textId="77777777" w:rsidR="00ED4694" w:rsidRDefault="00ED4694" w:rsidP="00ED4694">
      <w:pPr>
        <w:pStyle w:val="Sansinterligne"/>
        <w:jc w:val="both"/>
        <w:rPr>
          <w:rFonts w:ascii="Arial" w:hAnsi="Arial" w:cs="Arial"/>
          <w:color w:val="000000" w:themeColor="text1"/>
          <w:sz w:val="20"/>
          <w:szCs w:val="20"/>
        </w:rPr>
      </w:pPr>
    </w:p>
    <w:p w14:paraId="35D69B5D" w14:textId="77777777" w:rsidR="00ED4694" w:rsidRPr="007418D4" w:rsidRDefault="00ED4694" w:rsidP="00ED4694">
      <w:pPr>
        <w:pStyle w:val="Sansinterligne"/>
        <w:numPr>
          <w:ilvl w:val="0"/>
          <w:numId w:val="192"/>
        </w:numPr>
        <w:jc w:val="both"/>
        <w:rPr>
          <w:rFonts w:ascii="Arial" w:hAnsi="Arial" w:cs="Arial"/>
          <w:b/>
          <w:bCs/>
          <w:color w:val="00B0F0"/>
          <w:sz w:val="20"/>
          <w:szCs w:val="20"/>
          <w:u w:val="single"/>
        </w:rPr>
      </w:pPr>
      <w:r w:rsidRPr="007418D4">
        <w:rPr>
          <w:rFonts w:ascii="Arial" w:hAnsi="Arial" w:cs="Arial"/>
          <w:b/>
          <w:bCs/>
          <w:color w:val="00B0F0"/>
          <w:sz w:val="20"/>
          <w:szCs w:val="20"/>
          <w:u w:val="single"/>
        </w:rPr>
        <w:t xml:space="preserve">Stratégie thérapeutique </w:t>
      </w:r>
    </w:p>
    <w:p w14:paraId="0512FF27" w14:textId="77777777" w:rsidR="00ED4694" w:rsidRPr="005749A0" w:rsidRDefault="00ED4694" w:rsidP="00ED4694">
      <w:pPr>
        <w:pStyle w:val="Sansinterligne"/>
        <w:jc w:val="both"/>
        <w:rPr>
          <w:rFonts w:ascii="Arial" w:hAnsi="Arial" w:cs="Arial"/>
          <w:color w:val="000000" w:themeColor="text1"/>
          <w:sz w:val="20"/>
          <w:szCs w:val="20"/>
        </w:rPr>
      </w:pPr>
      <w:r>
        <w:rPr>
          <w:rFonts w:ascii="Arial" w:hAnsi="Arial" w:cs="Arial"/>
          <w:color w:val="000000" w:themeColor="text1"/>
          <w:sz w:val="20"/>
          <w:szCs w:val="20"/>
        </w:rPr>
        <w:t>Dans le DT1, l’i</w:t>
      </w:r>
      <w:r w:rsidRPr="005749A0">
        <w:rPr>
          <w:rFonts w:ascii="Arial" w:hAnsi="Arial" w:cs="Arial"/>
          <w:color w:val="000000" w:themeColor="text1"/>
          <w:sz w:val="20"/>
          <w:szCs w:val="20"/>
        </w:rPr>
        <w:t xml:space="preserve">nsulinothérapie </w:t>
      </w:r>
      <w:r>
        <w:rPr>
          <w:rFonts w:ascii="Arial" w:hAnsi="Arial" w:cs="Arial"/>
          <w:color w:val="000000" w:themeColor="text1"/>
          <w:sz w:val="20"/>
          <w:szCs w:val="20"/>
        </w:rPr>
        <w:t xml:space="preserve">est </w:t>
      </w:r>
      <w:r w:rsidRPr="005749A0">
        <w:rPr>
          <w:rFonts w:ascii="Arial" w:hAnsi="Arial" w:cs="Arial"/>
          <w:color w:val="000000" w:themeColor="text1"/>
          <w:sz w:val="20"/>
          <w:szCs w:val="20"/>
        </w:rPr>
        <w:t>vitale</w:t>
      </w:r>
      <w:r>
        <w:rPr>
          <w:rFonts w:ascii="Arial" w:hAnsi="Arial" w:cs="Arial"/>
          <w:color w:val="000000" w:themeColor="text1"/>
          <w:sz w:val="20"/>
          <w:szCs w:val="20"/>
        </w:rPr>
        <w:t xml:space="preserve"> et doit être </w:t>
      </w:r>
      <w:r w:rsidRPr="005749A0">
        <w:rPr>
          <w:rFonts w:ascii="Arial" w:hAnsi="Arial" w:cs="Arial"/>
          <w:color w:val="000000" w:themeColor="text1"/>
          <w:sz w:val="20"/>
          <w:szCs w:val="20"/>
        </w:rPr>
        <w:t xml:space="preserve">rationnel </w:t>
      </w:r>
      <w:r>
        <w:rPr>
          <w:rFonts w:ascii="Arial" w:hAnsi="Arial" w:cs="Arial"/>
          <w:color w:val="000000" w:themeColor="text1"/>
          <w:sz w:val="20"/>
          <w:szCs w:val="20"/>
        </w:rPr>
        <w:t xml:space="preserve">afin </w:t>
      </w:r>
      <w:r w:rsidRPr="005749A0">
        <w:rPr>
          <w:rFonts w:ascii="Arial" w:hAnsi="Arial" w:cs="Arial"/>
          <w:color w:val="000000" w:themeColor="text1"/>
          <w:sz w:val="20"/>
          <w:szCs w:val="20"/>
        </w:rPr>
        <w:t>de reproduire l’insulinosécrétion physiologique</w:t>
      </w:r>
      <w:r>
        <w:rPr>
          <w:rFonts w:ascii="Arial" w:hAnsi="Arial" w:cs="Arial"/>
          <w:color w:val="000000" w:themeColor="text1"/>
          <w:sz w:val="20"/>
          <w:szCs w:val="20"/>
        </w:rPr>
        <w:t>.</w:t>
      </w:r>
    </w:p>
    <w:p w14:paraId="44D32FC5" w14:textId="77777777" w:rsidR="00ED4694" w:rsidRDefault="00ED4694" w:rsidP="00ED4694">
      <w:pPr>
        <w:pStyle w:val="Sansinterligne"/>
        <w:jc w:val="both"/>
        <w:rPr>
          <w:rFonts w:ascii="Arial" w:hAnsi="Arial" w:cs="Arial"/>
          <w:color w:val="000000" w:themeColor="text1"/>
          <w:sz w:val="20"/>
          <w:szCs w:val="20"/>
        </w:rPr>
      </w:pPr>
    </w:p>
    <w:p w14:paraId="74DC5FAC" w14:textId="77777777" w:rsidR="00ED4694" w:rsidRPr="007418D4" w:rsidRDefault="00ED4694" w:rsidP="00ED4694">
      <w:pPr>
        <w:pStyle w:val="Sansinterligne"/>
        <w:jc w:val="both"/>
        <w:rPr>
          <w:rFonts w:ascii="Arial" w:hAnsi="Arial" w:cs="Arial"/>
          <w:color w:val="000000" w:themeColor="text1"/>
          <w:sz w:val="20"/>
          <w:szCs w:val="20"/>
          <w:u w:val="single"/>
        </w:rPr>
      </w:pPr>
      <w:r w:rsidRPr="007418D4">
        <w:rPr>
          <w:rFonts w:ascii="Arial" w:hAnsi="Arial" w:cs="Arial"/>
          <w:color w:val="000000" w:themeColor="text1"/>
          <w:sz w:val="20"/>
          <w:szCs w:val="20"/>
          <w:u w:val="single"/>
        </w:rPr>
        <w:t>Cinétique</w:t>
      </w:r>
      <w:r>
        <w:rPr>
          <w:rFonts w:ascii="Arial" w:hAnsi="Arial" w:cs="Arial"/>
          <w:color w:val="000000" w:themeColor="text1"/>
          <w:sz w:val="20"/>
          <w:szCs w:val="20"/>
          <w:u w:val="single"/>
        </w:rPr>
        <w:t>s</w:t>
      </w:r>
      <w:r w:rsidRPr="007418D4">
        <w:rPr>
          <w:rFonts w:ascii="Arial" w:hAnsi="Arial" w:cs="Arial"/>
          <w:color w:val="000000" w:themeColor="text1"/>
          <w:sz w:val="20"/>
          <w:szCs w:val="20"/>
          <w:u w:val="single"/>
        </w:rPr>
        <w:t xml:space="preserve"> des principales insulines </w:t>
      </w:r>
    </w:p>
    <w:p w14:paraId="454F31C9" w14:textId="77777777" w:rsidR="00ED4694" w:rsidRDefault="00ED4694" w:rsidP="00ED4694">
      <w:pPr>
        <w:pStyle w:val="Sansinterligne"/>
        <w:jc w:val="center"/>
        <w:rPr>
          <w:rFonts w:ascii="Arial" w:hAnsi="Arial" w:cs="Arial"/>
          <w:color w:val="000000" w:themeColor="text1"/>
          <w:sz w:val="20"/>
          <w:szCs w:val="20"/>
        </w:rPr>
      </w:pPr>
      <w:r w:rsidRPr="003D4803">
        <w:rPr>
          <w:rFonts w:ascii="Arial" w:hAnsi="Arial" w:cs="Arial"/>
          <w:noProof/>
          <w:color w:val="000000" w:themeColor="text1"/>
          <w:sz w:val="20"/>
          <w:szCs w:val="20"/>
        </w:rPr>
        <w:drawing>
          <wp:anchor distT="0" distB="0" distL="114300" distR="114300" simplePos="0" relativeHeight="251745280" behindDoc="1" locked="0" layoutInCell="1" allowOverlap="1" wp14:anchorId="59900880" wp14:editId="05A2F5E3">
            <wp:simplePos x="0" y="0"/>
            <wp:positionH relativeFrom="column">
              <wp:posOffset>66381</wp:posOffset>
            </wp:positionH>
            <wp:positionV relativeFrom="paragraph">
              <wp:posOffset>72343</wp:posOffset>
            </wp:positionV>
            <wp:extent cx="4150136" cy="2020346"/>
            <wp:effectExtent l="0" t="0" r="3175" b="0"/>
            <wp:wrapTight wrapText="bothSides">
              <wp:wrapPolygon edited="0">
                <wp:start x="0" y="0"/>
                <wp:lineTo x="0" y="21457"/>
                <wp:lineTo x="21550" y="21457"/>
                <wp:lineTo x="21550" y="0"/>
                <wp:lineTo x="0" y="0"/>
              </wp:wrapPolygon>
            </wp:wrapTight>
            <wp:docPr id="10635473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547339"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150136" cy="2020346"/>
                    </a:xfrm>
                    <a:prstGeom prst="rect">
                      <a:avLst/>
                    </a:prstGeom>
                  </pic:spPr>
                </pic:pic>
              </a:graphicData>
            </a:graphic>
            <wp14:sizeRelH relativeFrom="page">
              <wp14:pctWidth>0</wp14:pctWidth>
            </wp14:sizeRelH>
            <wp14:sizeRelV relativeFrom="page">
              <wp14:pctHeight>0</wp14:pctHeight>
            </wp14:sizeRelV>
          </wp:anchor>
        </w:drawing>
      </w:r>
    </w:p>
    <w:p w14:paraId="0A35BFDE" w14:textId="77777777" w:rsidR="00ED4694" w:rsidRDefault="00ED4694" w:rsidP="00ED4694">
      <w:pPr>
        <w:pStyle w:val="Sansinterligne"/>
        <w:jc w:val="both"/>
        <w:rPr>
          <w:rFonts w:ascii="Arial" w:hAnsi="Arial" w:cs="Arial"/>
          <w:color w:val="000000" w:themeColor="text1"/>
          <w:sz w:val="20"/>
          <w:szCs w:val="20"/>
          <w:u w:val="single"/>
        </w:rPr>
      </w:pPr>
    </w:p>
    <w:p w14:paraId="4B0E64F0" w14:textId="77777777" w:rsidR="00ED4694" w:rsidRDefault="00ED4694" w:rsidP="00ED4694">
      <w:pPr>
        <w:pStyle w:val="Sansinterligne"/>
        <w:jc w:val="both"/>
        <w:rPr>
          <w:rFonts w:ascii="Arial" w:hAnsi="Arial" w:cs="Arial"/>
          <w:i/>
          <w:iCs/>
          <w:color w:val="000000" w:themeColor="text1"/>
          <w:sz w:val="20"/>
          <w:szCs w:val="20"/>
        </w:rPr>
      </w:pPr>
      <w:r>
        <w:rPr>
          <w:rFonts w:ascii="Arial" w:hAnsi="Arial" w:cs="Arial"/>
          <w:i/>
          <w:iCs/>
          <w:color w:val="000000" w:themeColor="text1"/>
          <w:sz w:val="20"/>
          <w:szCs w:val="20"/>
        </w:rPr>
        <w:t>Lévémir : ne couvre pas 24h : il faut 2 administrations</w:t>
      </w:r>
    </w:p>
    <w:p w14:paraId="02433B5C" w14:textId="77777777" w:rsidR="00ED4694" w:rsidRPr="003D4803" w:rsidRDefault="00ED4694" w:rsidP="00ED4694">
      <w:pPr>
        <w:pStyle w:val="Sansinterligne"/>
        <w:jc w:val="both"/>
        <w:rPr>
          <w:rFonts w:ascii="Arial" w:hAnsi="Arial" w:cs="Arial"/>
          <w:i/>
          <w:iCs/>
          <w:color w:val="000000" w:themeColor="text1"/>
          <w:sz w:val="20"/>
          <w:szCs w:val="20"/>
        </w:rPr>
      </w:pPr>
      <w:r>
        <w:rPr>
          <w:rFonts w:ascii="Arial" w:hAnsi="Arial" w:cs="Arial"/>
          <w:i/>
          <w:iCs/>
          <w:color w:val="000000" w:themeColor="text1"/>
          <w:sz w:val="20"/>
          <w:szCs w:val="20"/>
        </w:rPr>
        <w:t xml:space="preserve">Glargine : couvre 36h = insuline pour vivre = insuline basale. </w:t>
      </w:r>
    </w:p>
    <w:p w14:paraId="6848E8AC" w14:textId="77777777" w:rsidR="00ED4694" w:rsidRDefault="00ED4694" w:rsidP="00ED4694">
      <w:pPr>
        <w:pStyle w:val="Sansinterligne"/>
        <w:jc w:val="both"/>
        <w:rPr>
          <w:rFonts w:ascii="Arial" w:hAnsi="Arial" w:cs="Arial"/>
          <w:color w:val="000000" w:themeColor="text1"/>
          <w:sz w:val="20"/>
          <w:szCs w:val="20"/>
          <w:u w:val="single"/>
        </w:rPr>
      </w:pPr>
    </w:p>
    <w:p w14:paraId="50130DCA" w14:textId="77777777" w:rsidR="00ED4694" w:rsidRDefault="00ED4694" w:rsidP="00ED4694">
      <w:pPr>
        <w:pStyle w:val="Sansinterligne"/>
        <w:jc w:val="both"/>
        <w:rPr>
          <w:rFonts w:ascii="Arial" w:hAnsi="Arial" w:cs="Arial"/>
          <w:color w:val="000000" w:themeColor="text1"/>
          <w:sz w:val="20"/>
          <w:szCs w:val="20"/>
          <w:u w:val="single"/>
        </w:rPr>
      </w:pPr>
    </w:p>
    <w:p w14:paraId="0604E02B" w14:textId="77777777" w:rsidR="00ED4694" w:rsidRDefault="00ED4694" w:rsidP="00ED4694">
      <w:pPr>
        <w:pStyle w:val="Sansinterligne"/>
        <w:jc w:val="both"/>
        <w:rPr>
          <w:rFonts w:ascii="Arial" w:hAnsi="Arial" w:cs="Arial"/>
          <w:color w:val="000000" w:themeColor="text1"/>
          <w:sz w:val="20"/>
          <w:szCs w:val="20"/>
          <w:u w:val="single"/>
        </w:rPr>
      </w:pPr>
    </w:p>
    <w:p w14:paraId="041886AD" w14:textId="77777777" w:rsidR="00ED4694" w:rsidRDefault="00ED4694" w:rsidP="00ED4694">
      <w:pPr>
        <w:pStyle w:val="Sansinterligne"/>
        <w:jc w:val="both"/>
        <w:rPr>
          <w:rFonts w:ascii="Arial" w:hAnsi="Arial" w:cs="Arial"/>
          <w:color w:val="000000" w:themeColor="text1"/>
          <w:sz w:val="20"/>
          <w:szCs w:val="20"/>
          <w:u w:val="single"/>
        </w:rPr>
      </w:pPr>
    </w:p>
    <w:p w14:paraId="3BF33F0A" w14:textId="77777777" w:rsidR="00ED4694" w:rsidRDefault="00ED4694" w:rsidP="00ED4694">
      <w:pPr>
        <w:pStyle w:val="Sansinterligne"/>
        <w:jc w:val="both"/>
        <w:rPr>
          <w:rFonts w:ascii="Arial" w:hAnsi="Arial" w:cs="Arial"/>
          <w:color w:val="000000" w:themeColor="text1"/>
          <w:sz w:val="20"/>
          <w:szCs w:val="20"/>
          <w:u w:val="single"/>
        </w:rPr>
      </w:pPr>
    </w:p>
    <w:p w14:paraId="7DC63234" w14:textId="77777777" w:rsidR="00ED4694" w:rsidRDefault="00ED4694" w:rsidP="00ED4694">
      <w:pPr>
        <w:pStyle w:val="Sansinterligne"/>
        <w:jc w:val="both"/>
        <w:rPr>
          <w:rFonts w:ascii="Arial" w:hAnsi="Arial" w:cs="Arial"/>
          <w:color w:val="000000" w:themeColor="text1"/>
          <w:sz w:val="20"/>
          <w:szCs w:val="20"/>
          <w:u w:val="single"/>
        </w:rPr>
      </w:pPr>
    </w:p>
    <w:p w14:paraId="3780F159" w14:textId="77777777" w:rsidR="00ED4694" w:rsidRDefault="00ED4694" w:rsidP="00ED4694">
      <w:pPr>
        <w:pStyle w:val="Sansinterligne"/>
        <w:jc w:val="both"/>
        <w:rPr>
          <w:rFonts w:ascii="Arial" w:hAnsi="Arial" w:cs="Arial"/>
          <w:color w:val="000000" w:themeColor="text1"/>
          <w:sz w:val="20"/>
          <w:szCs w:val="20"/>
          <w:u w:val="single"/>
        </w:rPr>
      </w:pPr>
    </w:p>
    <w:p w14:paraId="68B7B1EE" w14:textId="77777777" w:rsidR="00ED4694" w:rsidRDefault="00ED4694" w:rsidP="00ED4694">
      <w:pPr>
        <w:pStyle w:val="Sansinterligne"/>
        <w:jc w:val="both"/>
        <w:rPr>
          <w:rFonts w:ascii="Arial" w:hAnsi="Arial" w:cs="Arial"/>
          <w:color w:val="000000" w:themeColor="text1"/>
          <w:sz w:val="20"/>
          <w:szCs w:val="20"/>
          <w:u w:val="single"/>
        </w:rPr>
      </w:pPr>
      <w:r>
        <w:rPr>
          <w:rFonts w:ascii="Arial" w:hAnsi="Arial" w:cs="Arial"/>
          <w:color w:val="000000" w:themeColor="text1"/>
          <w:sz w:val="20"/>
          <w:szCs w:val="20"/>
          <w:u w:val="single"/>
        </w:rPr>
        <w:t xml:space="preserve"> </w:t>
      </w:r>
    </w:p>
    <w:p w14:paraId="6A31E60E" w14:textId="77777777" w:rsidR="00ED4694" w:rsidRDefault="00ED4694" w:rsidP="00ED4694">
      <w:pPr>
        <w:pStyle w:val="Sansinterligne"/>
        <w:jc w:val="both"/>
        <w:rPr>
          <w:rFonts w:ascii="Arial" w:hAnsi="Arial" w:cs="Arial"/>
          <w:color w:val="000000" w:themeColor="text1"/>
          <w:sz w:val="20"/>
          <w:szCs w:val="20"/>
          <w:u w:val="single"/>
        </w:rPr>
      </w:pPr>
    </w:p>
    <w:p w14:paraId="175384D3" w14:textId="77777777" w:rsidR="00ED4694" w:rsidRPr="003D4803" w:rsidRDefault="00ED4694" w:rsidP="00ED4694">
      <w:pPr>
        <w:pStyle w:val="Sansinterligne"/>
        <w:jc w:val="both"/>
        <w:rPr>
          <w:rFonts w:ascii="Arial" w:hAnsi="Arial" w:cs="Arial"/>
          <w:color w:val="000000" w:themeColor="text1"/>
          <w:sz w:val="20"/>
          <w:szCs w:val="20"/>
        </w:rPr>
      </w:pPr>
      <w:r w:rsidRPr="007418D4">
        <w:rPr>
          <w:rFonts w:ascii="Arial" w:hAnsi="Arial" w:cs="Arial"/>
          <w:color w:val="000000" w:themeColor="text1"/>
          <w:sz w:val="20"/>
          <w:szCs w:val="20"/>
          <w:u w:val="single"/>
        </w:rPr>
        <w:t xml:space="preserve">Analogues rapides, « les ultra-rapides » : </w:t>
      </w:r>
      <w:r>
        <w:rPr>
          <w:rFonts w:ascii="Arial" w:hAnsi="Arial" w:cs="Arial"/>
          <w:color w:val="000000" w:themeColor="text1"/>
          <w:sz w:val="20"/>
          <w:szCs w:val="20"/>
        </w:rPr>
        <w:t xml:space="preserve">ils agissent plus rapidement et durant moins de temps. </w:t>
      </w:r>
    </w:p>
    <w:p w14:paraId="7A1B4F0B" w14:textId="77777777" w:rsidR="00ED4694" w:rsidRPr="00D564FD" w:rsidRDefault="00ED4694" w:rsidP="00ED4694">
      <w:pPr>
        <w:pStyle w:val="Sansinterligne"/>
        <w:numPr>
          <w:ilvl w:val="0"/>
          <w:numId w:val="140"/>
        </w:numPr>
        <w:jc w:val="both"/>
        <w:rPr>
          <w:rFonts w:ascii="Arial" w:hAnsi="Arial" w:cs="Arial"/>
          <w:color w:val="000000" w:themeColor="text1"/>
          <w:sz w:val="20"/>
          <w:szCs w:val="20"/>
        </w:rPr>
      </w:pPr>
      <w:r w:rsidRPr="00D564FD">
        <w:rPr>
          <w:rFonts w:ascii="Arial" w:hAnsi="Arial" w:cs="Arial"/>
          <w:color w:val="000000" w:themeColor="text1"/>
          <w:sz w:val="20"/>
          <w:szCs w:val="20"/>
        </w:rPr>
        <w:t xml:space="preserve">lispro HUMALOG® (Ely Lilly), LYUMJEV® (Ely Lilly : </w:t>
      </w:r>
      <w:r w:rsidRPr="00D564FD">
        <w:rPr>
          <w:rFonts w:ascii="Arial" w:hAnsi="Arial" w:cs="Arial"/>
          <w:color w:val="000000" w:themeColor="text1"/>
          <w:position w:val="2"/>
          <w:sz w:val="20"/>
          <w:szCs w:val="20"/>
        </w:rPr>
        <w:t>lispro + citrate + tréoprostinil)</w:t>
      </w:r>
    </w:p>
    <w:p w14:paraId="04B44246" w14:textId="77777777" w:rsidR="00ED4694" w:rsidRPr="00D564FD" w:rsidRDefault="00ED4694" w:rsidP="00ED4694">
      <w:pPr>
        <w:pStyle w:val="Sansinterligne"/>
        <w:numPr>
          <w:ilvl w:val="0"/>
          <w:numId w:val="140"/>
        </w:numPr>
        <w:jc w:val="both"/>
        <w:rPr>
          <w:rFonts w:ascii="Arial" w:hAnsi="Arial" w:cs="Arial"/>
          <w:color w:val="000000" w:themeColor="text1"/>
          <w:sz w:val="20"/>
          <w:szCs w:val="20"/>
          <w:lang w:val="it-IT"/>
        </w:rPr>
      </w:pPr>
      <w:r w:rsidRPr="00D564FD">
        <w:rPr>
          <w:rFonts w:ascii="Arial" w:hAnsi="Arial" w:cs="Arial"/>
          <w:color w:val="000000" w:themeColor="text1"/>
          <w:sz w:val="20"/>
          <w:szCs w:val="20"/>
          <w:lang w:val="it-IT"/>
        </w:rPr>
        <w:t>asparte NOVORAPID</w:t>
      </w:r>
      <w:r w:rsidRPr="00D564FD">
        <w:rPr>
          <w:rFonts w:ascii="Arial" w:hAnsi="Arial" w:cs="Arial"/>
          <w:i/>
          <w:iCs/>
          <w:color w:val="000000" w:themeColor="text1"/>
          <w:sz w:val="20"/>
          <w:szCs w:val="20"/>
          <w:lang w:val="it-IT"/>
        </w:rPr>
        <w:t xml:space="preserve">® </w:t>
      </w:r>
      <w:r w:rsidRPr="00D564FD">
        <w:rPr>
          <w:rFonts w:ascii="Arial" w:hAnsi="Arial" w:cs="Arial"/>
          <w:color w:val="000000" w:themeColor="text1"/>
          <w:sz w:val="20"/>
          <w:szCs w:val="20"/>
          <w:lang w:val="it-IT"/>
        </w:rPr>
        <w:t xml:space="preserve">(Novo Nordisk), FIASP (Novo Nordisk) </w:t>
      </w:r>
      <w:r w:rsidRPr="00D564FD">
        <w:rPr>
          <w:rFonts w:ascii="Arial" w:hAnsi="Arial" w:cs="Arial"/>
          <w:color w:val="000000" w:themeColor="text1"/>
          <w:sz w:val="20"/>
          <w:szCs w:val="20"/>
          <w:vertAlign w:val="subscript"/>
          <w:lang w:val="it-IT"/>
        </w:rPr>
        <w:t>apartate + Nicotinamide + L-arginine</w:t>
      </w:r>
      <w:r w:rsidRPr="00D564FD">
        <w:rPr>
          <w:rFonts w:ascii="Arial" w:hAnsi="Arial" w:cs="Arial"/>
          <w:color w:val="000000" w:themeColor="text1"/>
          <w:sz w:val="20"/>
          <w:szCs w:val="20"/>
          <w:lang w:val="it-IT"/>
        </w:rPr>
        <w:t xml:space="preserve"> </w:t>
      </w:r>
    </w:p>
    <w:p w14:paraId="125F32DA"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glulisine APIDRA </w:t>
      </w:r>
      <w:r>
        <w:rPr>
          <w:rFonts w:ascii="Arial" w:hAnsi="Arial" w:cs="Arial"/>
          <w:color w:val="000000" w:themeColor="text1"/>
          <w:sz w:val="20"/>
          <w:szCs w:val="20"/>
          <w:lang w:val="en-US"/>
        </w:rPr>
        <w:t>®</w:t>
      </w:r>
      <w:r w:rsidRPr="005749A0">
        <w:rPr>
          <w:rFonts w:ascii="Arial" w:hAnsi="Arial" w:cs="Arial"/>
          <w:color w:val="000000" w:themeColor="text1"/>
          <w:sz w:val="20"/>
          <w:szCs w:val="20"/>
        </w:rPr>
        <w:t xml:space="preserve"> (Sanofi-Aventis) </w:t>
      </w:r>
    </w:p>
    <w:p w14:paraId="692E8A3E" w14:textId="77777777" w:rsidR="00ED4694" w:rsidRDefault="00ED4694" w:rsidP="00ED4694">
      <w:pPr>
        <w:pStyle w:val="Sansinterligne"/>
        <w:jc w:val="both"/>
        <w:rPr>
          <w:rFonts w:ascii="Arial" w:hAnsi="Arial" w:cs="Arial"/>
          <w:color w:val="000000" w:themeColor="text1"/>
          <w:sz w:val="20"/>
          <w:szCs w:val="20"/>
        </w:rPr>
      </w:pPr>
    </w:p>
    <w:p w14:paraId="397A5D71" w14:textId="77777777" w:rsidR="00ED4694" w:rsidRDefault="00ED4694" w:rsidP="00ED4694">
      <w:pPr>
        <w:pStyle w:val="Sansinterligne"/>
        <w:jc w:val="both"/>
        <w:rPr>
          <w:rFonts w:ascii="Arial" w:hAnsi="Arial" w:cs="Arial"/>
          <w:color w:val="000000" w:themeColor="text1"/>
          <w:sz w:val="20"/>
          <w:szCs w:val="20"/>
        </w:rPr>
      </w:pPr>
      <w:r>
        <w:rPr>
          <w:rFonts w:ascii="Arial" w:hAnsi="Arial" w:cs="Arial"/>
          <w:color w:val="000000" w:themeColor="text1"/>
          <w:sz w:val="20"/>
          <w:szCs w:val="20"/>
        </w:rPr>
        <w:t xml:space="preserve">Avantages : </w:t>
      </w:r>
    </w:p>
    <w:p w14:paraId="265F87A0"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Ultra-rapide : pas de délai injection-repas</w:t>
      </w:r>
    </w:p>
    <w:p w14:paraId="39E2DB38"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Meilleur contrôle des glycémies post-prandiales </w:t>
      </w:r>
    </w:p>
    <w:p w14:paraId="4F00C1DE"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Suppléments ponctuels d’insuline</w:t>
      </w:r>
    </w:p>
    <w:p w14:paraId="6B1A4946"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Moins de besoin de collation </w:t>
      </w:r>
    </w:p>
    <w:p w14:paraId="6A79E449" w14:textId="77777777" w:rsidR="00ED4694" w:rsidRPr="005749A0" w:rsidRDefault="00ED4694" w:rsidP="00ED4694">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Inconvénients</w:t>
      </w:r>
      <w:r>
        <w:rPr>
          <w:rFonts w:ascii="Arial" w:hAnsi="Arial" w:cs="Arial"/>
          <w:color w:val="000000" w:themeColor="text1"/>
          <w:sz w:val="20"/>
          <w:szCs w:val="20"/>
        </w:rPr>
        <w:t xml:space="preserve"> : </w:t>
      </w:r>
      <w:r w:rsidRPr="005749A0">
        <w:rPr>
          <w:rFonts w:ascii="Arial" w:hAnsi="Arial" w:cs="Arial"/>
          <w:color w:val="000000" w:themeColor="text1"/>
          <w:sz w:val="20"/>
          <w:szCs w:val="20"/>
        </w:rPr>
        <w:t xml:space="preserve">Rapide mais courte (« réascension » tardive des glycémies) </w:t>
      </w:r>
    </w:p>
    <w:p w14:paraId="6137A70C" w14:textId="77777777" w:rsidR="00ED4694" w:rsidRPr="005749A0" w:rsidRDefault="00ED4694" w:rsidP="00ED4694">
      <w:pPr>
        <w:pStyle w:val="Sansinterligne"/>
        <w:jc w:val="both"/>
        <w:rPr>
          <w:rFonts w:ascii="Arial" w:hAnsi="Arial" w:cs="Arial"/>
          <w:color w:val="000000" w:themeColor="text1"/>
          <w:sz w:val="20"/>
          <w:szCs w:val="20"/>
        </w:rPr>
      </w:pPr>
      <w:r w:rsidRPr="005749A0">
        <w:rPr>
          <w:rFonts w:ascii="Arial" w:hAnsi="Arial" w:cs="Arial"/>
          <w:noProof/>
          <w:color w:val="000000" w:themeColor="text1"/>
          <w:sz w:val="20"/>
          <w:szCs w:val="20"/>
        </w:rPr>
        <w:drawing>
          <wp:anchor distT="0" distB="0" distL="114300" distR="114300" simplePos="0" relativeHeight="251729920" behindDoc="1" locked="0" layoutInCell="1" allowOverlap="1" wp14:anchorId="57BFC1B5" wp14:editId="72771817">
            <wp:simplePos x="0" y="0"/>
            <wp:positionH relativeFrom="column">
              <wp:posOffset>1103586</wp:posOffset>
            </wp:positionH>
            <wp:positionV relativeFrom="paragraph">
              <wp:posOffset>124570</wp:posOffset>
            </wp:positionV>
            <wp:extent cx="1218565" cy="1539240"/>
            <wp:effectExtent l="0" t="0" r="635" b="0"/>
            <wp:wrapTight wrapText="bothSides">
              <wp:wrapPolygon edited="0">
                <wp:start x="0" y="0"/>
                <wp:lineTo x="0" y="21386"/>
                <wp:lineTo x="21386" y="21386"/>
                <wp:lineTo x="21386" y="0"/>
                <wp:lineTo x="0" y="0"/>
              </wp:wrapPolygon>
            </wp:wrapTight>
            <wp:docPr id="1988966857" name="Image 394" descr="page12image107536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ge12image107536544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218565" cy="1539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49A0">
        <w:rPr>
          <w:rFonts w:ascii="Arial" w:hAnsi="Arial" w:cs="Arial"/>
          <w:noProof/>
          <w:color w:val="000000" w:themeColor="text1"/>
          <w:sz w:val="20"/>
          <w:szCs w:val="20"/>
        </w:rPr>
        <w:drawing>
          <wp:anchor distT="0" distB="0" distL="114300" distR="114300" simplePos="0" relativeHeight="251734016" behindDoc="1" locked="0" layoutInCell="1" allowOverlap="1" wp14:anchorId="5DE4144D" wp14:editId="11EBC809">
            <wp:simplePos x="0" y="0"/>
            <wp:positionH relativeFrom="column">
              <wp:posOffset>-78828</wp:posOffset>
            </wp:positionH>
            <wp:positionV relativeFrom="paragraph">
              <wp:posOffset>122402</wp:posOffset>
            </wp:positionV>
            <wp:extent cx="1099185" cy="1481455"/>
            <wp:effectExtent l="0" t="0" r="5715" b="4445"/>
            <wp:wrapTight wrapText="bothSides">
              <wp:wrapPolygon edited="0">
                <wp:start x="0" y="0"/>
                <wp:lineTo x="0" y="21480"/>
                <wp:lineTo x="21463" y="21480"/>
                <wp:lineTo x="21463" y="0"/>
                <wp:lineTo x="0" y="0"/>
              </wp:wrapPolygon>
            </wp:wrapTight>
            <wp:docPr id="1506259231" name="Image 395" descr="page12image107535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ge12image1075357920"/>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2007" t="9544" r="25296" b="11605"/>
                    <a:stretch/>
                  </pic:blipFill>
                  <pic:spPr bwMode="auto">
                    <a:xfrm>
                      <a:off x="0" y="0"/>
                      <a:ext cx="1099185" cy="1481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107218" w14:textId="77777777" w:rsidR="00ED4694" w:rsidRDefault="00ED4694" w:rsidP="00ED4694">
      <w:pPr>
        <w:pStyle w:val="Sansinterligne"/>
        <w:jc w:val="both"/>
        <w:rPr>
          <w:rFonts w:ascii="Arial" w:hAnsi="Arial" w:cs="Arial"/>
          <w:color w:val="000000" w:themeColor="text1"/>
          <w:sz w:val="20"/>
          <w:szCs w:val="20"/>
        </w:rPr>
      </w:pPr>
      <w:r w:rsidRPr="005749A0">
        <w:rPr>
          <w:rFonts w:ascii="Arial" w:hAnsi="Arial" w:cs="Arial"/>
          <w:noProof/>
          <w:color w:val="000000" w:themeColor="text1"/>
          <w:sz w:val="20"/>
          <w:szCs w:val="20"/>
        </w:rPr>
        <w:drawing>
          <wp:anchor distT="0" distB="0" distL="114300" distR="114300" simplePos="0" relativeHeight="251728896" behindDoc="1" locked="0" layoutInCell="1" allowOverlap="1" wp14:anchorId="1D65B0A0" wp14:editId="6135BC2B">
            <wp:simplePos x="0" y="0"/>
            <wp:positionH relativeFrom="column">
              <wp:posOffset>4461641</wp:posOffset>
            </wp:positionH>
            <wp:positionV relativeFrom="paragraph">
              <wp:posOffset>155181</wp:posOffset>
            </wp:positionV>
            <wp:extent cx="1812925" cy="1360805"/>
            <wp:effectExtent l="0" t="0" r="3175" b="0"/>
            <wp:wrapTight wrapText="bothSides">
              <wp:wrapPolygon edited="0">
                <wp:start x="0" y="0"/>
                <wp:lineTo x="0" y="21368"/>
                <wp:lineTo x="21487" y="21368"/>
                <wp:lineTo x="21487" y="0"/>
                <wp:lineTo x="0" y="0"/>
              </wp:wrapPolygon>
            </wp:wrapTight>
            <wp:docPr id="1099787071" name="Image 390" descr="page12image107536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12image107536726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12925" cy="1360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49A0">
        <w:rPr>
          <w:rFonts w:ascii="Arial" w:hAnsi="Arial" w:cs="Arial"/>
          <w:noProof/>
          <w:color w:val="000000" w:themeColor="text1"/>
          <w:sz w:val="20"/>
          <w:szCs w:val="20"/>
        </w:rPr>
        <w:drawing>
          <wp:anchor distT="0" distB="0" distL="114300" distR="114300" simplePos="0" relativeHeight="251730944" behindDoc="1" locked="0" layoutInCell="1" allowOverlap="1" wp14:anchorId="6580B9DA" wp14:editId="1666C02E">
            <wp:simplePos x="0" y="0"/>
            <wp:positionH relativeFrom="column">
              <wp:posOffset>2510483</wp:posOffset>
            </wp:positionH>
            <wp:positionV relativeFrom="paragraph">
              <wp:posOffset>43290</wp:posOffset>
            </wp:positionV>
            <wp:extent cx="1812925" cy="1474470"/>
            <wp:effectExtent l="0" t="0" r="3175" b="0"/>
            <wp:wrapTight wrapText="bothSides">
              <wp:wrapPolygon edited="0">
                <wp:start x="0" y="0"/>
                <wp:lineTo x="0" y="21395"/>
                <wp:lineTo x="21487" y="21395"/>
                <wp:lineTo x="21487" y="0"/>
                <wp:lineTo x="0" y="0"/>
              </wp:wrapPolygon>
            </wp:wrapTight>
            <wp:docPr id="215899948" name="Image 393" descr="page12image107536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12image107536574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12925" cy="1474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F5CA6D" w14:textId="77777777" w:rsidR="00ED4694" w:rsidRPr="005749A0" w:rsidRDefault="00ED4694" w:rsidP="00ED4694">
      <w:pPr>
        <w:pStyle w:val="Sansinterligne"/>
        <w:jc w:val="both"/>
        <w:rPr>
          <w:rFonts w:ascii="Arial" w:hAnsi="Arial" w:cs="Arial"/>
          <w:color w:val="000000" w:themeColor="text1"/>
          <w:sz w:val="20"/>
          <w:szCs w:val="20"/>
        </w:rPr>
      </w:pPr>
    </w:p>
    <w:p w14:paraId="04638AEC" w14:textId="77777777" w:rsidR="00ED4694" w:rsidRDefault="00ED4694" w:rsidP="00ED4694">
      <w:pPr>
        <w:pStyle w:val="Sansinterligne"/>
        <w:jc w:val="both"/>
        <w:rPr>
          <w:rFonts w:ascii="Arial" w:hAnsi="Arial" w:cs="Arial"/>
          <w:color w:val="000000" w:themeColor="text1"/>
          <w:sz w:val="20"/>
          <w:szCs w:val="20"/>
          <w:u w:val="single"/>
        </w:rPr>
      </w:pPr>
    </w:p>
    <w:p w14:paraId="79D5329C" w14:textId="77777777" w:rsidR="00ED4694" w:rsidRDefault="00ED4694" w:rsidP="00ED4694">
      <w:pPr>
        <w:pStyle w:val="Sansinterligne"/>
        <w:jc w:val="both"/>
        <w:rPr>
          <w:rFonts w:ascii="Arial" w:hAnsi="Arial" w:cs="Arial"/>
          <w:color w:val="000000" w:themeColor="text1"/>
          <w:sz w:val="20"/>
          <w:szCs w:val="20"/>
          <w:u w:val="single"/>
        </w:rPr>
      </w:pPr>
    </w:p>
    <w:p w14:paraId="03037154" w14:textId="77777777" w:rsidR="00ED4694" w:rsidRDefault="00ED4694" w:rsidP="00ED4694">
      <w:pPr>
        <w:pStyle w:val="Sansinterligne"/>
        <w:jc w:val="both"/>
        <w:rPr>
          <w:rFonts w:ascii="Arial" w:hAnsi="Arial" w:cs="Arial"/>
          <w:color w:val="000000" w:themeColor="text1"/>
          <w:sz w:val="20"/>
          <w:szCs w:val="20"/>
          <w:u w:val="single"/>
        </w:rPr>
      </w:pPr>
    </w:p>
    <w:p w14:paraId="361F514C" w14:textId="77777777" w:rsidR="00ED4694" w:rsidRDefault="00ED4694" w:rsidP="00ED4694">
      <w:pPr>
        <w:pStyle w:val="Sansinterligne"/>
        <w:jc w:val="both"/>
        <w:rPr>
          <w:rFonts w:ascii="Arial" w:hAnsi="Arial" w:cs="Arial"/>
          <w:color w:val="000000" w:themeColor="text1"/>
          <w:sz w:val="20"/>
          <w:szCs w:val="20"/>
          <w:u w:val="single"/>
        </w:rPr>
      </w:pPr>
    </w:p>
    <w:p w14:paraId="6A7EA9C6" w14:textId="77777777" w:rsidR="00ED4694" w:rsidRDefault="00ED4694" w:rsidP="00ED4694">
      <w:pPr>
        <w:pStyle w:val="Sansinterligne"/>
        <w:jc w:val="both"/>
        <w:rPr>
          <w:rFonts w:ascii="Arial" w:hAnsi="Arial" w:cs="Arial"/>
          <w:color w:val="000000" w:themeColor="text1"/>
          <w:sz w:val="20"/>
          <w:szCs w:val="20"/>
          <w:u w:val="single"/>
        </w:rPr>
      </w:pPr>
    </w:p>
    <w:p w14:paraId="1844079E" w14:textId="77777777" w:rsidR="00ED4694" w:rsidRDefault="00ED4694" w:rsidP="00ED4694">
      <w:pPr>
        <w:pStyle w:val="Sansinterligne"/>
        <w:jc w:val="both"/>
        <w:rPr>
          <w:rFonts w:ascii="Arial" w:hAnsi="Arial" w:cs="Arial"/>
          <w:color w:val="000000" w:themeColor="text1"/>
          <w:sz w:val="20"/>
          <w:szCs w:val="20"/>
          <w:u w:val="single"/>
        </w:rPr>
      </w:pPr>
    </w:p>
    <w:p w14:paraId="04E50774" w14:textId="77777777" w:rsidR="00ED4694" w:rsidRDefault="00ED4694" w:rsidP="00ED4694">
      <w:pPr>
        <w:pStyle w:val="Sansinterligne"/>
        <w:jc w:val="both"/>
        <w:rPr>
          <w:rFonts w:ascii="Arial" w:hAnsi="Arial" w:cs="Arial"/>
          <w:color w:val="000000" w:themeColor="text1"/>
          <w:sz w:val="20"/>
          <w:szCs w:val="20"/>
          <w:u w:val="single"/>
        </w:rPr>
      </w:pPr>
    </w:p>
    <w:p w14:paraId="615B9274" w14:textId="77777777" w:rsidR="00ED4694" w:rsidRDefault="00ED4694" w:rsidP="00ED4694">
      <w:pPr>
        <w:pStyle w:val="Sansinterligne"/>
        <w:jc w:val="both"/>
        <w:rPr>
          <w:rFonts w:ascii="Arial" w:hAnsi="Arial" w:cs="Arial"/>
          <w:color w:val="000000" w:themeColor="text1"/>
          <w:sz w:val="20"/>
          <w:szCs w:val="20"/>
          <w:u w:val="single"/>
        </w:rPr>
      </w:pPr>
    </w:p>
    <w:p w14:paraId="110E5784" w14:textId="77777777" w:rsidR="00ED4694" w:rsidRDefault="00ED4694" w:rsidP="00ED4694">
      <w:pPr>
        <w:pStyle w:val="Sansinterligne"/>
        <w:jc w:val="both"/>
        <w:rPr>
          <w:rFonts w:ascii="Arial" w:hAnsi="Arial" w:cs="Arial"/>
          <w:color w:val="000000" w:themeColor="text1"/>
          <w:sz w:val="20"/>
          <w:szCs w:val="20"/>
          <w:u w:val="single"/>
        </w:rPr>
      </w:pPr>
      <w:r w:rsidRPr="005749A0">
        <w:rPr>
          <w:rFonts w:ascii="Arial" w:hAnsi="Arial" w:cs="Arial"/>
          <w:noProof/>
          <w:color w:val="000000" w:themeColor="text1"/>
          <w:sz w:val="20"/>
          <w:szCs w:val="20"/>
        </w:rPr>
        <w:lastRenderedPageBreak/>
        <w:drawing>
          <wp:anchor distT="0" distB="0" distL="114300" distR="114300" simplePos="0" relativeHeight="251732992" behindDoc="1" locked="0" layoutInCell="1" allowOverlap="1" wp14:anchorId="7EE77255" wp14:editId="101A2DFA">
            <wp:simplePos x="0" y="0"/>
            <wp:positionH relativeFrom="column">
              <wp:posOffset>914181</wp:posOffset>
            </wp:positionH>
            <wp:positionV relativeFrom="paragraph">
              <wp:posOffset>133985</wp:posOffset>
            </wp:positionV>
            <wp:extent cx="1941195" cy="1045210"/>
            <wp:effectExtent l="0" t="0" r="1905" b="0"/>
            <wp:wrapTight wrapText="bothSides">
              <wp:wrapPolygon edited="0">
                <wp:start x="0" y="0"/>
                <wp:lineTo x="0" y="21259"/>
                <wp:lineTo x="21480" y="21259"/>
                <wp:lineTo x="21480" y="0"/>
                <wp:lineTo x="0" y="0"/>
              </wp:wrapPolygon>
            </wp:wrapTight>
            <wp:docPr id="746398851" name="Image 388" descr="page14image42403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ge14image42403755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41195" cy="1045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402197" w14:textId="77777777" w:rsidR="00ED4694" w:rsidRDefault="00ED4694" w:rsidP="00ED4694">
      <w:pPr>
        <w:pStyle w:val="Sansinterligne"/>
        <w:jc w:val="both"/>
        <w:rPr>
          <w:rFonts w:ascii="Arial" w:hAnsi="Arial" w:cs="Arial"/>
          <w:color w:val="000000" w:themeColor="text1"/>
          <w:sz w:val="20"/>
          <w:szCs w:val="20"/>
          <w:u w:val="single"/>
        </w:rPr>
      </w:pPr>
      <w:r w:rsidRPr="005749A0">
        <w:rPr>
          <w:rFonts w:ascii="Arial" w:hAnsi="Arial" w:cs="Arial"/>
          <w:noProof/>
          <w:color w:val="000000" w:themeColor="text1"/>
          <w:sz w:val="20"/>
          <w:szCs w:val="20"/>
        </w:rPr>
        <w:drawing>
          <wp:anchor distT="0" distB="0" distL="114300" distR="114300" simplePos="0" relativeHeight="251731968" behindDoc="1" locked="0" layoutInCell="1" allowOverlap="1" wp14:anchorId="5762967A" wp14:editId="7C33AB2C">
            <wp:simplePos x="0" y="0"/>
            <wp:positionH relativeFrom="column">
              <wp:posOffset>2861748</wp:posOffset>
            </wp:positionH>
            <wp:positionV relativeFrom="paragraph">
              <wp:posOffset>60544</wp:posOffset>
            </wp:positionV>
            <wp:extent cx="1458595" cy="977265"/>
            <wp:effectExtent l="0" t="0" r="1905" b="635"/>
            <wp:wrapTight wrapText="bothSides">
              <wp:wrapPolygon edited="0">
                <wp:start x="0" y="0"/>
                <wp:lineTo x="0" y="21333"/>
                <wp:lineTo x="21440" y="21333"/>
                <wp:lineTo x="21440" y="0"/>
                <wp:lineTo x="0" y="0"/>
              </wp:wrapPolygon>
            </wp:wrapTight>
            <wp:docPr id="202488906" name="Image 391" descr="page12image107536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ge12image107536673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58595" cy="977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55985D" w14:textId="77777777" w:rsidR="00ED4694" w:rsidRDefault="00ED4694" w:rsidP="00ED4694">
      <w:pPr>
        <w:pStyle w:val="Sansinterligne"/>
        <w:jc w:val="both"/>
        <w:rPr>
          <w:rFonts w:ascii="Arial" w:hAnsi="Arial" w:cs="Arial"/>
          <w:color w:val="000000" w:themeColor="text1"/>
          <w:sz w:val="20"/>
          <w:szCs w:val="20"/>
          <w:u w:val="single"/>
        </w:rPr>
      </w:pPr>
    </w:p>
    <w:p w14:paraId="47C30106" w14:textId="77777777" w:rsidR="00ED4694" w:rsidRDefault="00ED4694" w:rsidP="00ED4694">
      <w:pPr>
        <w:pStyle w:val="Sansinterligne"/>
        <w:jc w:val="both"/>
        <w:rPr>
          <w:rFonts w:ascii="Arial" w:hAnsi="Arial" w:cs="Arial"/>
          <w:color w:val="000000" w:themeColor="text1"/>
          <w:sz w:val="20"/>
          <w:szCs w:val="20"/>
          <w:u w:val="single"/>
        </w:rPr>
      </w:pPr>
    </w:p>
    <w:p w14:paraId="1F0B29D5" w14:textId="77777777" w:rsidR="00ED4694" w:rsidRDefault="00ED4694" w:rsidP="00ED4694">
      <w:pPr>
        <w:pStyle w:val="Sansinterligne"/>
        <w:jc w:val="both"/>
        <w:rPr>
          <w:rFonts w:ascii="Arial" w:hAnsi="Arial" w:cs="Arial"/>
          <w:color w:val="000000" w:themeColor="text1"/>
          <w:sz w:val="20"/>
          <w:szCs w:val="20"/>
          <w:u w:val="single"/>
        </w:rPr>
      </w:pPr>
    </w:p>
    <w:p w14:paraId="0A50A461" w14:textId="77777777" w:rsidR="00ED4694" w:rsidRDefault="00ED4694" w:rsidP="00ED4694">
      <w:pPr>
        <w:pStyle w:val="Sansinterligne"/>
        <w:jc w:val="both"/>
        <w:rPr>
          <w:rFonts w:ascii="Arial" w:hAnsi="Arial" w:cs="Arial"/>
          <w:color w:val="000000" w:themeColor="text1"/>
          <w:sz w:val="20"/>
          <w:szCs w:val="20"/>
          <w:u w:val="single"/>
        </w:rPr>
      </w:pPr>
    </w:p>
    <w:p w14:paraId="52BEC21A" w14:textId="77777777" w:rsidR="00ED4694" w:rsidRDefault="00ED4694" w:rsidP="00ED4694">
      <w:pPr>
        <w:pStyle w:val="Sansinterligne"/>
        <w:jc w:val="both"/>
        <w:rPr>
          <w:rFonts w:ascii="Arial" w:hAnsi="Arial" w:cs="Arial"/>
          <w:color w:val="000000" w:themeColor="text1"/>
          <w:sz w:val="20"/>
          <w:szCs w:val="20"/>
          <w:u w:val="single"/>
        </w:rPr>
      </w:pPr>
    </w:p>
    <w:p w14:paraId="7B29475E" w14:textId="77777777" w:rsidR="00ED4694" w:rsidRDefault="00ED4694" w:rsidP="00ED4694">
      <w:pPr>
        <w:pStyle w:val="Sansinterligne"/>
        <w:jc w:val="both"/>
        <w:rPr>
          <w:rFonts w:ascii="Arial" w:hAnsi="Arial" w:cs="Arial"/>
          <w:color w:val="000000" w:themeColor="text1"/>
          <w:sz w:val="20"/>
          <w:szCs w:val="20"/>
          <w:u w:val="single"/>
        </w:rPr>
      </w:pPr>
    </w:p>
    <w:p w14:paraId="79A3DEE0" w14:textId="77777777" w:rsidR="00ED4694" w:rsidRDefault="00ED4694" w:rsidP="00ED4694">
      <w:pPr>
        <w:pStyle w:val="Sansinterligne"/>
        <w:jc w:val="both"/>
        <w:rPr>
          <w:rFonts w:ascii="Arial" w:hAnsi="Arial" w:cs="Arial"/>
          <w:color w:val="000000" w:themeColor="text1"/>
          <w:sz w:val="20"/>
          <w:szCs w:val="20"/>
          <w:u w:val="single"/>
        </w:rPr>
      </w:pPr>
    </w:p>
    <w:p w14:paraId="1EAA2FCA" w14:textId="77777777" w:rsidR="00ED4694" w:rsidRDefault="00ED4694" w:rsidP="00ED4694">
      <w:pPr>
        <w:pStyle w:val="Sansinterligne"/>
        <w:jc w:val="both"/>
        <w:rPr>
          <w:rFonts w:ascii="Arial" w:hAnsi="Arial" w:cs="Arial"/>
          <w:color w:val="000000" w:themeColor="text1"/>
          <w:sz w:val="20"/>
          <w:szCs w:val="20"/>
          <w:u w:val="single"/>
        </w:rPr>
      </w:pPr>
      <w:r>
        <w:rPr>
          <w:rFonts w:ascii="Arial" w:hAnsi="Arial" w:cs="Arial"/>
          <w:color w:val="000000" w:themeColor="text1"/>
          <w:sz w:val="20"/>
          <w:szCs w:val="20"/>
          <w:u w:val="single"/>
        </w:rPr>
        <w:t>Formes :</w:t>
      </w:r>
    </w:p>
    <w:p w14:paraId="01F807F7"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100 unités par mL </w:t>
      </w:r>
      <w:r>
        <w:rPr>
          <w:rFonts w:ascii="Arial" w:hAnsi="Arial" w:cs="Arial"/>
          <w:color w:val="000000" w:themeColor="text1"/>
          <w:sz w:val="20"/>
          <w:szCs w:val="20"/>
        </w:rPr>
        <w:t xml:space="preserve">en stylo jetable ou cartouche de 3mL par boîte de 5 (1500 unités par boîte). </w:t>
      </w:r>
    </w:p>
    <w:p w14:paraId="23564F52"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Flacon 10 mL </w:t>
      </w:r>
    </w:p>
    <w:p w14:paraId="412DC64C" w14:textId="77777777" w:rsidR="00ED4694" w:rsidRPr="005749A0" w:rsidRDefault="00ED4694" w:rsidP="00ED4694">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fldChar w:fldCharType="begin"/>
      </w:r>
      <w:r w:rsidRPr="005749A0">
        <w:rPr>
          <w:rFonts w:ascii="Arial" w:hAnsi="Arial" w:cs="Arial"/>
          <w:color w:val="000000" w:themeColor="text1"/>
          <w:sz w:val="20"/>
          <w:szCs w:val="20"/>
        </w:rPr>
        <w:instrText xml:space="preserve"> INCLUDEPICTURE "/Users/alienorprudhomme/Library/Group Containers/UBF8T346G9.ms/WebArchiveCopyPasteTempFiles/com.microsoft.Word/page14image424037552" \* MERGEFORMATINET </w:instrText>
      </w:r>
      <w:r w:rsidRPr="005749A0">
        <w:rPr>
          <w:rFonts w:ascii="Arial" w:hAnsi="Arial" w:cs="Arial"/>
          <w:color w:val="000000" w:themeColor="text1"/>
          <w:sz w:val="20"/>
          <w:szCs w:val="20"/>
        </w:rPr>
        <w:fldChar w:fldCharType="separate"/>
      </w:r>
      <w:r w:rsidRPr="005749A0">
        <w:rPr>
          <w:rFonts w:ascii="Arial" w:hAnsi="Arial" w:cs="Arial"/>
          <w:color w:val="000000" w:themeColor="text1"/>
          <w:sz w:val="20"/>
          <w:szCs w:val="20"/>
        </w:rPr>
        <w:fldChar w:fldCharType="end"/>
      </w:r>
    </w:p>
    <w:p w14:paraId="141D235C" w14:textId="77777777" w:rsidR="00ED4694" w:rsidRPr="005749A0" w:rsidRDefault="00ED4694" w:rsidP="00ED4694">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Mais</w:t>
      </w:r>
      <w:r>
        <w:rPr>
          <w:rFonts w:ascii="Arial" w:hAnsi="Arial" w:cs="Arial"/>
          <w:color w:val="000000" w:themeColor="text1"/>
          <w:sz w:val="20"/>
          <w:szCs w:val="20"/>
        </w:rPr>
        <w:t xml:space="preserve"> : </w:t>
      </w:r>
      <w:r w:rsidRPr="005749A0">
        <w:rPr>
          <w:rFonts w:ascii="Arial" w:hAnsi="Arial" w:cs="Arial"/>
          <w:color w:val="000000" w:themeColor="text1"/>
          <w:sz w:val="20"/>
          <w:szCs w:val="20"/>
        </w:rPr>
        <w:t xml:space="preserve">Humalog </w:t>
      </w:r>
      <w:r w:rsidRPr="003D4803">
        <w:rPr>
          <w:rFonts w:ascii="Arial" w:hAnsi="Arial" w:cs="Arial"/>
          <w:b/>
          <w:bCs/>
          <w:color w:val="000000" w:themeColor="text1"/>
          <w:sz w:val="20"/>
          <w:szCs w:val="20"/>
        </w:rPr>
        <w:t>200</w:t>
      </w:r>
      <w:r w:rsidRPr="005749A0">
        <w:rPr>
          <w:rFonts w:ascii="Arial" w:hAnsi="Arial" w:cs="Arial"/>
          <w:color w:val="000000" w:themeColor="text1"/>
          <w:sz w:val="20"/>
          <w:szCs w:val="20"/>
        </w:rPr>
        <w:t xml:space="preserve"> unités par mL </w:t>
      </w:r>
      <w:r>
        <w:rPr>
          <w:rFonts w:ascii="Arial" w:hAnsi="Arial" w:cs="Arial"/>
          <w:color w:val="000000" w:themeColor="text1"/>
          <w:sz w:val="20"/>
          <w:szCs w:val="20"/>
        </w:rPr>
        <w:t>en stylo jetable (Kwikpen ®) de 3ml, boîte de 5 (3000 unités par boîte)</w:t>
      </w:r>
      <w:r w:rsidRPr="005749A0">
        <w:rPr>
          <w:rFonts w:ascii="Arial" w:hAnsi="Arial" w:cs="Arial"/>
          <w:color w:val="000000" w:themeColor="text1"/>
          <w:sz w:val="20"/>
          <w:szCs w:val="20"/>
        </w:rPr>
        <w:t xml:space="preserve"> </w:t>
      </w:r>
      <w:r>
        <w:rPr>
          <w:rFonts w:ascii="Arial" w:hAnsi="Arial" w:cs="Arial"/>
          <w:color w:val="000000" w:themeColor="text1"/>
          <w:sz w:val="20"/>
          <w:szCs w:val="20"/>
        </w:rPr>
        <w:t xml:space="preserve">= le patient a besoin de revenir moins souvent. </w:t>
      </w:r>
      <w:r w:rsidRPr="005749A0">
        <w:rPr>
          <w:rFonts w:ascii="Arial" w:hAnsi="Arial" w:cs="Arial"/>
          <w:color w:val="000000" w:themeColor="text1"/>
          <w:sz w:val="20"/>
          <w:szCs w:val="20"/>
        </w:rPr>
        <w:t>Pas en initiation de traitement</w:t>
      </w:r>
      <w:r>
        <w:rPr>
          <w:rFonts w:ascii="Arial" w:hAnsi="Arial" w:cs="Arial"/>
          <w:color w:val="000000" w:themeColor="text1"/>
          <w:sz w:val="20"/>
          <w:szCs w:val="20"/>
        </w:rPr>
        <w:t>,</w:t>
      </w:r>
      <w:r w:rsidRPr="005749A0">
        <w:rPr>
          <w:rFonts w:ascii="Arial" w:hAnsi="Arial" w:cs="Arial"/>
          <w:color w:val="000000" w:themeColor="text1"/>
          <w:sz w:val="20"/>
          <w:szCs w:val="20"/>
        </w:rPr>
        <w:t xml:space="preserve"> </w:t>
      </w:r>
      <w:r>
        <w:rPr>
          <w:rFonts w:ascii="Arial" w:hAnsi="Arial" w:cs="Arial"/>
          <w:color w:val="000000" w:themeColor="text1"/>
          <w:sz w:val="20"/>
          <w:szCs w:val="20"/>
        </w:rPr>
        <w:t>b</w:t>
      </w:r>
      <w:r w:rsidRPr="005749A0">
        <w:rPr>
          <w:rFonts w:ascii="Arial" w:hAnsi="Arial" w:cs="Arial"/>
          <w:color w:val="000000" w:themeColor="text1"/>
          <w:sz w:val="20"/>
          <w:szCs w:val="20"/>
        </w:rPr>
        <w:t xml:space="preserve">ioéquivalente à Humalog 100 unité par mL </w:t>
      </w:r>
    </w:p>
    <w:p w14:paraId="3CE23A6B" w14:textId="77777777" w:rsidR="00ED4694" w:rsidRDefault="00ED4694" w:rsidP="00ED4694">
      <w:pPr>
        <w:pStyle w:val="Sansinterligne"/>
        <w:jc w:val="both"/>
        <w:rPr>
          <w:rFonts w:ascii="Arial" w:hAnsi="Arial" w:cs="Arial"/>
          <w:color w:val="000000" w:themeColor="text1"/>
          <w:sz w:val="20"/>
          <w:szCs w:val="20"/>
          <w:u w:val="single"/>
        </w:rPr>
      </w:pPr>
    </w:p>
    <w:p w14:paraId="4DE7E4FA" w14:textId="77777777" w:rsidR="00ED4694" w:rsidRPr="007418D4" w:rsidRDefault="00ED4694" w:rsidP="00ED4694">
      <w:pPr>
        <w:pStyle w:val="Sansinterligne"/>
        <w:jc w:val="both"/>
        <w:rPr>
          <w:rFonts w:ascii="Arial" w:hAnsi="Arial" w:cs="Arial"/>
          <w:color w:val="000000" w:themeColor="text1"/>
          <w:sz w:val="20"/>
          <w:szCs w:val="20"/>
          <w:u w:val="single"/>
        </w:rPr>
      </w:pPr>
      <w:r w:rsidRPr="007418D4">
        <w:rPr>
          <w:rFonts w:ascii="Arial" w:hAnsi="Arial" w:cs="Arial"/>
          <w:color w:val="000000" w:themeColor="text1"/>
          <w:sz w:val="20"/>
          <w:szCs w:val="20"/>
          <w:u w:val="single"/>
        </w:rPr>
        <w:t xml:space="preserve">Analogues lents, « les ultra-stables » </w:t>
      </w:r>
    </w:p>
    <w:p w14:paraId="544816F2"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detemir LEVEMIR</w:t>
      </w:r>
      <w:r w:rsidRPr="007418D4">
        <w:rPr>
          <w:rFonts w:ascii="Arial" w:hAnsi="Arial" w:cs="Arial"/>
          <w:color w:val="000000" w:themeColor="text1"/>
          <w:sz w:val="20"/>
          <w:szCs w:val="20"/>
        </w:rPr>
        <w:t>®</w:t>
      </w:r>
      <w:r w:rsidRPr="005749A0">
        <w:rPr>
          <w:rFonts w:ascii="Arial" w:hAnsi="Arial" w:cs="Arial"/>
          <w:color w:val="000000" w:themeColor="text1"/>
          <w:sz w:val="20"/>
          <w:szCs w:val="20"/>
        </w:rPr>
        <w:t xml:space="preserve"> (Novo Nordisk) </w:t>
      </w:r>
    </w:p>
    <w:p w14:paraId="6CA530BB"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glargine LANTUS</w:t>
      </w:r>
      <w:r w:rsidRPr="007418D4">
        <w:rPr>
          <w:rFonts w:ascii="Arial" w:hAnsi="Arial" w:cs="Arial"/>
          <w:color w:val="000000" w:themeColor="text1"/>
          <w:sz w:val="20"/>
          <w:szCs w:val="20"/>
        </w:rPr>
        <w:t>®</w:t>
      </w:r>
      <w:r w:rsidRPr="005749A0">
        <w:rPr>
          <w:rFonts w:ascii="Arial" w:hAnsi="Arial" w:cs="Arial"/>
          <w:color w:val="000000" w:themeColor="text1"/>
          <w:sz w:val="20"/>
          <w:szCs w:val="20"/>
        </w:rPr>
        <w:t xml:space="preserve"> (Sanofi-Aventis) </w:t>
      </w:r>
    </w:p>
    <w:p w14:paraId="184B6894"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glargine ABASAGLAR</w:t>
      </w:r>
      <w:r>
        <w:rPr>
          <w:rFonts w:ascii="Arial" w:hAnsi="Arial" w:cs="Arial"/>
          <w:color w:val="000000" w:themeColor="text1"/>
          <w:sz w:val="20"/>
          <w:szCs w:val="20"/>
          <w:lang w:val="en-US"/>
        </w:rPr>
        <w:t>®</w:t>
      </w:r>
      <w:r w:rsidRPr="005749A0">
        <w:rPr>
          <w:rFonts w:ascii="Arial" w:hAnsi="Arial" w:cs="Arial"/>
          <w:color w:val="000000" w:themeColor="text1"/>
          <w:sz w:val="20"/>
          <w:szCs w:val="20"/>
        </w:rPr>
        <w:t xml:space="preserve"> (Ely Lilly) </w:t>
      </w:r>
    </w:p>
    <w:p w14:paraId="1FF7A5F2"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glargine TOUJEO</w:t>
      </w:r>
      <w:r>
        <w:rPr>
          <w:rFonts w:ascii="Arial" w:hAnsi="Arial" w:cs="Arial"/>
          <w:color w:val="000000" w:themeColor="text1"/>
          <w:sz w:val="20"/>
          <w:szCs w:val="20"/>
          <w:lang w:val="en-US"/>
        </w:rPr>
        <w:t>®</w:t>
      </w:r>
      <w:r w:rsidRPr="005749A0">
        <w:rPr>
          <w:rFonts w:ascii="Arial" w:hAnsi="Arial" w:cs="Arial"/>
          <w:color w:val="000000" w:themeColor="text1"/>
          <w:sz w:val="20"/>
          <w:szCs w:val="20"/>
        </w:rPr>
        <w:t xml:space="preserve"> (Sanofi-Aventis) </w:t>
      </w:r>
    </w:p>
    <w:p w14:paraId="7AA606E2"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degludec TRESIBA</w:t>
      </w:r>
      <w:r>
        <w:rPr>
          <w:rFonts w:ascii="Arial" w:hAnsi="Arial" w:cs="Arial"/>
          <w:color w:val="000000" w:themeColor="text1"/>
          <w:sz w:val="20"/>
          <w:szCs w:val="20"/>
          <w:lang w:val="en-US"/>
        </w:rPr>
        <w:t>®</w:t>
      </w:r>
      <w:r w:rsidRPr="005749A0">
        <w:rPr>
          <w:rFonts w:ascii="Arial" w:hAnsi="Arial" w:cs="Arial"/>
          <w:color w:val="000000" w:themeColor="text1"/>
          <w:sz w:val="20"/>
          <w:szCs w:val="20"/>
        </w:rPr>
        <w:t xml:space="preserve"> </w:t>
      </w:r>
      <w:r>
        <w:rPr>
          <w:rFonts w:ascii="Arial" w:hAnsi="Arial" w:cs="Arial"/>
          <w:color w:val="000000" w:themeColor="text1"/>
          <w:sz w:val="20"/>
          <w:szCs w:val="20"/>
        </w:rPr>
        <w:t xml:space="preserve"> </w:t>
      </w:r>
      <w:r w:rsidRPr="005749A0">
        <w:rPr>
          <w:rFonts w:ascii="Arial" w:hAnsi="Arial" w:cs="Arial"/>
          <w:color w:val="000000" w:themeColor="text1"/>
          <w:sz w:val="20"/>
          <w:szCs w:val="20"/>
        </w:rPr>
        <w:t xml:space="preserve">(Novo Nordisk) </w:t>
      </w:r>
    </w:p>
    <w:p w14:paraId="4E63015D" w14:textId="77777777" w:rsidR="00ED4694" w:rsidRDefault="00ED4694" w:rsidP="00ED4694">
      <w:pPr>
        <w:pStyle w:val="Sansinterligne"/>
        <w:numPr>
          <w:ilvl w:val="1"/>
          <w:numId w:val="140"/>
        </w:numPr>
        <w:jc w:val="both"/>
        <w:rPr>
          <w:rFonts w:ascii="Arial" w:hAnsi="Arial" w:cs="Arial"/>
          <w:color w:val="000000" w:themeColor="text1"/>
          <w:sz w:val="20"/>
          <w:szCs w:val="20"/>
        </w:rPr>
      </w:pPr>
      <w:r>
        <w:rPr>
          <w:rFonts w:ascii="Arial" w:hAnsi="Arial" w:cs="Arial"/>
          <w:color w:val="000000" w:themeColor="text1"/>
          <w:sz w:val="20"/>
          <w:szCs w:val="20"/>
        </w:rPr>
        <w:t>100 UI/mL : cartouche, 1 injection par jour</w:t>
      </w:r>
    </w:p>
    <w:p w14:paraId="473830F7" w14:textId="77777777" w:rsidR="00ED4694" w:rsidRDefault="00ED4694" w:rsidP="00ED4694">
      <w:pPr>
        <w:pStyle w:val="Sansinterligne"/>
        <w:numPr>
          <w:ilvl w:val="1"/>
          <w:numId w:val="140"/>
        </w:numPr>
        <w:jc w:val="both"/>
        <w:rPr>
          <w:rFonts w:ascii="Arial" w:hAnsi="Arial" w:cs="Arial"/>
          <w:color w:val="000000" w:themeColor="text1"/>
          <w:sz w:val="20"/>
          <w:szCs w:val="20"/>
        </w:rPr>
      </w:pPr>
      <w:r>
        <w:rPr>
          <w:rFonts w:ascii="Arial" w:hAnsi="Arial" w:cs="Arial"/>
          <w:color w:val="000000" w:themeColor="text1"/>
          <w:sz w:val="20"/>
          <w:szCs w:val="20"/>
        </w:rPr>
        <w:t>200 UI/mL : stylo flextouch, 1 injection par jour</w:t>
      </w:r>
    </w:p>
    <w:p w14:paraId="51BB47F3" w14:textId="77777777" w:rsidR="00ED4694" w:rsidRDefault="00ED4694" w:rsidP="00ED4694">
      <w:pPr>
        <w:pStyle w:val="Sansinterligne"/>
        <w:ind w:left="425"/>
        <w:jc w:val="both"/>
        <w:rPr>
          <w:rFonts w:ascii="Arial" w:hAnsi="Arial" w:cs="Arial"/>
          <w:color w:val="000000" w:themeColor="text1"/>
          <w:sz w:val="20"/>
          <w:szCs w:val="20"/>
        </w:rPr>
      </w:pPr>
      <w:r w:rsidRPr="00E837A6">
        <w:rPr>
          <w:rFonts w:ascii="Arial" w:hAnsi="Arial" w:cs="Arial"/>
          <w:color w:val="000000" w:themeColor="text1"/>
          <w:sz w:val="20"/>
          <w:szCs w:val="20"/>
        </w:rPr>
        <w:sym w:font="Wingdings" w:char="F0E0"/>
      </w:r>
      <w:r>
        <w:rPr>
          <w:rFonts w:ascii="Arial" w:hAnsi="Arial" w:cs="Arial"/>
          <w:color w:val="000000" w:themeColor="text1"/>
          <w:sz w:val="20"/>
          <w:szCs w:val="20"/>
        </w:rPr>
        <w:t xml:space="preserve"> ASMR 5 / autres analogues lents </w:t>
      </w:r>
    </w:p>
    <w:p w14:paraId="18C4156A" w14:textId="77777777" w:rsidR="00ED4694" w:rsidRPr="005749A0" w:rsidRDefault="00ED4694" w:rsidP="00ED4694">
      <w:pPr>
        <w:pStyle w:val="Sansinterligne"/>
        <w:jc w:val="both"/>
        <w:rPr>
          <w:rFonts w:ascii="Arial" w:hAnsi="Arial" w:cs="Arial"/>
          <w:color w:val="000000" w:themeColor="text1"/>
          <w:sz w:val="20"/>
          <w:szCs w:val="20"/>
        </w:rPr>
      </w:pPr>
      <w:r w:rsidRPr="005749A0">
        <w:rPr>
          <w:rFonts w:ascii="Arial" w:hAnsi="Arial" w:cs="Arial"/>
          <w:noProof/>
          <w:color w:val="000000" w:themeColor="text1"/>
          <w:sz w:val="20"/>
          <w:szCs w:val="20"/>
        </w:rPr>
        <w:drawing>
          <wp:anchor distT="0" distB="0" distL="114300" distR="114300" simplePos="0" relativeHeight="251737088" behindDoc="1" locked="0" layoutInCell="1" allowOverlap="1" wp14:anchorId="653AA38E" wp14:editId="15A16012">
            <wp:simplePos x="0" y="0"/>
            <wp:positionH relativeFrom="column">
              <wp:posOffset>3532505</wp:posOffset>
            </wp:positionH>
            <wp:positionV relativeFrom="paragraph">
              <wp:posOffset>50800</wp:posOffset>
            </wp:positionV>
            <wp:extent cx="1491615" cy="1497330"/>
            <wp:effectExtent l="0" t="0" r="0" b="1270"/>
            <wp:wrapTight wrapText="bothSides">
              <wp:wrapPolygon edited="0">
                <wp:start x="2575" y="366"/>
                <wp:lineTo x="1287" y="1099"/>
                <wp:lineTo x="736" y="2015"/>
                <wp:lineTo x="736" y="19053"/>
                <wp:lineTo x="1103" y="21252"/>
                <wp:lineTo x="1655" y="21435"/>
                <wp:lineTo x="17103" y="21435"/>
                <wp:lineTo x="19862" y="21252"/>
                <wp:lineTo x="20782" y="20153"/>
                <wp:lineTo x="20414" y="6779"/>
                <wp:lineTo x="13241" y="3664"/>
                <wp:lineTo x="13425" y="2382"/>
                <wp:lineTo x="11034" y="1649"/>
                <wp:lineTo x="3678" y="366"/>
                <wp:lineTo x="2575" y="366"/>
              </wp:wrapPolygon>
            </wp:wrapTight>
            <wp:docPr id="559179459" name="Image 383" descr="page15image515444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15image51544489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91615" cy="1497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7638B5" w14:textId="77777777" w:rsidR="00ED4694" w:rsidRDefault="00ED4694" w:rsidP="00ED4694">
      <w:pPr>
        <w:pStyle w:val="Sansinterligne"/>
        <w:jc w:val="both"/>
        <w:rPr>
          <w:rFonts w:ascii="Arial" w:hAnsi="Arial" w:cs="Arial"/>
          <w:color w:val="000000" w:themeColor="text1"/>
          <w:sz w:val="20"/>
          <w:szCs w:val="20"/>
        </w:rPr>
      </w:pPr>
      <w:r w:rsidRPr="005749A0">
        <w:rPr>
          <w:rFonts w:ascii="Arial" w:hAnsi="Arial" w:cs="Arial"/>
          <w:noProof/>
          <w:color w:val="000000" w:themeColor="text1"/>
          <w:sz w:val="20"/>
          <w:szCs w:val="20"/>
        </w:rPr>
        <w:drawing>
          <wp:anchor distT="0" distB="0" distL="114300" distR="114300" simplePos="0" relativeHeight="251736064" behindDoc="1" locked="0" layoutInCell="1" allowOverlap="1" wp14:anchorId="6AEF5213" wp14:editId="7A2CA44D">
            <wp:simplePos x="0" y="0"/>
            <wp:positionH relativeFrom="column">
              <wp:posOffset>1751483</wp:posOffset>
            </wp:positionH>
            <wp:positionV relativeFrom="paragraph">
              <wp:posOffset>104775</wp:posOffset>
            </wp:positionV>
            <wp:extent cx="1716405" cy="1288415"/>
            <wp:effectExtent l="0" t="0" r="0" b="0"/>
            <wp:wrapTight wrapText="bothSides">
              <wp:wrapPolygon edited="0">
                <wp:start x="0" y="0"/>
                <wp:lineTo x="0" y="21291"/>
                <wp:lineTo x="21416" y="21291"/>
                <wp:lineTo x="21416" y="0"/>
                <wp:lineTo x="0" y="0"/>
              </wp:wrapPolygon>
            </wp:wrapTight>
            <wp:docPr id="1109333554" name="Image 385" descr="page15image51543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ge15image51543604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16405" cy="1288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49A0">
        <w:rPr>
          <w:rFonts w:ascii="Arial" w:hAnsi="Arial" w:cs="Arial"/>
          <w:noProof/>
          <w:color w:val="000000" w:themeColor="text1"/>
          <w:sz w:val="20"/>
          <w:szCs w:val="20"/>
        </w:rPr>
        <w:drawing>
          <wp:anchor distT="0" distB="0" distL="114300" distR="114300" simplePos="0" relativeHeight="251735040" behindDoc="1" locked="0" layoutInCell="1" allowOverlap="1" wp14:anchorId="1DA8127D" wp14:editId="53DA0A45">
            <wp:simplePos x="0" y="0"/>
            <wp:positionH relativeFrom="column">
              <wp:posOffset>-154305</wp:posOffset>
            </wp:positionH>
            <wp:positionV relativeFrom="paragraph">
              <wp:posOffset>86995</wp:posOffset>
            </wp:positionV>
            <wp:extent cx="1689735" cy="1304290"/>
            <wp:effectExtent l="0" t="0" r="0" b="3810"/>
            <wp:wrapTight wrapText="bothSides">
              <wp:wrapPolygon edited="0">
                <wp:start x="0" y="0"/>
                <wp:lineTo x="0" y="21453"/>
                <wp:lineTo x="21430" y="21453"/>
                <wp:lineTo x="21430" y="0"/>
                <wp:lineTo x="0" y="0"/>
              </wp:wrapPolygon>
            </wp:wrapTight>
            <wp:docPr id="1257386591" name="Image 386" descr="page15image51544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15image51544356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89735" cy="1304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6A503F" w14:textId="77777777" w:rsidR="00ED4694" w:rsidRDefault="00ED4694" w:rsidP="00ED4694">
      <w:pPr>
        <w:pStyle w:val="Sansinterligne"/>
        <w:jc w:val="both"/>
        <w:rPr>
          <w:rFonts w:ascii="Arial" w:hAnsi="Arial" w:cs="Arial"/>
          <w:color w:val="000000" w:themeColor="text1"/>
          <w:sz w:val="20"/>
          <w:szCs w:val="20"/>
        </w:rPr>
      </w:pPr>
      <w:r w:rsidRPr="005749A0">
        <w:rPr>
          <w:rFonts w:ascii="Arial" w:hAnsi="Arial" w:cs="Arial"/>
          <w:noProof/>
          <w:color w:val="000000" w:themeColor="text1"/>
          <w:sz w:val="20"/>
          <w:szCs w:val="20"/>
        </w:rPr>
        <w:drawing>
          <wp:anchor distT="0" distB="0" distL="114300" distR="114300" simplePos="0" relativeHeight="251738112" behindDoc="1" locked="0" layoutInCell="1" allowOverlap="1" wp14:anchorId="6EC8D021" wp14:editId="28E584BD">
            <wp:simplePos x="0" y="0"/>
            <wp:positionH relativeFrom="column">
              <wp:posOffset>5105791</wp:posOffset>
            </wp:positionH>
            <wp:positionV relativeFrom="paragraph">
              <wp:posOffset>80903</wp:posOffset>
            </wp:positionV>
            <wp:extent cx="1847173" cy="1162800"/>
            <wp:effectExtent l="0" t="0" r="0" b="5715"/>
            <wp:wrapTight wrapText="bothSides">
              <wp:wrapPolygon edited="0">
                <wp:start x="0" y="0"/>
                <wp:lineTo x="0" y="21470"/>
                <wp:lineTo x="21392" y="21470"/>
                <wp:lineTo x="21392" y="0"/>
                <wp:lineTo x="0" y="0"/>
              </wp:wrapPolygon>
            </wp:wrapTight>
            <wp:docPr id="2094853365" name="Image 382" descr="page16image51546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ge16image51546281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47173" cy="116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49A0">
        <w:rPr>
          <w:rFonts w:ascii="Arial" w:hAnsi="Arial" w:cs="Arial"/>
          <w:color w:val="000000" w:themeColor="text1"/>
          <w:sz w:val="20"/>
          <w:szCs w:val="20"/>
        </w:rPr>
        <w:br/>
      </w:r>
    </w:p>
    <w:p w14:paraId="70954837" w14:textId="77777777" w:rsidR="00ED4694" w:rsidRDefault="00ED4694" w:rsidP="00ED4694">
      <w:pPr>
        <w:pStyle w:val="Sansinterligne"/>
        <w:jc w:val="both"/>
        <w:rPr>
          <w:rFonts w:ascii="Arial" w:hAnsi="Arial" w:cs="Arial"/>
          <w:color w:val="000000" w:themeColor="text1"/>
          <w:sz w:val="20"/>
          <w:szCs w:val="20"/>
        </w:rPr>
      </w:pPr>
      <w:r>
        <w:rPr>
          <w:rFonts w:ascii="Arial" w:hAnsi="Arial" w:cs="Arial"/>
          <w:color w:val="000000" w:themeColor="text1"/>
          <w:sz w:val="20"/>
          <w:szCs w:val="20"/>
        </w:rPr>
        <w:t>TOUJEO® : 3 cartouches de 1,5 mL, 300 U/mL</w:t>
      </w:r>
    </w:p>
    <w:p w14:paraId="2A006330"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Solostar : 1 à 80 UI</w:t>
      </w:r>
    </w:p>
    <w:p w14:paraId="6BE9EFFE"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Mais, si cartouche de TOUJEO® à 3 mL, on utilise Solostar de 2 à 160 UI</w:t>
      </w:r>
    </w:p>
    <w:p w14:paraId="08A8CF06" w14:textId="77777777" w:rsidR="00ED4694" w:rsidRDefault="00ED4694" w:rsidP="00ED4694">
      <w:pPr>
        <w:pStyle w:val="Sansinterligne"/>
        <w:jc w:val="both"/>
        <w:rPr>
          <w:rFonts w:ascii="Arial" w:hAnsi="Arial" w:cs="Arial"/>
          <w:color w:val="000000" w:themeColor="text1"/>
          <w:sz w:val="20"/>
          <w:szCs w:val="20"/>
        </w:rPr>
      </w:pPr>
      <w:r>
        <w:rPr>
          <w:rFonts w:ascii="Arial" w:hAnsi="Arial" w:cs="Arial"/>
          <w:color w:val="000000" w:themeColor="text1"/>
          <w:sz w:val="20"/>
          <w:szCs w:val="20"/>
        </w:rPr>
        <w:t>Pas bioéquivalente à insuline glargine.100 U/mL</w:t>
      </w:r>
    </w:p>
    <w:p w14:paraId="4F1AD473" w14:textId="77777777" w:rsidR="00ED4694" w:rsidRDefault="00ED4694" w:rsidP="00ED4694">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 xml:space="preserve">Glargine 100 unités / mL à Toujeo : 1: 1 mais augmentation nécessaire 10-18% </w:t>
      </w:r>
    </w:p>
    <w:p w14:paraId="53550D41" w14:textId="77777777" w:rsidR="00ED4694" w:rsidRPr="005749A0" w:rsidRDefault="00ED4694" w:rsidP="00ED4694">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 xml:space="preserve">Toujeo 300 unités / mL à glargine 100 unités par mL : diminution de 20% </w:t>
      </w:r>
    </w:p>
    <w:p w14:paraId="00EA496A" w14:textId="77777777" w:rsidR="00ED4694" w:rsidRDefault="00ED4694" w:rsidP="00ED4694">
      <w:pPr>
        <w:pStyle w:val="Sansinterligne"/>
        <w:jc w:val="both"/>
        <w:rPr>
          <w:rFonts w:ascii="Arial" w:hAnsi="Arial" w:cs="Arial"/>
          <w:color w:val="000000" w:themeColor="text1"/>
          <w:sz w:val="20"/>
          <w:szCs w:val="20"/>
        </w:rPr>
      </w:pPr>
    </w:p>
    <w:p w14:paraId="370F0FF8" w14:textId="77777777" w:rsidR="00ED4694" w:rsidRPr="005749A0" w:rsidRDefault="00ED4694" w:rsidP="00ED4694">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lastRenderedPageBreak/>
        <w:fldChar w:fldCharType="begin"/>
      </w:r>
      <w:r w:rsidRPr="005749A0">
        <w:rPr>
          <w:rFonts w:ascii="Arial" w:hAnsi="Arial" w:cs="Arial"/>
          <w:color w:val="000000" w:themeColor="text1"/>
          <w:sz w:val="20"/>
          <w:szCs w:val="20"/>
        </w:rPr>
        <w:instrText xml:space="preserve"> INCLUDEPICTURE "/Users/alienorprudhomme/Library/Group Containers/UBF8T346G9.ms/WebArchiveCopyPasteTempFiles/com.microsoft.Word/page18image515408368" \* MERGEFORMATINET </w:instrText>
      </w:r>
      <w:r w:rsidRPr="005749A0">
        <w:rPr>
          <w:rFonts w:ascii="Arial" w:hAnsi="Arial" w:cs="Arial"/>
          <w:color w:val="000000" w:themeColor="text1"/>
          <w:sz w:val="20"/>
          <w:szCs w:val="20"/>
        </w:rPr>
        <w:fldChar w:fldCharType="separate"/>
      </w:r>
      <w:r w:rsidRPr="005749A0">
        <w:rPr>
          <w:rFonts w:ascii="Arial" w:hAnsi="Arial" w:cs="Arial"/>
          <w:noProof/>
          <w:color w:val="000000" w:themeColor="text1"/>
          <w:sz w:val="20"/>
          <w:szCs w:val="20"/>
        </w:rPr>
        <w:drawing>
          <wp:inline distT="0" distB="0" distL="0" distR="0" wp14:anchorId="08221F27" wp14:editId="2011E281">
            <wp:extent cx="6220460" cy="293370"/>
            <wp:effectExtent l="0" t="0" r="2540" b="0"/>
            <wp:docPr id="1537786145" name="Image 376" descr="page18image515408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age18image51540836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220460" cy="293370"/>
                    </a:xfrm>
                    <a:prstGeom prst="rect">
                      <a:avLst/>
                    </a:prstGeom>
                    <a:noFill/>
                    <a:ln>
                      <a:noFill/>
                    </a:ln>
                  </pic:spPr>
                </pic:pic>
              </a:graphicData>
            </a:graphic>
          </wp:inline>
        </w:drawing>
      </w:r>
      <w:r w:rsidRPr="005749A0">
        <w:rPr>
          <w:rFonts w:ascii="Arial" w:hAnsi="Arial" w:cs="Arial"/>
          <w:color w:val="000000" w:themeColor="text1"/>
          <w:sz w:val="20"/>
          <w:szCs w:val="20"/>
        </w:rPr>
        <w:fldChar w:fldCharType="end"/>
      </w:r>
      <w:r w:rsidRPr="005749A0">
        <w:rPr>
          <w:rFonts w:ascii="Arial" w:hAnsi="Arial" w:cs="Arial"/>
          <w:color w:val="000000" w:themeColor="text1"/>
          <w:sz w:val="20"/>
          <w:szCs w:val="20"/>
        </w:rPr>
        <w:fldChar w:fldCharType="begin"/>
      </w:r>
      <w:r w:rsidRPr="005749A0">
        <w:rPr>
          <w:rFonts w:ascii="Arial" w:hAnsi="Arial" w:cs="Arial"/>
          <w:color w:val="000000" w:themeColor="text1"/>
          <w:sz w:val="20"/>
          <w:szCs w:val="20"/>
        </w:rPr>
        <w:instrText xml:space="preserve"> INCLUDEPICTURE "/Users/alienorprudhomme/Library/Group Containers/UBF8T346G9.ms/WebArchiveCopyPasteTempFiles/com.microsoft.Word/page18image515408576" \* MERGEFORMATINET </w:instrText>
      </w:r>
      <w:r w:rsidRPr="005749A0">
        <w:rPr>
          <w:rFonts w:ascii="Arial" w:hAnsi="Arial" w:cs="Arial"/>
          <w:color w:val="000000" w:themeColor="text1"/>
          <w:sz w:val="20"/>
          <w:szCs w:val="20"/>
        </w:rPr>
        <w:fldChar w:fldCharType="separate"/>
      </w:r>
      <w:r w:rsidRPr="005749A0">
        <w:rPr>
          <w:rFonts w:ascii="Arial" w:hAnsi="Arial" w:cs="Arial"/>
          <w:noProof/>
          <w:color w:val="000000" w:themeColor="text1"/>
          <w:sz w:val="20"/>
          <w:szCs w:val="20"/>
        </w:rPr>
        <w:drawing>
          <wp:inline distT="0" distB="0" distL="0" distR="0" wp14:anchorId="692B1F57" wp14:editId="365E3A74">
            <wp:extent cx="6645910" cy="4257040"/>
            <wp:effectExtent l="0" t="0" r="0" b="0"/>
            <wp:docPr id="1266621072" name="Image 375" descr="page18image515408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ge18image51540857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645910" cy="4257040"/>
                    </a:xfrm>
                    <a:prstGeom prst="rect">
                      <a:avLst/>
                    </a:prstGeom>
                    <a:noFill/>
                    <a:ln>
                      <a:noFill/>
                    </a:ln>
                  </pic:spPr>
                </pic:pic>
              </a:graphicData>
            </a:graphic>
          </wp:inline>
        </w:drawing>
      </w:r>
      <w:r w:rsidRPr="005749A0">
        <w:rPr>
          <w:rFonts w:ascii="Arial" w:hAnsi="Arial" w:cs="Arial"/>
          <w:color w:val="000000" w:themeColor="text1"/>
          <w:sz w:val="20"/>
          <w:szCs w:val="20"/>
        </w:rPr>
        <w:fldChar w:fldCharType="end"/>
      </w:r>
    </w:p>
    <w:p w14:paraId="57E47A3B" w14:textId="77777777" w:rsidR="00ED4694" w:rsidRPr="005749A0" w:rsidRDefault="00ED4694" w:rsidP="00ED4694">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fldChar w:fldCharType="begin"/>
      </w:r>
      <w:r w:rsidRPr="005749A0">
        <w:rPr>
          <w:rFonts w:ascii="Arial" w:hAnsi="Arial" w:cs="Arial"/>
          <w:color w:val="000000" w:themeColor="text1"/>
          <w:sz w:val="20"/>
          <w:szCs w:val="20"/>
        </w:rPr>
        <w:instrText xml:space="preserve"> INCLUDEPICTURE "/Users/alienorprudhomme/Library/Group Containers/UBF8T346G9.ms/WebArchiveCopyPasteTempFiles/com.microsoft.Word/page19image515457792" \* MERGEFORMATINET </w:instrText>
      </w:r>
      <w:r w:rsidRPr="005749A0">
        <w:rPr>
          <w:rFonts w:ascii="Arial" w:hAnsi="Arial" w:cs="Arial"/>
          <w:color w:val="000000" w:themeColor="text1"/>
          <w:sz w:val="20"/>
          <w:szCs w:val="20"/>
        </w:rPr>
        <w:fldChar w:fldCharType="separate"/>
      </w:r>
      <w:r w:rsidRPr="005749A0">
        <w:rPr>
          <w:rFonts w:ascii="Arial" w:hAnsi="Arial" w:cs="Arial"/>
          <w:noProof/>
          <w:color w:val="000000" w:themeColor="text1"/>
          <w:sz w:val="20"/>
          <w:szCs w:val="20"/>
        </w:rPr>
        <w:drawing>
          <wp:inline distT="0" distB="0" distL="0" distR="0" wp14:anchorId="57F5328E" wp14:editId="1DF95CE9">
            <wp:extent cx="6645910" cy="2108835"/>
            <wp:effectExtent l="0" t="0" r="0" b="0"/>
            <wp:docPr id="1958490838" name="Image 372" descr="page19image515457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age19image51545779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645910" cy="2108835"/>
                    </a:xfrm>
                    <a:prstGeom prst="rect">
                      <a:avLst/>
                    </a:prstGeom>
                    <a:noFill/>
                    <a:ln>
                      <a:noFill/>
                    </a:ln>
                  </pic:spPr>
                </pic:pic>
              </a:graphicData>
            </a:graphic>
          </wp:inline>
        </w:drawing>
      </w:r>
      <w:r w:rsidRPr="005749A0">
        <w:rPr>
          <w:rFonts w:ascii="Arial" w:hAnsi="Arial" w:cs="Arial"/>
          <w:color w:val="000000" w:themeColor="text1"/>
          <w:sz w:val="20"/>
          <w:szCs w:val="20"/>
        </w:rPr>
        <w:fldChar w:fldCharType="end"/>
      </w:r>
    </w:p>
    <w:p w14:paraId="73320644" w14:textId="77777777" w:rsidR="00ED4694" w:rsidRPr="005749A0" w:rsidRDefault="00ED4694" w:rsidP="00ED4694">
      <w:pPr>
        <w:pStyle w:val="Sansinterligne"/>
        <w:jc w:val="center"/>
        <w:rPr>
          <w:rFonts w:ascii="Arial" w:hAnsi="Arial" w:cs="Arial"/>
          <w:color w:val="000000" w:themeColor="text1"/>
          <w:sz w:val="20"/>
          <w:szCs w:val="20"/>
        </w:rPr>
      </w:pPr>
      <w:r w:rsidRPr="005749A0">
        <w:rPr>
          <w:rFonts w:ascii="Arial" w:hAnsi="Arial" w:cs="Arial"/>
          <w:color w:val="000000" w:themeColor="text1"/>
          <w:sz w:val="20"/>
          <w:szCs w:val="20"/>
        </w:rPr>
        <w:fldChar w:fldCharType="begin"/>
      </w:r>
      <w:r w:rsidRPr="005749A0">
        <w:rPr>
          <w:rFonts w:ascii="Arial" w:hAnsi="Arial" w:cs="Arial"/>
          <w:color w:val="000000" w:themeColor="text1"/>
          <w:sz w:val="20"/>
          <w:szCs w:val="20"/>
        </w:rPr>
        <w:instrText xml:space="preserve"> INCLUDEPICTURE "/Users/alienorprudhomme/Library/Group Containers/UBF8T346G9.ms/WebArchiveCopyPasteTempFiles/com.microsoft.Word/page20image515440608" \* MERGEFORMATINET </w:instrText>
      </w:r>
      <w:r w:rsidRPr="005749A0">
        <w:rPr>
          <w:rFonts w:ascii="Arial" w:hAnsi="Arial" w:cs="Arial"/>
          <w:color w:val="000000" w:themeColor="text1"/>
          <w:sz w:val="20"/>
          <w:szCs w:val="20"/>
        </w:rPr>
        <w:fldChar w:fldCharType="separate"/>
      </w:r>
      <w:r w:rsidRPr="005749A0">
        <w:rPr>
          <w:rFonts w:ascii="Arial" w:hAnsi="Arial" w:cs="Arial"/>
          <w:noProof/>
          <w:color w:val="000000" w:themeColor="text1"/>
          <w:sz w:val="20"/>
          <w:szCs w:val="20"/>
        </w:rPr>
        <w:drawing>
          <wp:inline distT="0" distB="0" distL="0" distR="0" wp14:anchorId="6C9AB1F7" wp14:editId="05AA2F5E">
            <wp:extent cx="4703766" cy="3057043"/>
            <wp:effectExtent l="0" t="0" r="0" b="3810"/>
            <wp:docPr id="1745429984" name="Image 369" descr="page20image51544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age20image51544060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703766" cy="3057043"/>
                    </a:xfrm>
                    <a:prstGeom prst="rect">
                      <a:avLst/>
                    </a:prstGeom>
                    <a:noFill/>
                    <a:ln>
                      <a:noFill/>
                    </a:ln>
                  </pic:spPr>
                </pic:pic>
              </a:graphicData>
            </a:graphic>
          </wp:inline>
        </w:drawing>
      </w:r>
      <w:r w:rsidRPr="005749A0">
        <w:rPr>
          <w:rFonts w:ascii="Arial" w:hAnsi="Arial" w:cs="Arial"/>
          <w:color w:val="000000" w:themeColor="text1"/>
          <w:sz w:val="20"/>
          <w:szCs w:val="20"/>
        </w:rPr>
        <w:fldChar w:fldCharType="end"/>
      </w:r>
    </w:p>
    <w:p w14:paraId="612760ED" w14:textId="77777777" w:rsidR="00ED4694" w:rsidRDefault="00ED4694" w:rsidP="00ED4694">
      <w:pPr>
        <w:pStyle w:val="Sansinterligne"/>
        <w:jc w:val="both"/>
        <w:rPr>
          <w:rFonts w:ascii="Arial" w:hAnsi="Arial" w:cs="Arial"/>
          <w:color w:val="000000" w:themeColor="text1"/>
          <w:sz w:val="20"/>
          <w:szCs w:val="20"/>
        </w:rPr>
      </w:pPr>
    </w:p>
    <w:tbl>
      <w:tblPr>
        <w:tblStyle w:val="Grilledutableau"/>
        <w:tblW w:w="0" w:type="auto"/>
        <w:tblLook w:val="04A0" w:firstRow="1" w:lastRow="0" w:firstColumn="1" w:lastColumn="0" w:noHBand="0" w:noVBand="1"/>
      </w:tblPr>
      <w:tblGrid>
        <w:gridCol w:w="5228"/>
        <w:gridCol w:w="5228"/>
      </w:tblGrid>
      <w:tr w:rsidR="00ED4694" w14:paraId="7197C9C4" w14:textId="77777777" w:rsidTr="00177C07">
        <w:tc>
          <w:tcPr>
            <w:tcW w:w="5228" w:type="dxa"/>
          </w:tcPr>
          <w:p w14:paraId="3EBE589D" w14:textId="77777777" w:rsidR="00ED4694" w:rsidRPr="007A182C" w:rsidRDefault="00ED4694" w:rsidP="00177C07">
            <w:pPr>
              <w:pStyle w:val="Sansinterligne"/>
              <w:jc w:val="both"/>
              <w:rPr>
                <w:rFonts w:ascii="Arial" w:hAnsi="Arial" w:cs="Arial"/>
                <w:color w:val="000000" w:themeColor="text1"/>
                <w:sz w:val="20"/>
                <w:szCs w:val="20"/>
                <w:u w:val="single"/>
              </w:rPr>
            </w:pPr>
            <w:r w:rsidRPr="007A182C">
              <w:rPr>
                <w:rFonts w:ascii="Arial" w:hAnsi="Arial" w:cs="Arial"/>
                <w:color w:val="000000" w:themeColor="text1"/>
                <w:sz w:val="20"/>
                <w:szCs w:val="20"/>
                <w:u w:val="single"/>
              </w:rPr>
              <w:t xml:space="preserve">Insuline glargine vs NPH : </w:t>
            </w:r>
          </w:p>
          <w:p w14:paraId="275A43D2" w14:textId="77777777" w:rsidR="00ED4694" w:rsidRDefault="00ED4694" w:rsidP="00177C07">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Avantages</w:t>
            </w:r>
            <w:r>
              <w:rPr>
                <w:rFonts w:ascii="Arial" w:hAnsi="Arial" w:cs="Arial"/>
                <w:color w:val="000000" w:themeColor="text1"/>
                <w:sz w:val="20"/>
                <w:szCs w:val="20"/>
              </w:rPr>
              <w:t xml:space="preserve"> : </w:t>
            </w:r>
          </w:p>
          <w:p w14:paraId="4CE89F63" w14:textId="77777777" w:rsidR="00ED4694" w:rsidRDefault="00ED4694" w:rsidP="00177C07">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Action prolongée</w:t>
            </w:r>
          </w:p>
          <w:p w14:paraId="1337797A" w14:textId="77777777" w:rsidR="00ED4694" w:rsidRPr="005749A0" w:rsidRDefault="00ED4694" w:rsidP="00177C07">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Profil plus régulier / NPH </w:t>
            </w:r>
            <w:r>
              <w:rPr>
                <w:rFonts w:ascii="Arial" w:hAnsi="Arial" w:cs="Arial"/>
                <w:color w:val="000000" w:themeColor="text1"/>
                <w:sz w:val="20"/>
                <w:szCs w:val="20"/>
              </w:rPr>
              <w:t>(moins d’hypoglycémies nocturnes)</w:t>
            </w:r>
          </w:p>
          <w:p w14:paraId="523BEEFF" w14:textId="77777777" w:rsidR="00ED4694" w:rsidRDefault="00ED4694" w:rsidP="00177C07">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Solution</w:t>
            </w:r>
          </w:p>
          <w:p w14:paraId="604C96E2" w14:textId="77777777" w:rsidR="00ED4694" w:rsidRPr="005749A0" w:rsidRDefault="00ED4694" w:rsidP="00177C07">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1 injection par jour (meilleur impact / glycémie à jeun)</w:t>
            </w:r>
          </w:p>
          <w:p w14:paraId="75454BAB" w14:textId="77777777" w:rsidR="00ED4694" w:rsidRDefault="00ED4694" w:rsidP="00177C07">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Inconvénients</w:t>
            </w:r>
            <w:r>
              <w:rPr>
                <w:rFonts w:ascii="Arial" w:hAnsi="Arial" w:cs="Arial"/>
                <w:color w:val="000000" w:themeColor="text1"/>
                <w:sz w:val="20"/>
                <w:szCs w:val="20"/>
              </w:rPr>
              <w:t> :</w:t>
            </w:r>
          </w:p>
          <w:p w14:paraId="7E74CAB7" w14:textId="77777777" w:rsidR="00ED4694" w:rsidRDefault="00ED4694" w:rsidP="00177C07">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 xml:space="preserve">Pas toujours aussi longue, relative inertie </w:t>
            </w:r>
          </w:p>
          <w:p w14:paraId="6191C863" w14:textId="77777777" w:rsidR="00ED4694" w:rsidRPr="005749A0" w:rsidRDefault="00ED4694" w:rsidP="00177C07">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pH acide (4) : Tolérence locale ?</w:t>
            </w:r>
          </w:p>
          <w:p w14:paraId="30C16C30" w14:textId="77777777" w:rsidR="00ED4694" w:rsidRDefault="00ED4694" w:rsidP="00177C07">
            <w:pPr>
              <w:pStyle w:val="Sansinterligne"/>
              <w:jc w:val="both"/>
              <w:rPr>
                <w:rFonts w:ascii="Arial" w:hAnsi="Arial" w:cs="Arial"/>
                <w:color w:val="000000" w:themeColor="text1"/>
                <w:sz w:val="20"/>
                <w:szCs w:val="20"/>
              </w:rPr>
            </w:pPr>
          </w:p>
        </w:tc>
        <w:tc>
          <w:tcPr>
            <w:tcW w:w="5228" w:type="dxa"/>
          </w:tcPr>
          <w:p w14:paraId="07602856" w14:textId="77777777" w:rsidR="00ED4694" w:rsidRPr="007A182C" w:rsidRDefault="00ED4694" w:rsidP="00177C07">
            <w:pPr>
              <w:pStyle w:val="Sansinterligne"/>
              <w:jc w:val="both"/>
              <w:rPr>
                <w:rFonts w:ascii="Arial" w:hAnsi="Arial" w:cs="Arial"/>
                <w:color w:val="000000" w:themeColor="text1"/>
                <w:sz w:val="20"/>
                <w:szCs w:val="20"/>
                <w:u w:val="single"/>
              </w:rPr>
            </w:pPr>
            <w:r w:rsidRPr="007A182C">
              <w:rPr>
                <w:rFonts w:ascii="Arial" w:hAnsi="Arial" w:cs="Arial"/>
                <w:color w:val="000000" w:themeColor="text1"/>
                <w:sz w:val="20"/>
                <w:szCs w:val="20"/>
                <w:u w:val="single"/>
              </w:rPr>
              <w:t xml:space="preserve">Insuline détemir vs NPH : </w:t>
            </w:r>
          </w:p>
          <w:p w14:paraId="0EF815E1" w14:textId="77777777" w:rsidR="00ED4694" w:rsidRDefault="00ED4694" w:rsidP="00177C07">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Avantages</w:t>
            </w:r>
            <w:r>
              <w:rPr>
                <w:rFonts w:ascii="Arial" w:hAnsi="Arial" w:cs="Arial"/>
                <w:color w:val="000000" w:themeColor="text1"/>
                <w:sz w:val="20"/>
                <w:szCs w:val="20"/>
              </w:rPr>
              <w:t> :</w:t>
            </w:r>
          </w:p>
          <w:p w14:paraId="5E6C19C6" w14:textId="77777777" w:rsidR="00ED4694" w:rsidRDefault="00ED4694" w:rsidP="00177C07">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Profil d ’action + régulier : moins d'hypoglycémies </w:t>
            </w:r>
          </w:p>
          <w:p w14:paraId="7425B43E" w14:textId="77777777" w:rsidR="00ED4694" w:rsidRDefault="00ED4694" w:rsidP="00177C07">
            <w:pPr>
              <w:pStyle w:val="Sansinterligne"/>
              <w:numPr>
                <w:ilvl w:val="0"/>
                <w:numId w:val="140"/>
              </w:numPr>
              <w:jc w:val="both"/>
              <w:rPr>
                <w:rFonts w:ascii="Arial" w:hAnsi="Arial" w:cs="Arial"/>
                <w:color w:val="000000" w:themeColor="text1"/>
                <w:sz w:val="20"/>
                <w:szCs w:val="20"/>
              </w:rPr>
            </w:pPr>
            <w:r w:rsidRPr="0044487D">
              <w:rPr>
                <w:rFonts w:ascii="Arial" w:hAnsi="Arial" w:cs="Arial"/>
                <w:color w:val="000000" w:themeColor="text1"/>
                <w:sz w:val="20"/>
                <w:szCs w:val="20"/>
              </w:rPr>
              <w:t xml:space="preserve">Moins de prise de poids </w:t>
            </w:r>
          </w:p>
          <w:p w14:paraId="65809D44" w14:textId="77777777" w:rsidR="00ED4694" w:rsidRPr="0044487D" w:rsidRDefault="00ED4694" w:rsidP="00177C07">
            <w:pPr>
              <w:pStyle w:val="Sansinterligne"/>
              <w:numPr>
                <w:ilvl w:val="0"/>
                <w:numId w:val="140"/>
              </w:numPr>
              <w:jc w:val="both"/>
              <w:rPr>
                <w:rFonts w:ascii="Arial" w:hAnsi="Arial" w:cs="Arial"/>
                <w:color w:val="000000" w:themeColor="text1"/>
                <w:sz w:val="20"/>
                <w:szCs w:val="20"/>
              </w:rPr>
            </w:pPr>
            <w:r w:rsidRPr="0044487D">
              <w:rPr>
                <w:rFonts w:ascii="Arial" w:hAnsi="Arial" w:cs="Arial"/>
                <w:color w:val="000000" w:themeColor="text1"/>
                <w:sz w:val="20"/>
                <w:szCs w:val="20"/>
              </w:rPr>
              <w:t xml:space="preserve">en solution </w:t>
            </w:r>
          </w:p>
          <w:p w14:paraId="121E2587" w14:textId="77777777" w:rsidR="00ED4694" w:rsidRPr="005749A0" w:rsidRDefault="00ED4694" w:rsidP="00177C07">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Inconvénient</w:t>
            </w:r>
            <w:r>
              <w:rPr>
                <w:rFonts w:ascii="Arial" w:hAnsi="Arial" w:cs="Arial"/>
                <w:color w:val="000000" w:themeColor="text1"/>
                <w:sz w:val="20"/>
                <w:szCs w:val="20"/>
              </w:rPr>
              <w:t xml:space="preserve"> : </w:t>
            </w:r>
            <w:r w:rsidRPr="005749A0">
              <w:rPr>
                <w:rFonts w:ascii="Arial" w:hAnsi="Arial" w:cs="Arial"/>
                <w:color w:val="000000" w:themeColor="text1"/>
                <w:sz w:val="20"/>
                <w:szCs w:val="20"/>
              </w:rPr>
              <w:t xml:space="preserve">Durée plus longue que durée NPH, suffisamment ? </w:t>
            </w:r>
          </w:p>
          <w:p w14:paraId="29926E22" w14:textId="77777777" w:rsidR="00ED4694" w:rsidRDefault="00ED4694" w:rsidP="00177C07">
            <w:pPr>
              <w:pStyle w:val="Sansinterligne"/>
              <w:jc w:val="both"/>
              <w:rPr>
                <w:rFonts w:ascii="Arial" w:hAnsi="Arial" w:cs="Arial"/>
                <w:color w:val="000000" w:themeColor="text1"/>
                <w:sz w:val="20"/>
                <w:szCs w:val="20"/>
              </w:rPr>
            </w:pPr>
          </w:p>
        </w:tc>
      </w:tr>
    </w:tbl>
    <w:p w14:paraId="672465FA" w14:textId="77777777" w:rsidR="00ED4694" w:rsidRPr="007A182C" w:rsidRDefault="00ED4694" w:rsidP="00ED4694">
      <w:pPr>
        <w:pStyle w:val="Sansinterligne"/>
        <w:jc w:val="both"/>
        <w:rPr>
          <w:rFonts w:ascii="Arial" w:hAnsi="Arial" w:cs="Arial"/>
          <w:color w:val="000000" w:themeColor="text1"/>
          <w:sz w:val="20"/>
          <w:szCs w:val="20"/>
        </w:rPr>
      </w:pPr>
    </w:p>
    <w:p w14:paraId="7A6918BC" w14:textId="77777777" w:rsidR="00ED4694" w:rsidRPr="007A182C" w:rsidRDefault="00ED4694" w:rsidP="00ED4694">
      <w:pPr>
        <w:pStyle w:val="Sansinterligne"/>
        <w:jc w:val="both"/>
        <w:rPr>
          <w:rFonts w:ascii="Arial" w:hAnsi="Arial" w:cs="Arial"/>
          <w:color w:val="000000" w:themeColor="text1"/>
          <w:sz w:val="20"/>
          <w:szCs w:val="20"/>
          <w:u w:val="single"/>
        </w:rPr>
      </w:pPr>
      <w:r w:rsidRPr="007A182C">
        <w:rPr>
          <w:rFonts w:ascii="Arial" w:hAnsi="Arial" w:cs="Arial"/>
          <w:color w:val="000000" w:themeColor="text1"/>
          <w:sz w:val="20"/>
          <w:szCs w:val="20"/>
          <w:u w:val="single"/>
        </w:rPr>
        <w:t xml:space="preserve">Un bon équilibre du diabète </w:t>
      </w:r>
    </w:p>
    <w:p w14:paraId="2CE6DA3C"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Nécessite un schéma insulinique optimisé à plusieurs injections ou par pompe sous-cutanée </w:t>
      </w:r>
    </w:p>
    <w:p w14:paraId="2F4F060A"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Prévient ou ralentit les complications microvasculaires du DT1 </w:t>
      </w:r>
    </w:p>
    <w:p w14:paraId="05A78A19"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Réduit les évènements cardio-vasculaires </w:t>
      </w:r>
    </w:p>
    <w:p w14:paraId="07699A1B" w14:textId="77777777" w:rsidR="00ED4694" w:rsidRPr="005749A0" w:rsidRDefault="00ED4694" w:rsidP="00ED4694">
      <w:pPr>
        <w:pStyle w:val="Sansinterligne"/>
        <w:jc w:val="both"/>
        <w:rPr>
          <w:rFonts w:ascii="Arial" w:hAnsi="Arial" w:cs="Arial"/>
          <w:color w:val="000000" w:themeColor="text1"/>
          <w:sz w:val="20"/>
          <w:szCs w:val="20"/>
        </w:rPr>
      </w:pPr>
    </w:p>
    <w:p w14:paraId="7949BA0C" w14:textId="77777777" w:rsidR="00ED4694" w:rsidRPr="0044487D" w:rsidRDefault="00ED4694" w:rsidP="00ED4694">
      <w:pPr>
        <w:pStyle w:val="Sansinterligne"/>
        <w:jc w:val="both"/>
        <w:rPr>
          <w:rFonts w:ascii="Arial" w:hAnsi="Arial" w:cs="Arial"/>
          <w:color w:val="000000" w:themeColor="text1"/>
          <w:sz w:val="20"/>
          <w:szCs w:val="20"/>
          <w:u w:val="single"/>
        </w:rPr>
      </w:pPr>
      <w:r w:rsidRPr="007A182C">
        <w:rPr>
          <w:rFonts w:ascii="Arial" w:hAnsi="Arial" w:cs="Arial"/>
          <w:noProof/>
          <w:color w:val="000000" w:themeColor="text1"/>
          <w:sz w:val="20"/>
          <w:szCs w:val="20"/>
        </w:rPr>
        <w:drawing>
          <wp:anchor distT="0" distB="0" distL="114300" distR="114300" simplePos="0" relativeHeight="251748352" behindDoc="1" locked="0" layoutInCell="1" allowOverlap="1" wp14:anchorId="6CE7EC82" wp14:editId="18691C62">
            <wp:simplePos x="0" y="0"/>
            <wp:positionH relativeFrom="column">
              <wp:posOffset>4689035</wp:posOffset>
            </wp:positionH>
            <wp:positionV relativeFrom="paragraph">
              <wp:posOffset>271145</wp:posOffset>
            </wp:positionV>
            <wp:extent cx="1922145" cy="1383665"/>
            <wp:effectExtent l="0" t="0" r="0" b="635"/>
            <wp:wrapTight wrapText="bothSides">
              <wp:wrapPolygon edited="0">
                <wp:start x="0" y="0"/>
                <wp:lineTo x="0" y="21412"/>
                <wp:lineTo x="21407" y="21412"/>
                <wp:lineTo x="21407" y="0"/>
                <wp:lineTo x="0" y="0"/>
              </wp:wrapPolygon>
            </wp:wrapTight>
            <wp:docPr id="2638488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48819"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922145" cy="1383665"/>
                    </a:xfrm>
                    <a:prstGeom prst="rect">
                      <a:avLst/>
                    </a:prstGeom>
                  </pic:spPr>
                </pic:pic>
              </a:graphicData>
            </a:graphic>
            <wp14:sizeRelH relativeFrom="page">
              <wp14:pctWidth>0</wp14:pctWidth>
            </wp14:sizeRelH>
            <wp14:sizeRelV relativeFrom="page">
              <wp14:pctHeight>0</wp14:pctHeight>
            </wp14:sizeRelV>
          </wp:anchor>
        </w:drawing>
      </w:r>
      <w:r w:rsidRPr="007A182C">
        <w:rPr>
          <w:rFonts w:ascii="Arial" w:hAnsi="Arial" w:cs="Arial"/>
          <w:noProof/>
          <w:color w:val="000000" w:themeColor="text1"/>
          <w:sz w:val="20"/>
          <w:szCs w:val="20"/>
        </w:rPr>
        <w:drawing>
          <wp:anchor distT="0" distB="0" distL="114300" distR="114300" simplePos="0" relativeHeight="251746304" behindDoc="1" locked="0" layoutInCell="1" allowOverlap="1" wp14:anchorId="13729753" wp14:editId="2E23F5B7">
            <wp:simplePos x="0" y="0"/>
            <wp:positionH relativeFrom="column">
              <wp:posOffset>11430</wp:posOffset>
            </wp:positionH>
            <wp:positionV relativeFrom="paragraph">
              <wp:posOffset>273050</wp:posOffset>
            </wp:positionV>
            <wp:extent cx="2019300" cy="1453515"/>
            <wp:effectExtent l="0" t="0" r="0" b="0"/>
            <wp:wrapTight wrapText="bothSides">
              <wp:wrapPolygon edited="0">
                <wp:start x="0" y="0"/>
                <wp:lineTo x="0" y="21326"/>
                <wp:lineTo x="21464" y="21326"/>
                <wp:lineTo x="21464" y="0"/>
                <wp:lineTo x="0" y="0"/>
              </wp:wrapPolygon>
            </wp:wrapTight>
            <wp:docPr id="2262871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87133"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019300" cy="1453515"/>
                    </a:xfrm>
                    <a:prstGeom prst="rect">
                      <a:avLst/>
                    </a:prstGeom>
                  </pic:spPr>
                </pic:pic>
              </a:graphicData>
            </a:graphic>
            <wp14:sizeRelH relativeFrom="page">
              <wp14:pctWidth>0</wp14:pctWidth>
            </wp14:sizeRelH>
            <wp14:sizeRelV relativeFrom="page">
              <wp14:pctHeight>0</wp14:pctHeight>
            </wp14:sizeRelV>
          </wp:anchor>
        </w:drawing>
      </w:r>
      <w:r w:rsidRPr="0044487D">
        <w:rPr>
          <w:rFonts w:ascii="Arial" w:hAnsi="Arial" w:cs="Arial"/>
          <w:color w:val="000000" w:themeColor="text1"/>
          <w:sz w:val="20"/>
          <w:szCs w:val="20"/>
          <w:u w:val="single"/>
        </w:rPr>
        <w:t>Profil des glycémies : basale et prandiales</w:t>
      </w:r>
      <w:r>
        <w:rPr>
          <w:rFonts w:ascii="Arial" w:hAnsi="Arial" w:cs="Arial"/>
          <w:color w:val="000000" w:themeColor="text1"/>
          <w:sz w:val="20"/>
          <w:szCs w:val="20"/>
          <w:u w:val="single"/>
        </w:rPr>
        <w:t> :</w:t>
      </w:r>
    </w:p>
    <w:p w14:paraId="1C736010" w14:textId="77777777" w:rsidR="00ED4694" w:rsidRDefault="00ED4694" w:rsidP="00ED4694">
      <w:pPr>
        <w:pStyle w:val="Sansinterligne"/>
        <w:jc w:val="both"/>
        <w:rPr>
          <w:rFonts w:ascii="Arial" w:hAnsi="Arial" w:cs="Arial"/>
          <w:color w:val="000000" w:themeColor="text1"/>
          <w:sz w:val="20"/>
          <w:szCs w:val="20"/>
        </w:rPr>
      </w:pPr>
      <w:r w:rsidRPr="0044487D">
        <w:rPr>
          <w:rFonts w:ascii="Arial" w:hAnsi="Arial" w:cs="Arial"/>
          <w:noProof/>
          <w:color w:val="000000" w:themeColor="text1"/>
          <w:sz w:val="20"/>
          <w:szCs w:val="20"/>
        </w:rPr>
        <w:drawing>
          <wp:anchor distT="0" distB="0" distL="114300" distR="114300" simplePos="0" relativeHeight="251749376" behindDoc="1" locked="0" layoutInCell="1" allowOverlap="1" wp14:anchorId="3496278D" wp14:editId="53F2A038">
            <wp:simplePos x="0" y="0"/>
            <wp:positionH relativeFrom="column">
              <wp:posOffset>-105947</wp:posOffset>
            </wp:positionH>
            <wp:positionV relativeFrom="paragraph">
              <wp:posOffset>1661648</wp:posOffset>
            </wp:positionV>
            <wp:extent cx="3709409" cy="2569579"/>
            <wp:effectExtent l="0" t="0" r="0" b="0"/>
            <wp:wrapTight wrapText="bothSides">
              <wp:wrapPolygon edited="0">
                <wp:start x="0" y="0"/>
                <wp:lineTo x="0" y="21461"/>
                <wp:lineTo x="21522" y="21461"/>
                <wp:lineTo x="21522" y="0"/>
                <wp:lineTo x="0" y="0"/>
              </wp:wrapPolygon>
            </wp:wrapTight>
            <wp:docPr id="2792604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260426"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709409" cy="2569579"/>
                    </a:xfrm>
                    <a:prstGeom prst="rect">
                      <a:avLst/>
                    </a:prstGeom>
                  </pic:spPr>
                </pic:pic>
              </a:graphicData>
            </a:graphic>
            <wp14:sizeRelH relativeFrom="page">
              <wp14:pctWidth>0</wp14:pctWidth>
            </wp14:sizeRelH>
            <wp14:sizeRelV relativeFrom="page">
              <wp14:pctHeight>0</wp14:pctHeight>
            </wp14:sizeRelV>
          </wp:anchor>
        </w:drawing>
      </w:r>
      <w:r w:rsidRPr="007A182C">
        <w:rPr>
          <w:rFonts w:ascii="Arial" w:hAnsi="Arial" w:cs="Arial"/>
          <w:noProof/>
          <w:color w:val="000000" w:themeColor="text1"/>
          <w:sz w:val="20"/>
          <w:szCs w:val="20"/>
        </w:rPr>
        <w:drawing>
          <wp:anchor distT="0" distB="0" distL="114300" distR="114300" simplePos="0" relativeHeight="251747328" behindDoc="1" locked="0" layoutInCell="1" allowOverlap="1" wp14:anchorId="3E08B49E" wp14:editId="6F05DA4D">
            <wp:simplePos x="0" y="0"/>
            <wp:positionH relativeFrom="column">
              <wp:posOffset>2320290</wp:posOffset>
            </wp:positionH>
            <wp:positionV relativeFrom="paragraph">
              <wp:posOffset>67310</wp:posOffset>
            </wp:positionV>
            <wp:extent cx="2101850" cy="1513205"/>
            <wp:effectExtent l="0" t="0" r="6350" b="0"/>
            <wp:wrapTight wrapText="bothSides">
              <wp:wrapPolygon edited="0">
                <wp:start x="0" y="0"/>
                <wp:lineTo x="0" y="21392"/>
                <wp:lineTo x="21535" y="21392"/>
                <wp:lineTo x="21535" y="0"/>
                <wp:lineTo x="0" y="0"/>
              </wp:wrapPolygon>
            </wp:wrapTight>
            <wp:docPr id="18944679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67957"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01850" cy="1513205"/>
                    </a:xfrm>
                    <a:prstGeom prst="rect">
                      <a:avLst/>
                    </a:prstGeom>
                  </pic:spPr>
                </pic:pic>
              </a:graphicData>
            </a:graphic>
            <wp14:sizeRelH relativeFrom="page">
              <wp14:pctWidth>0</wp14:pctWidth>
            </wp14:sizeRelH>
            <wp14:sizeRelV relativeFrom="page">
              <wp14:pctHeight>0</wp14:pctHeight>
            </wp14:sizeRelV>
          </wp:anchor>
        </w:drawing>
      </w:r>
    </w:p>
    <w:p w14:paraId="1139097A" w14:textId="77777777" w:rsidR="00ED4694" w:rsidRDefault="00ED4694" w:rsidP="00ED4694">
      <w:pPr>
        <w:pStyle w:val="Sansinterligne"/>
        <w:jc w:val="both"/>
        <w:rPr>
          <w:rFonts w:ascii="Arial" w:hAnsi="Arial" w:cs="Arial"/>
          <w:color w:val="000000" w:themeColor="text1"/>
          <w:sz w:val="20"/>
          <w:szCs w:val="20"/>
        </w:rPr>
      </w:pPr>
      <w:r w:rsidRPr="007A182C">
        <w:rPr>
          <w:noProof/>
        </w:rPr>
        <w:t xml:space="preserve"> </w:t>
      </w:r>
    </w:p>
    <w:p w14:paraId="542D419F" w14:textId="77777777" w:rsidR="00ED4694" w:rsidRDefault="00ED4694" w:rsidP="00ED4694">
      <w:pPr>
        <w:pStyle w:val="Sansinterligne"/>
        <w:jc w:val="both"/>
        <w:rPr>
          <w:rFonts w:ascii="Arial" w:hAnsi="Arial" w:cs="Arial"/>
          <w:color w:val="000000" w:themeColor="text1"/>
          <w:sz w:val="20"/>
          <w:szCs w:val="20"/>
        </w:rPr>
      </w:pPr>
    </w:p>
    <w:p w14:paraId="673B425B" w14:textId="77777777" w:rsidR="00ED4694" w:rsidRDefault="00ED4694" w:rsidP="00ED4694">
      <w:pPr>
        <w:pStyle w:val="Sansinterligne"/>
        <w:jc w:val="center"/>
        <w:rPr>
          <w:rFonts w:ascii="Arial" w:hAnsi="Arial" w:cs="Arial"/>
          <w:color w:val="000000" w:themeColor="text1"/>
          <w:sz w:val="20"/>
          <w:szCs w:val="20"/>
        </w:rPr>
      </w:pPr>
    </w:p>
    <w:p w14:paraId="676D95D7" w14:textId="77777777" w:rsidR="00ED4694" w:rsidRDefault="00ED4694" w:rsidP="00ED4694">
      <w:pPr>
        <w:pStyle w:val="Sansinterligne"/>
        <w:rPr>
          <w:rFonts w:ascii="Arial" w:hAnsi="Arial" w:cs="Arial"/>
          <w:color w:val="000000" w:themeColor="text1"/>
          <w:sz w:val="20"/>
          <w:szCs w:val="20"/>
        </w:rPr>
      </w:pPr>
      <w:r>
        <w:rPr>
          <w:rFonts w:ascii="Arial" w:hAnsi="Arial" w:cs="Arial"/>
          <w:color w:val="000000" w:themeColor="text1"/>
          <w:sz w:val="20"/>
          <w:szCs w:val="20"/>
        </w:rPr>
        <w:t>Insuline basale : pour vivre</w:t>
      </w:r>
    </w:p>
    <w:p w14:paraId="721A51D0" w14:textId="77777777" w:rsidR="00ED4694" w:rsidRDefault="00ED4694" w:rsidP="00ED4694">
      <w:pPr>
        <w:pStyle w:val="Sansinterligne"/>
        <w:rPr>
          <w:rFonts w:ascii="Arial" w:hAnsi="Arial" w:cs="Arial"/>
          <w:color w:val="000000" w:themeColor="text1"/>
          <w:sz w:val="20"/>
          <w:szCs w:val="20"/>
        </w:rPr>
      </w:pPr>
      <w:r>
        <w:rPr>
          <w:rFonts w:ascii="Arial" w:hAnsi="Arial" w:cs="Arial"/>
          <w:color w:val="000000" w:themeColor="text1"/>
          <w:sz w:val="20"/>
          <w:szCs w:val="20"/>
        </w:rPr>
        <w:t xml:space="preserve">Insuline rapide : pour manger </w:t>
      </w:r>
    </w:p>
    <w:p w14:paraId="76C18A4D" w14:textId="77777777" w:rsidR="00ED4694" w:rsidRDefault="00ED4694" w:rsidP="00ED4694">
      <w:pPr>
        <w:pStyle w:val="Sansinterligne"/>
        <w:jc w:val="center"/>
        <w:rPr>
          <w:rFonts w:ascii="Arial" w:hAnsi="Arial" w:cs="Arial"/>
          <w:color w:val="000000" w:themeColor="text1"/>
          <w:sz w:val="20"/>
          <w:szCs w:val="20"/>
        </w:rPr>
      </w:pPr>
    </w:p>
    <w:p w14:paraId="79E3A1FB" w14:textId="77777777" w:rsidR="00ED4694" w:rsidRDefault="00ED4694" w:rsidP="00ED4694">
      <w:pPr>
        <w:pStyle w:val="Sansinterligne"/>
        <w:jc w:val="center"/>
        <w:rPr>
          <w:rFonts w:ascii="Arial" w:hAnsi="Arial" w:cs="Arial"/>
          <w:color w:val="000000" w:themeColor="text1"/>
          <w:sz w:val="20"/>
          <w:szCs w:val="20"/>
        </w:rPr>
      </w:pPr>
    </w:p>
    <w:p w14:paraId="2CCA1DAF" w14:textId="77777777" w:rsidR="00ED4694" w:rsidRDefault="00ED4694" w:rsidP="00ED4694">
      <w:pPr>
        <w:pStyle w:val="Sansinterligne"/>
        <w:jc w:val="center"/>
        <w:rPr>
          <w:rFonts w:ascii="Arial" w:hAnsi="Arial" w:cs="Arial"/>
          <w:color w:val="000000" w:themeColor="text1"/>
          <w:sz w:val="20"/>
          <w:szCs w:val="20"/>
        </w:rPr>
      </w:pPr>
    </w:p>
    <w:p w14:paraId="60E19405" w14:textId="77777777" w:rsidR="00ED4694" w:rsidRDefault="00ED4694" w:rsidP="00ED4694">
      <w:pPr>
        <w:pStyle w:val="Sansinterligne"/>
        <w:jc w:val="center"/>
        <w:rPr>
          <w:rFonts w:ascii="Arial" w:hAnsi="Arial" w:cs="Arial"/>
          <w:color w:val="000000" w:themeColor="text1"/>
          <w:sz w:val="20"/>
          <w:szCs w:val="20"/>
        </w:rPr>
      </w:pPr>
    </w:p>
    <w:p w14:paraId="48F86EAA" w14:textId="77777777" w:rsidR="00ED4694" w:rsidRDefault="00ED4694" w:rsidP="00ED4694">
      <w:pPr>
        <w:pStyle w:val="Sansinterligne"/>
        <w:jc w:val="center"/>
        <w:rPr>
          <w:rFonts w:ascii="Arial" w:hAnsi="Arial" w:cs="Arial"/>
          <w:color w:val="000000" w:themeColor="text1"/>
          <w:sz w:val="20"/>
          <w:szCs w:val="20"/>
        </w:rPr>
      </w:pPr>
    </w:p>
    <w:p w14:paraId="7DBA4A58" w14:textId="77777777" w:rsidR="00ED4694" w:rsidRDefault="00ED4694" w:rsidP="00ED4694">
      <w:pPr>
        <w:pStyle w:val="Sansinterligne"/>
        <w:jc w:val="both"/>
        <w:rPr>
          <w:rFonts w:ascii="Arial" w:hAnsi="Arial" w:cs="Arial"/>
          <w:color w:val="000000" w:themeColor="text1"/>
          <w:sz w:val="20"/>
          <w:szCs w:val="20"/>
        </w:rPr>
      </w:pPr>
    </w:p>
    <w:p w14:paraId="6EC302F5" w14:textId="77777777" w:rsidR="00ED4694" w:rsidRDefault="00ED4694" w:rsidP="00ED4694">
      <w:pPr>
        <w:pStyle w:val="Sansinterligne"/>
        <w:jc w:val="both"/>
        <w:rPr>
          <w:rFonts w:ascii="Arial" w:hAnsi="Arial" w:cs="Arial"/>
          <w:color w:val="000000" w:themeColor="text1"/>
          <w:sz w:val="20"/>
          <w:szCs w:val="20"/>
        </w:rPr>
      </w:pPr>
    </w:p>
    <w:p w14:paraId="4A556DE9" w14:textId="77777777" w:rsidR="00ED4694" w:rsidRDefault="00ED4694" w:rsidP="00ED4694">
      <w:pPr>
        <w:pStyle w:val="Sansinterligne"/>
        <w:jc w:val="both"/>
        <w:rPr>
          <w:rFonts w:ascii="Arial" w:hAnsi="Arial" w:cs="Arial"/>
          <w:color w:val="000000" w:themeColor="text1"/>
          <w:sz w:val="20"/>
          <w:szCs w:val="20"/>
        </w:rPr>
      </w:pPr>
    </w:p>
    <w:p w14:paraId="4A6655B1" w14:textId="77777777" w:rsidR="00ED4694" w:rsidRDefault="00ED4694" w:rsidP="00ED4694">
      <w:pPr>
        <w:pStyle w:val="Sansinterligne"/>
        <w:jc w:val="both"/>
        <w:rPr>
          <w:rFonts w:ascii="Arial" w:hAnsi="Arial" w:cs="Arial"/>
          <w:color w:val="000000" w:themeColor="text1"/>
          <w:sz w:val="20"/>
          <w:szCs w:val="20"/>
        </w:rPr>
      </w:pPr>
    </w:p>
    <w:p w14:paraId="52F23D2B" w14:textId="77777777" w:rsidR="00ED4694" w:rsidRDefault="00ED4694" w:rsidP="00ED4694">
      <w:pPr>
        <w:pStyle w:val="Sansinterligne"/>
        <w:jc w:val="both"/>
        <w:rPr>
          <w:rFonts w:ascii="Arial" w:hAnsi="Arial" w:cs="Arial"/>
          <w:color w:val="000000" w:themeColor="text1"/>
          <w:sz w:val="20"/>
          <w:szCs w:val="20"/>
        </w:rPr>
      </w:pPr>
    </w:p>
    <w:p w14:paraId="32217A9B" w14:textId="77777777" w:rsidR="00ED4694" w:rsidRDefault="00ED4694" w:rsidP="00ED4694">
      <w:pPr>
        <w:pStyle w:val="Sansinterligne"/>
        <w:jc w:val="both"/>
        <w:rPr>
          <w:rFonts w:ascii="Arial" w:hAnsi="Arial" w:cs="Arial"/>
          <w:color w:val="000000" w:themeColor="text1"/>
          <w:sz w:val="20"/>
          <w:szCs w:val="20"/>
        </w:rPr>
      </w:pPr>
    </w:p>
    <w:p w14:paraId="496959EF" w14:textId="77777777" w:rsidR="00ED4694" w:rsidRDefault="00ED4694" w:rsidP="00ED4694">
      <w:pPr>
        <w:pStyle w:val="Sansinterligne"/>
        <w:jc w:val="both"/>
        <w:rPr>
          <w:rFonts w:ascii="Arial" w:hAnsi="Arial" w:cs="Arial"/>
          <w:color w:val="000000" w:themeColor="text1"/>
          <w:sz w:val="20"/>
          <w:szCs w:val="20"/>
        </w:rPr>
      </w:pPr>
    </w:p>
    <w:p w14:paraId="69AC068E" w14:textId="77777777" w:rsidR="00ED4694" w:rsidRDefault="00ED4694" w:rsidP="00ED4694">
      <w:pPr>
        <w:pStyle w:val="Sansinterligne"/>
        <w:jc w:val="both"/>
        <w:rPr>
          <w:rFonts w:ascii="Arial" w:hAnsi="Arial" w:cs="Arial"/>
          <w:color w:val="000000" w:themeColor="text1"/>
          <w:sz w:val="20"/>
          <w:szCs w:val="20"/>
        </w:rPr>
      </w:pPr>
    </w:p>
    <w:p w14:paraId="07846289" w14:textId="77777777" w:rsidR="00ED4694" w:rsidRDefault="00ED4694" w:rsidP="00ED4694">
      <w:pPr>
        <w:pStyle w:val="Sansinterligne"/>
        <w:jc w:val="both"/>
        <w:rPr>
          <w:rFonts w:ascii="Arial" w:hAnsi="Arial" w:cs="Arial"/>
          <w:color w:val="000000" w:themeColor="text1"/>
          <w:sz w:val="20"/>
          <w:szCs w:val="20"/>
        </w:rPr>
      </w:pPr>
    </w:p>
    <w:p w14:paraId="7CC4D94A" w14:textId="77777777" w:rsidR="00ED4694" w:rsidRPr="0044487D" w:rsidRDefault="00ED4694" w:rsidP="00ED4694">
      <w:pPr>
        <w:pStyle w:val="Sansinterligne"/>
        <w:jc w:val="both"/>
        <w:rPr>
          <w:rFonts w:ascii="Arial" w:hAnsi="Arial" w:cs="Arial"/>
          <w:color w:val="000000" w:themeColor="text1"/>
          <w:sz w:val="20"/>
          <w:szCs w:val="20"/>
          <w:u w:val="single"/>
        </w:rPr>
      </w:pPr>
      <w:r w:rsidRPr="0044487D">
        <w:rPr>
          <w:rFonts w:ascii="Arial" w:hAnsi="Arial" w:cs="Arial"/>
          <w:color w:val="000000" w:themeColor="text1"/>
          <w:sz w:val="20"/>
          <w:szCs w:val="20"/>
          <w:u w:val="single"/>
        </w:rPr>
        <w:t xml:space="preserve">Généralisation du schéma “basal bolus” </w:t>
      </w:r>
    </w:p>
    <w:p w14:paraId="26D0DC94"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analogues de l’insuline </w:t>
      </w:r>
    </w:p>
    <w:p w14:paraId="35AAD46F" w14:textId="77777777" w:rsidR="00ED4694" w:rsidRDefault="00ED4694" w:rsidP="00ED4694">
      <w:pPr>
        <w:pStyle w:val="Sansinterligne"/>
        <w:numPr>
          <w:ilvl w:val="1"/>
          <w:numId w:val="140"/>
        </w:numPr>
        <w:jc w:val="both"/>
        <w:rPr>
          <w:rFonts w:ascii="Arial" w:hAnsi="Arial" w:cs="Arial"/>
          <w:color w:val="000000" w:themeColor="text1"/>
          <w:sz w:val="20"/>
          <w:szCs w:val="20"/>
        </w:rPr>
      </w:pPr>
      <w:r w:rsidRPr="0044487D">
        <w:rPr>
          <w:rFonts w:ascii="Arial" w:hAnsi="Arial" w:cs="Arial"/>
          <w:color w:val="000000" w:themeColor="text1"/>
          <w:sz w:val="20"/>
          <w:szCs w:val="20"/>
        </w:rPr>
        <w:t>analogues rapides: Humalog® Lyumjev</w:t>
      </w:r>
      <w:r>
        <w:rPr>
          <w:rFonts w:ascii="Arial" w:hAnsi="Arial" w:cs="Arial"/>
          <w:color w:val="000000" w:themeColor="text1"/>
          <w:sz w:val="20"/>
          <w:szCs w:val="20"/>
        </w:rPr>
        <w:t>®</w:t>
      </w:r>
      <w:r w:rsidRPr="0044487D">
        <w:rPr>
          <w:rFonts w:ascii="Arial" w:hAnsi="Arial" w:cs="Arial"/>
          <w:color w:val="000000" w:themeColor="text1"/>
          <w:sz w:val="20"/>
          <w:szCs w:val="20"/>
        </w:rPr>
        <w:t xml:space="preserve">, Novorapid®, Fiasp ®, Apidra® </w:t>
      </w:r>
    </w:p>
    <w:p w14:paraId="75A488C7" w14:textId="77777777" w:rsidR="00ED4694" w:rsidRPr="0044487D" w:rsidRDefault="00ED4694" w:rsidP="00ED4694">
      <w:pPr>
        <w:pStyle w:val="Sansinterligne"/>
        <w:numPr>
          <w:ilvl w:val="1"/>
          <w:numId w:val="140"/>
        </w:numPr>
        <w:jc w:val="both"/>
        <w:rPr>
          <w:rFonts w:ascii="Arial" w:hAnsi="Arial" w:cs="Arial"/>
          <w:color w:val="000000" w:themeColor="text1"/>
          <w:sz w:val="20"/>
          <w:szCs w:val="20"/>
        </w:rPr>
      </w:pPr>
      <w:r w:rsidRPr="0044487D">
        <w:rPr>
          <w:rFonts w:ascii="Arial" w:hAnsi="Arial" w:cs="Arial"/>
          <w:color w:val="000000" w:themeColor="text1"/>
          <w:sz w:val="20"/>
          <w:szCs w:val="20"/>
        </w:rPr>
        <w:t xml:space="preserve">analogues lents : Lantus® Abasaglar® , Levemir®, degludec ®, </w:t>
      </w:r>
    </w:p>
    <w:p w14:paraId="44202E0F"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stylos à insuline </w:t>
      </w:r>
    </w:p>
    <w:p w14:paraId="2193C15B"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remboursement des pompes à insuline </w:t>
      </w:r>
    </w:p>
    <w:p w14:paraId="3C6D739C"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lecteurs : leur simplicité, rapidité </w:t>
      </w:r>
    </w:p>
    <w:p w14:paraId="4DF90050"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carnets électroniques, la télétransmission des données </w:t>
      </w:r>
    </w:p>
    <w:p w14:paraId="648DD254" w14:textId="77777777" w:rsidR="00ED4694" w:rsidRDefault="00ED4694" w:rsidP="00ED4694">
      <w:pPr>
        <w:pStyle w:val="Sansinterligne"/>
        <w:jc w:val="both"/>
        <w:rPr>
          <w:rFonts w:ascii="Arial" w:hAnsi="Arial" w:cs="Arial"/>
          <w:color w:val="000000" w:themeColor="text1"/>
          <w:sz w:val="20"/>
          <w:szCs w:val="20"/>
        </w:rPr>
      </w:pPr>
    </w:p>
    <w:p w14:paraId="2FCAD57B" w14:textId="77777777" w:rsidR="00ED4694" w:rsidRPr="005749A0" w:rsidRDefault="00ED4694" w:rsidP="00ED4694">
      <w:pPr>
        <w:pStyle w:val="Sansinterligne"/>
        <w:jc w:val="both"/>
        <w:rPr>
          <w:rFonts w:ascii="Arial" w:hAnsi="Arial" w:cs="Arial"/>
          <w:color w:val="000000" w:themeColor="text1"/>
          <w:sz w:val="20"/>
          <w:szCs w:val="20"/>
        </w:rPr>
      </w:pPr>
      <w:r w:rsidRPr="0044487D">
        <w:rPr>
          <w:rFonts w:ascii="Arial" w:hAnsi="Arial" w:cs="Arial"/>
          <w:color w:val="000000" w:themeColor="text1"/>
          <w:sz w:val="20"/>
          <w:szCs w:val="20"/>
          <w:u w:val="single"/>
        </w:rPr>
        <w:t>Insuline</w:t>
      </w:r>
      <w:r w:rsidRPr="005749A0">
        <w:rPr>
          <w:rFonts w:ascii="Arial" w:hAnsi="Arial" w:cs="Arial"/>
          <w:color w:val="000000" w:themeColor="text1"/>
          <w:sz w:val="20"/>
          <w:szCs w:val="20"/>
        </w:rPr>
        <w:t xml:space="preserve"> : </w:t>
      </w:r>
    </w:p>
    <w:p w14:paraId="136C97EB"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Médicament liste II </w:t>
      </w:r>
      <w:r>
        <w:rPr>
          <w:rFonts w:ascii="Arial" w:hAnsi="Arial" w:cs="Arial"/>
          <w:color w:val="000000" w:themeColor="text1"/>
          <w:sz w:val="20"/>
          <w:szCs w:val="20"/>
        </w:rPr>
        <w:t>(carré vert : presciption valable 1 an, renouvellement tjs possible (sauf si marqué le contraire)</w:t>
      </w:r>
    </w:p>
    <w:p w14:paraId="480CC9BE" w14:textId="77777777" w:rsidR="00ED4694" w:rsidRPr="0044487D"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Besoin en insuline</w:t>
      </w:r>
      <w:r>
        <w:rPr>
          <w:rFonts w:ascii="Arial" w:hAnsi="Arial" w:cs="Arial"/>
          <w:color w:val="000000" w:themeColor="text1"/>
          <w:sz w:val="20"/>
          <w:szCs w:val="20"/>
        </w:rPr>
        <w:t xml:space="preserve"> : </w:t>
      </w:r>
      <w:r w:rsidRPr="0044487D">
        <w:rPr>
          <w:rFonts w:ascii="Arial" w:hAnsi="Arial" w:cs="Arial"/>
          <w:color w:val="000000" w:themeColor="text1"/>
          <w:sz w:val="20"/>
          <w:szCs w:val="20"/>
        </w:rPr>
        <w:t>0,5 à 1 unité / kg /</w:t>
      </w:r>
      <w:r>
        <w:rPr>
          <w:rFonts w:ascii="Arial" w:hAnsi="Arial" w:cs="Arial"/>
          <w:color w:val="000000" w:themeColor="text1"/>
          <w:sz w:val="20"/>
          <w:szCs w:val="20"/>
        </w:rPr>
        <w:t xml:space="preserve"> </w:t>
      </w:r>
      <w:r w:rsidRPr="0044487D">
        <w:rPr>
          <w:rFonts w:ascii="Arial" w:hAnsi="Arial" w:cs="Arial"/>
          <w:color w:val="000000" w:themeColor="text1"/>
          <w:sz w:val="20"/>
          <w:szCs w:val="20"/>
        </w:rPr>
        <w:t xml:space="preserve">jour </w:t>
      </w:r>
    </w:p>
    <w:p w14:paraId="2DA460C8"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Insulinothérapie fonctionnelle </w:t>
      </w:r>
      <w:r>
        <w:rPr>
          <w:rFonts w:ascii="Arial" w:hAnsi="Arial" w:cs="Arial"/>
          <w:color w:val="000000" w:themeColor="text1"/>
          <w:sz w:val="20"/>
          <w:szCs w:val="20"/>
        </w:rPr>
        <w:t>IF</w:t>
      </w:r>
    </w:p>
    <w:p w14:paraId="16219B92" w14:textId="77777777" w:rsidR="00ED4694" w:rsidRDefault="00ED4694" w:rsidP="00ED4694">
      <w:pPr>
        <w:pStyle w:val="Sansinterligne"/>
        <w:numPr>
          <w:ilvl w:val="1"/>
          <w:numId w:val="140"/>
        </w:numPr>
        <w:jc w:val="both"/>
        <w:rPr>
          <w:rFonts w:ascii="Arial" w:hAnsi="Arial" w:cs="Arial"/>
          <w:color w:val="000000" w:themeColor="text1"/>
          <w:sz w:val="20"/>
          <w:szCs w:val="20"/>
        </w:rPr>
      </w:pPr>
      <w:r w:rsidRPr="0044487D">
        <w:rPr>
          <w:rFonts w:ascii="Arial" w:hAnsi="Arial" w:cs="Arial"/>
          <w:color w:val="000000" w:themeColor="text1"/>
          <w:sz w:val="20"/>
          <w:szCs w:val="20"/>
        </w:rPr>
        <w:t>Insulinothérapie physiologiqu</w:t>
      </w:r>
      <w:r>
        <w:rPr>
          <w:rFonts w:ascii="Arial" w:hAnsi="Arial" w:cs="Arial"/>
          <w:color w:val="000000" w:themeColor="text1"/>
          <w:sz w:val="20"/>
          <w:szCs w:val="20"/>
        </w:rPr>
        <w:t xml:space="preserve">e, </w:t>
      </w:r>
      <w:r w:rsidRPr="0044487D">
        <w:rPr>
          <w:rFonts w:ascii="Arial" w:hAnsi="Arial" w:cs="Arial"/>
          <w:color w:val="000000" w:themeColor="text1"/>
          <w:sz w:val="20"/>
          <w:szCs w:val="20"/>
        </w:rPr>
        <w:t xml:space="preserve">"Le traitement suit la vie et non l’inverse" </w:t>
      </w:r>
    </w:p>
    <w:p w14:paraId="2259EB62" w14:textId="77777777" w:rsidR="00ED4694" w:rsidRPr="0044487D" w:rsidRDefault="00ED4694" w:rsidP="00ED4694">
      <w:pPr>
        <w:pStyle w:val="Sansinterligne"/>
        <w:numPr>
          <w:ilvl w:val="1"/>
          <w:numId w:val="140"/>
        </w:numPr>
        <w:jc w:val="both"/>
        <w:rPr>
          <w:rFonts w:ascii="Arial" w:hAnsi="Arial" w:cs="Arial"/>
          <w:color w:val="000000" w:themeColor="text1"/>
          <w:sz w:val="20"/>
          <w:szCs w:val="20"/>
        </w:rPr>
      </w:pPr>
      <w:r w:rsidRPr="0044487D">
        <w:rPr>
          <w:rFonts w:ascii="Arial" w:hAnsi="Arial" w:cs="Arial"/>
          <w:color w:val="000000" w:themeColor="text1"/>
          <w:sz w:val="20"/>
          <w:szCs w:val="20"/>
        </w:rPr>
        <w:t>Les</w:t>
      </w:r>
      <w:r>
        <w:rPr>
          <w:rFonts w:ascii="Arial" w:hAnsi="Arial" w:cs="Arial"/>
          <w:color w:val="000000" w:themeColor="text1"/>
          <w:sz w:val="20"/>
          <w:szCs w:val="20"/>
        </w:rPr>
        <w:t xml:space="preserve"> initiateurs : </w:t>
      </w:r>
      <w:r w:rsidRPr="0044487D">
        <w:rPr>
          <w:rFonts w:ascii="Arial" w:hAnsi="Arial" w:cs="Arial"/>
          <w:color w:val="000000" w:themeColor="text1"/>
          <w:sz w:val="20"/>
          <w:szCs w:val="20"/>
        </w:rPr>
        <w:t>équipe de Düsseldorf en Allemagne (1982): DTTP</w:t>
      </w:r>
      <w:r>
        <w:rPr>
          <w:rFonts w:ascii="Arial" w:hAnsi="Arial" w:cs="Arial"/>
          <w:color w:val="000000" w:themeColor="text1"/>
          <w:sz w:val="20"/>
          <w:szCs w:val="20"/>
        </w:rPr>
        <w:t xml:space="preserve"> , </w:t>
      </w:r>
      <w:r w:rsidRPr="0044487D">
        <w:rPr>
          <w:rFonts w:ascii="Arial" w:hAnsi="Arial" w:cs="Arial"/>
          <w:color w:val="000000" w:themeColor="text1"/>
          <w:sz w:val="20"/>
          <w:szCs w:val="20"/>
        </w:rPr>
        <w:t xml:space="preserve"> Dr Berger et Dr Grimm en Suisse </w:t>
      </w:r>
      <w:r>
        <w:rPr>
          <w:rFonts w:ascii="Arial" w:hAnsi="Arial" w:cs="Arial"/>
          <w:color w:val="000000" w:themeColor="text1"/>
          <w:sz w:val="20"/>
          <w:szCs w:val="20"/>
        </w:rPr>
        <w:t xml:space="preserve">, </w:t>
      </w:r>
      <w:r w:rsidRPr="0044487D">
        <w:rPr>
          <w:rFonts w:ascii="Arial" w:hAnsi="Arial" w:cs="Arial"/>
          <w:color w:val="000000" w:themeColor="text1"/>
          <w:sz w:val="20"/>
          <w:szCs w:val="20"/>
        </w:rPr>
        <w:t xml:space="preserve">Dr Howorka en Autriche (1985) </w:t>
      </w:r>
    </w:p>
    <w:p w14:paraId="6EA7E30B"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lastRenderedPageBreak/>
        <w:t>Expérience français</w:t>
      </w:r>
      <w:r>
        <w:rPr>
          <w:rFonts w:ascii="Arial" w:hAnsi="Arial" w:cs="Arial"/>
          <w:color w:val="000000" w:themeColor="text1"/>
          <w:sz w:val="20"/>
          <w:szCs w:val="20"/>
        </w:rPr>
        <w:t xml:space="preserve">e : </w:t>
      </w:r>
      <w:r w:rsidRPr="005749A0">
        <w:rPr>
          <w:rFonts w:ascii="Arial" w:hAnsi="Arial" w:cs="Arial"/>
          <w:color w:val="000000" w:themeColor="text1"/>
          <w:sz w:val="20"/>
          <w:szCs w:val="20"/>
        </w:rPr>
        <w:t xml:space="preserve">Généralisation progressive à tous les services de diabétologie </w:t>
      </w:r>
    </w:p>
    <w:p w14:paraId="39BE1209" w14:textId="77777777" w:rsidR="00ED4694" w:rsidRDefault="00ED4694" w:rsidP="00ED4694">
      <w:pPr>
        <w:pStyle w:val="Sansinterligne"/>
        <w:jc w:val="both"/>
        <w:rPr>
          <w:rFonts w:ascii="Arial" w:hAnsi="Arial" w:cs="Arial"/>
          <w:color w:val="000000" w:themeColor="text1"/>
          <w:sz w:val="20"/>
          <w:szCs w:val="20"/>
        </w:rPr>
      </w:pPr>
      <w:r>
        <w:rPr>
          <w:noProof/>
        </w:rPr>
        <w:drawing>
          <wp:anchor distT="0" distB="0" distL="114300" distR="114300" simplePos="0" relativeHeight="251750400" behindDoc="1" locked="0" layoutInCell="1" allowOverlap="1" wp14:anchorId="4E94B20F" wp14:editId="397FCD7B">
            <wp:simplePos x="0" y="0"/>
            <wp:positionH relativeFrom="column">
              <wp:posOffset>4958120</wp:posOffset>
            </wp:positionH>
            <wp:positionV relativeFrom="paragraph">
              <wp:posOffset>123190</wp:posOffset>
            </wp:positionV>
            <wp:extent cx="1677670" cy="1365250"/>
            <wp:effectExtent l="0" t="0" r="0" b="6350"/>
            <wp:wrapTight wrapText="bothSides">
              <wp:wrapPolygon edited="0">
                <wp:start x="0" y="0"/>
                <wp:lineTo x="0" y="21500"/>
                <wp:lineTo x="21420" y="21500"/>
                <wp:lineTo x="21420" y="0"/>
                <wp:lineTo x="0" y="0"/>
              </wp:wrapPolygon>
            </wp:wrapTight>
            <wp:docPr id="2111483250" name="Image 1" descr="page33image141038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33image141038364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77670" cy="1365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C6B29E" w14:textId="77777777" w:rsidR="00ED4694" w:rsidRPr="0044487D" w:rsidRDefault="00ED4694" w:rsidP="00ED4694">
      <w:pPr>
        <w:pStyle w:val="Sansinterligne"/>
        <w:jc w:val="both"/>
        <w:rPr>
          <w:rFonts w:ascii="Arial" w:hAnsi="Arial" w:cs="Arial"/>
          <w:color w:val="000000" w:themeColor="text1"/>
          <w:sz w:val="20"/>
          <w:szCs w:val="20"/>
          <w:u w:val="single"/>
        </w:rPr>
      </w:pPr>
      <w:r w:rsidRPr="0044487D">
        <w:rPr>
          <w:rFonts w:ascii="Arial" w:hAnsi="Arial" w:cs="Arial"/>
          <w:color w:val="000000" w:themeColor="text1"/>
          <w:sz w:val="20"/>
          <w:szCs w:val="20"/>
          <w:u w:val="single"/>
        </w:rPr>
        <w:t xml:space="preserve">Les pré requis de l’IF </w:t>
      </w:r>
    </w:p>
    <w:p w14:paraId="20BF3EF4"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Insulinothérapie optimisée acceptée </w:t>
      </w:r>
    </w:p>
    <w:p w14:paraId="63DECB2A"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44487D">
        <w:rPr>
          <w:rFonts w:ascii="Arial" w:hAnsi="Arial" w:cs="Arial"/>
          <w:color w:val="000000" w:themeColor="text1"/>
          <w:sz w:val="20"/>
          <w:szCs w:val="20"/>
        </w:rPr>
        <w:t xml:space="preserve">Education diététique sur les glucides </w:t>
      </w:r>
    </w:p>
    <w:p w14:paraId="7524F0C2"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44487D">
        <w:rPr>
          <w:rFonts w:ascii="Arial" w:hAnsi="Arial" w:cs="Arial"/>
          <w:color w:val="000000" w:themeColor="text1"/>
          <w:sz w:val="20"/>
          <w:szCs w:val="20"/>
        </w:rPr>
        <w:t>Autosurveillance pluriquotidienne</w:t>
      </w:r>
    </w:p>
    <w:p w14:paraId="25352EE6"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F315B">
        <w:rPr>
          <w:rFonts w:ascii="Arial" w:hAnsi="Arial" w:cs="Arial"/>
          <w:color w:val="000000" w:themeColor="text1"/>
          <w:sz w:val="20"/>
          <w:szCs w:val="20"/>
        </w:rPr>
        <w:t xml:space="preserve">Désir du patient en hospitalisation ou en ambulatoire... </w:t>
      </w:r>
    </w:p>
    <w:p w14:paraId="0455011B" w14:textId="77777777" w:rsidR="00ED4694" w:rsidRDefault="00ED4694" w:rsidP="00ED4694">
      <w:pPr>
        <w:pStyle w:val="Sansinterligne"/>
        <w:jc w:val="both"/>
        <w:rPr>
          <w:rFonts w:ascii="Arial" w:hAnsi="Arial" w:cs="Arial"/>
          <w:color w:val="000000" w:themeColor="text1"/>
          <w:sz w:val="20"/>
          <w:szCs w:val="20"/>
        </w:rPr>
      </w:pPr>
    </w:p>
    <w:p w14:paraId="4C180A3A" w14:textId="77777777" w:rsidR="00ED4694" w:rsidRPr="006F315B" w:rsidRDefault="00ED4694" w:rsidP="00ED4694">
      <w:pPr>
        <w:shd w:val="clear" w:color="auto" w:fill="FFFFFF"/>
      </w:pPr>
      <w:r>
        <w:fldChar w:fldCharType="begin"/>
      </w:r>
      <w:r>
        <w:instrText xml:space="preserve"> INCLUDEPICTURE "/Users/alienorprudhomme/Library/Group Containers/UBF8T346G9.ms/WebArchiveCopyPasteTempFiles/com.microsoft.Word/page33image1410383648" \* MERGEFORMATINET </w:instrText>
      </w:r>
      <w:r>
        <w:fldChar w:fldCharType="separate"/>
      </w:r>
      <w:r>
        <w:fldChar w:fldCharType="end"/>
      </w:r>
      <w:r w:rsidRPr="00750D90">
        <w:rPr>
          <w:rFonts w:ascii="Arial" w:hAnsi="Arial" w:cs="Arial"/>
          <w:color w:val="000000" w:themeColor="text1"/>
          <w:sz w:val="20"/>
          <w:szCs w:val="20"/>
          <w:u w:val="single"/>
        </w:rPr>
        <w:t xml:space="preserve">Insulinothérapie fonctionnelle : 4 paramètres </w:t>
      </w:r>
    </w:p>
    <w:p w14:paraId="514D2D5C"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La basal</w:t>
      </w:r>
      <w:r>
        <w:rPr>
          <w:rFonts w:ascii="Arial" w:hAnsi="Arial" w:cs="Arial"/>
          <w:color w:val="000000" w:themeColor="text1"/>
          <w:sz w:val="20"/>
          <w:szCs w:val="20"/>
        </w:rPr>
        <w:t xml:space="preserve">e : </w:t>
      </w:r>
      <w:r w:rsidRPr="005749A0">
        <w:rPr>
          <w:rFonts w:ascii="Arial" w:hAnsi="Arial" w:cs="Arial"/>
          <w:color w:val="000000" w:themeColor="text1"/>
          <w:sz w:val="20"/>
          <w:szCs w:val="20"/>
        </w:rPr>
        <w:t xml:space="preserve">l’insuline pour vivre </w:t>
      </w:r>
    </w:p>
    <w:p w14:paraId="18D1F78B"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44487D">
        <w:rPr>
          <w:rFonts w:ascii="Arial" w:hAnsi="Arial" w:cs="Arial"/>
          <w:color w:val="000000" w:themeColor="text1"/>
          <w:sz w:val="20"/>
          <w:szCs w:val="20"/>
        </w:rPr>
        <w:t>Les unités par portion (U/P)</w:t>
      </w:r>
      <w:r>
        <w:rPr>
          <w:rFonts w:ascii="Arial" w:hAnsi="Arial" w:cs="Arial"/>
          <w:color w:val="000000" w:themeColor="text1"/>
          <w:sz w:val="20"/>
          <w:szCs w:val="20"/>
        </w:rPr>
        <w:t xml:space="preserve"> : </w:t>
      </w:r>
      <w:r w:rsidRPr="0044487D">
        <w:rPr>
          <w:rFonts w:ascii="Arial" w:hAnsi="Arial" w:cs="Arial"/>
          <w:color w:val="000000" w:themeColor="text1"/>
          <w:sz w:val="20"/>
          <w:szCs w:val="20"/>
        </w:rPr>
        <w:t xml:space="preserve">l’insuline pour manger 20 g de glucides (1 P) </w:t>
      </w:r>
    </w:p>
    <w:p w14:paraId="4A125029"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44487D">
        <w:rPr>
          <w:rFonts w:ascii="Arial" w:hAnsi="Arial" w:cs="Arial"/>
          <w:color w:val="000000" w:themeColor="text1"/>
          <w:sz w:val="20"/>
          <w:szCs w:val="20"/>
        </w:rPr>
        <w:t>La compensation (UC)</w:t>
      </w:r>
      <w:r>
        <w:rPr>
          <w:rFonts w:ascii="Arial" w:hAnsi="Arial" w:cs="Arial"/>
          <w:color w:val="000000" w:themeColor="text1"/>
          <w:sz w:val="20"/>
          <w:szCs w:val="20"/>
        </w:rPr>
        <w:t xml:space="preserve"> : </w:t>
      </w:r>
      <w:r w:rsidRPr="0044487D">
        <w:rPr>
          <w:rFonts w:ascii="Arial" w:hAnsi="Arial" w:cs="Arial"/>
          <w:color w:val="000000" w:themeColor="text1"/>
          <w:sz w:val="20"/>
          <w:szCs w:val="20"/>
        </w:rPr>
        <w:t xml:space="preserve">l’insuline pour diminuer la glycémie de 1g </w:t>
      </w:r>
    </w:p>
    <w:p w14:paraId="3B9A055E" w14:textId="77777777" w:rsidR="00ED4694" w:rsidRPr="0044487D" w:rsidRDefault="00ED4694" w:rsidP="00ED4694">
      <w:pPr>
        <w:pStyle w:val="Sansinterligne"/>
        <w:numPr>
          <w:ilvl w:val="0"/>
          <w:numId w:val="140"/>
        </w:numPr>
        <w:jc w:val="both"/>
        <w:rPr>
          <w:rFonts w:ascii="Arial" w:hAnsi="Arial" w:cs="Arial"/>
          <w:color w:val="000000" w:themeColor="text1"/>
          <w:sz w:val="20"/>
          <w:szCs w:val="20"/>
        </w:rPr>
      </w:pPr>
      <w:r w:rsidRPr="0044487D">
        <w:rPr>
          <w:rFonts w:ascii="Arial" w:hAnsi="Arial" w:cs="Arial"/>
          <w:color w:val="000000" w:themeColor="text1"/>
          <w:sz w:val="20"/>
          <w:szCs w:val="20"/>
        </w:rPr>
        <w:t>Le resucrage</w:t>
      </w:r>
      <w:r>
        <w:rPr>
          <w:rFonts w:ascii="Arial" w:hAnsi="Arial" w:cs="Arial"/>
          <w:color w:val="000000" w:themeColor="text1"/>
          <w:sz w:val="20"/>
          <w:szCs w:val="20"/>
        </w:rPr>
        <w:t xml:space="preserve"> : </w:t>
      </w:r>
      <w:r w:rsidRPr="0044487D">
        <w:rPr>
          <w:rFonts w:ascii="Arial" w:hAnsi="Arial" w:cs="Arial"/>
          <w:color w:val="000000" w:themeColor="text1"/>
          <w:sz w:val="20"/>
          <w:szCs w:val="20"/>
        </w:rPr>
        <w:t xml:space="preserve">la hausse glycémique après ingestion d’une portion </w:t>
      </w:r>
    </w:p>
    <w:p w14:paraId="1ECCC423" w14:textId="77777777" w:rsidR="00ED4694" w:rsidRDefault="00ED4694" w:rsidP="00ED4694">
      <w:pPr>
        <w:pStyle w:val="Sansinterligne"/>
        <w:jc w:val="both"/>
        <w:rPr>
          <w:rFonts w:ascii="Arial" w:hAnsi="Arial" w:cs="Arial"/>
          <w:color w:val="000000" w:themeColor="text1"/>
          <w:sz w:val="20"/>
          <w:szCs w:val="20"/>
        </w:rPr>
      </w:pPr>
    </w:p>
    <w:p w14:paraId="308D3627" w14:textId="77777777" w:rsidR="00ED4694" w:rsidRPr="00750D90" w:rsidRDefault="00ED4694" w:rsidP="00ED4694">
      <w:pPr>
        <w:pStyle w:val="Sansinterligne"/>
        <w:jc w:val="both"/>
        <w:rPr>
          <w:rFonts w:ascii="Arial" w:hAnsi="Arial" w:cs="Arial"/>
          <w:color w:val="000000" w:themeColor="text1"/>
          <w:sz w:val="20"/>
          <w:szCs w:val="20"/>
          <w:u w:val="single"/>
        </w:rPr>
      </w:pPr>
      <w:r w:rsidRPr="00750D90">
        <w:rPr>
          <w:rFonts w:ascii="Arial" w:hAnsi="Arial" w:cs="Arial"/>
          <w:color w:val="000000" w:themeColor="text1"/>
          <w:sz w:val="20"/>
          <w:szCs w:val="20"/>
          <w:u w:val="single"/>
        </w:rPr>
        <w:t xml:space="preserve">Utilisation en pratique des paramètres </w:t>
      </w:r>
    </w:p>
    <w:p w14:paraId="34633BED" w14:textId="77777777" w:rsidR="00ED4694" w:rsidRPr="00750D9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Insuline basale adaptée en fonction</w:t>
      </w:r>
      <w:r>
        <w:rPr>
          <w:rFonts w:ascii="Arial" w:hAnsi="Arial" w:cs="Arial"/>
          <w:color w:val="000000" w:themeColor="text1"/>
          <w:sz w:val="20"/>
          <w:szCs w:val="20"/>
        </w:rPr>
        <w:t xml:space="preserve"> des glycémies à jeun, surtout le réveil : objectif glycémique à jeun : 0,8-1,2 g/L</w:t>
      </w:r>
    </w:p>
    <w:p w14:paraId="5DFED10E"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Insuline prandiale calculée en fonction d</w:t>
      </w:r>
      <w:r>
        <w:rPr>
          <w:rFonts w:ascii="Arial" w:hAnsi="Arial" w:cs="Arial"/>
          <w:color w:val="000000" w:themeColor="text1"/>
          <w:sz w:val="20"/>
          <w:szCs w:val="20"/>
        </w:rPr>
        <w:t>u nombre de portions, de la glycémie préprandiale, de l’activité physique prévue</w:t>
      </w:r>
    </w:p>
    <w:p w14:paraId="13A6FDC0" w14:textId="77777777" w:rsidR="00ED4694" w:rsidRPr="00750D90" w:rsidRDefault="00ED4694" w:rsidP="00ED4694">
      <w:pPr>
        <w:pStyle w:val="Sansinterligne"/>
        <w:numPr>
          <w:ilvl w:val="0"/>
          <w:numId w:val="140"/>
        </w:numPr>
        <w:jc w:val="both"/>
        <w:rPr>
          <w:rFonts w:ascii="Arial" w:hAnsi="Arial" w:cs="Arial"/>
          <w:b/>
          <w:bCs/>
          <w:color w:val="000000" w:themeColor="text1"/>
          <w:sz w:val="20"/>
          <w:szCs w:val="20"/>
        </w:rPr>
      </w:pPr>
      <w:r>
        <w:rPr>
          <w:rFonts w:ascii="Arial" w:hAnsi="Arial" w:cs="Arial"/>
          <w:color w:val="000000" w:themeColor="text1"/>
          <w:sz w:val="20"/>
          <w:szCs w:val="20"/>
        </w:rPr>
        <w:t>Intérêt du couple glycém</w:t>
      </w:r>
      <w:r w:rsidRPr="00750D90">
        <w:rPr>
          <w:rFonts w:ascii="Arial" w:hAnsi="Arial" w:cs="Arial"/>
          <w:color w:val="000000" w:themeColor="text1"/>
          <w:sz w:val="20"/>
          <w:szCs w:val="20"/>
        </w:rPr>
        <w:t>ie capillaire pré et postprandiale : objectif glycémique postprandial: 1,2 à 1,6 g/L, au coucher: 1,2 à 1,5 g/L</w:t>
      </w:r>
    </w:p>
    <w:p w14:paraId="0861654D" w14:textId="77777777" w:rsidR="00ED4694" w:rsidRDefault="00ED4694" w:rsidP="00ED4694">
      <w:pPr>
        <w:pStyle w:val="Sansinterligne"/>
        <w:jc w:val="both"/>
        <w:rPr>
          <w:rFonts w:ascii="Arial" w:hAnsi="Arial" w:cs="Arial"/>
          <w:b/>
          <w:bCs/>
          <w:color w:val="000000" w:themeColor="text1"/>
          <w:sz w:val="20"/>
          <w:szCs w:val="20"/>
        </w:rPr>
      </w:pPr>
    </w:p>
    <w:p w14:paraId="1B77F771" w14:textId="77777777" w:rsidR="00ED4694" w:rsidRPr="002A598D" w:rsidRDefault="00ED4694" w:rsidP="00ED4694">
      <w:pPr>
        <w:pStyle w:val="Sansinterligne"/>
        <w:jc w:val="both"/>
        <w:rPr>
          <w:rFonts w:ascii="Arial" w:hAnsi="Arial" w:cs="Arial"/>
          <w:color w:val="000000" w:themeColor="text1"/>
          <w:sz w:val="20"/>
          <w:szCs w:val="20"/>
          <w:u w:val="single"/>
        </w:rPr>
      </w:pPr>
      <w:r w:rsidRPr="002A598D">
        <w:rPr>
          <w:rFonts w:ascii="Arial" w:hAnsi="Arial" w:cs="Arial"/>
          <w:color w:val="000000" w:themeColor="text1"/>
          <w:sz w:val="20"/>
          <w:szCs w:val="20"/>
          <w:u w:val="single"/>
        </w:rPr>
        <w:t xml:space="preserve">« Céder à la tentation » </w:t>
      </w:r>
    </w:p>
    <w:p w14:paraId="645C73EE"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Validation de la dose compensatrice </w:t>
      </w:r>
    </w:p>
    <w:p w14:paraId="49D84F0C"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Prendre une collation sucrée vers 16 heures </w:t>
      </w:r>
    </w:p>
    <w:p w14:paraId="0A5D542F"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Contrôler glycémie 1 heure après </w:t>
      </w:r>
    </w:p>
    <w:p w14:paraId="397333DD"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Faire une injection d’insuline selon les UC pour ramener la glycémie à 1 g/L </w:t>
      </w:r>
    </w:p>
    <w:p w14:paraId="1399863F"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Vérifier la glycémie 2 heures après l’injection </w:t>
      </w:r>
    </w:p>
    <w:p w14:paraId="03BFD404" w14:textId="77777777" w:rsidR="00ED4694" w:rsidRDefault="00ED4694" w:rsidP="00ED4694">
      <w:pPr>
        <w:pStyle w:val="Sansinterligne"/>
        <w:jc w:val="both"/>
        <w:rPr>
          <w:rFonts w:ascii="Arial" w:hAnsi="Arial" w:cs="Arial"/>
          <w:color w:val="000000" w:themeColor="text1"/>
          <w:sz w:val="20"/>
          <w:szCs w:val="20"/>
        </w:rPr>
      </w:pPr>
    </w:p>
    <w:p w14:paraId="7135489C" w14:textId="77777777" w:rsidR="00ED4694" w:rsidRPr="005749A0" w:rsidRDefault="00ED4694" w:rsidP="00ED4694">
      <w:pPr>
        <w:pStyle w:val="Sansinterligne"/>
        <w:jc w:val="both"/>
        <w:rPr>
          <w:rFonts w:ascii="Arial" w:hAnsi="Arial" w:cs="Arial"/>
          <w:color w:val="000000" w:themeColor="text1"/>
          <w:sz w:val="20"/>
          <w:szCs w:val="20"/>
        </w:rPr>
      </w:pPr>
      <w:r w:rsidRPr="00796C24">
        <w:rPr>
          <w:rFonts w:ascii="Arial" w:hAnsi="Arial" w:cs="Arial"/>
          <w:color w:val="000000" w:themeColor="text1"/>
          <w:sz w:val="20"/>
          <w:szCs w:val="20"/>
          <w:u w:val="single"/>
        </w:rPr>
        <w:t>Ex</w:t>
      </w:r>
      <w:r>
        <w:rPr>
          <w:rFonts w:ascii="Arial" w:hAnsi="Arial" w:cs="Arial"/>
          <w:color w:val="000000" w:themeColor="text1"/>
          <w:sz w:val="20"/>
          <w:szCs w:val="20"/>
        </w:rPr>
        <w:t xml:space="preserve"> : Il est 16h, le patient mange un gâteau et contrôle sa glycémie : 3 g/L. Il sait que 3 unités abaissent sa glycémie de 1 g/L. Donc pour revenir à une glycémie d’1 g/L, il s’administre 6 unités. </w:t>
      </w:r>
    </w:p>
    <w:p w14:paraId="242F7A7D" w14:textId="77777777" w:rsidR="00ED4694" w:rsidRDefault="00ED4694" w:rsidP="00ED4694">
      <w:pPr>
        <w:pStyle w:val="Sansinterligne"/>
        <w:jc w:val="both"/>
        <w:rPr>
          <w:rFonts w:ascii="Arial" w:hAnsi="Arial" w:cs="Arial"/>
          <w:b/>
          <w:bCs/>
          <w:color w:val="000000" w:themeColor="text1"/>
          <w:sz w:val="20"/>
          <w:szCs w:val="20"/>
        </w:rPr>
      </w:pPr>
    </w:p>
    <w:p w14:paraId="4C7AE3F4" w14:textId="77777777" w:rsidR="00ED4694" w:rsidRPr="002A598D" w:rsidRDefault="00ED4694" w:rsidP="00ED4694">
      <w:pPr>
        <w:pStyle w:val="Sansinterligne"/>
        <w:jc w:val="both"/>
        <w:rPr>
          <w:rFonts w:ascii="Arial" w:hAnsi="Arial" w:cs="Arial"/>
          <w:color w:val="000000" w:themeColor="text1"/>
          <w:sz w:val="20"/>
          <w:szCs w:val="20"/>
          <w:u w:val="single"/>
        </w:rPr>
      </w:pPr>
      <w:r w:rsidRPr="002A598D">
        <w:rPr>
          <w:rFonts w:ascii="Arial" w:hAnsi="Arial" w:cs="Arial"/>
          <w:color w:val="000000" w:themeColor="text1"/>
          <w:sz w:val="20"/>
          <w:szCs w:val="20"/>
          <w:u w:val="single"/>
        </w:rPr>
        <w:t xml:space="preserve">Quand corriger une hyperglycémie ? </w:t>
      </w:r>
    </w:p>
    <w:p w14:paraId="2187D99D"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En théorie : n’importe quand... </w:t>
      </w:r>
    </w:p>
    <w:p w14:paraId="73B42AEF" w14:textId="77777777" w:rsidR="00ED4694" w:rsidRPr="00750D9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En pratique : avant les repas si glycémie supérieure à </w:t>
      </w:r>
      <w:r w:rsidRPr="00750D90">
        <w:rPr>
          <w:rFonts w:ascii="Arial" w:hAnsi="Arial" w:cs="Arial"/>
          <w:color w:val="000000" w:themeColor="text1"/>
          <w:sz w:val="20"/>
          <w:szCs w:val="20"/>
        </w:rPr>
        <w:t xml:space="preserve">1,50 g/L </w:t>
      </w:r>
    </w:p>
    <w:p w14:paraId="61DFF6ED"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2 moments “délicats” :</w:t>
      </w:r>
      <w:r w:rsidRPr="00750D90">
        <w:rPr>
          <w:rFonts w:ascii="Arial" w:hAnsi="Arial" w:cs="Arial"/>
          <w:color w:val="000000" w:themeColor="text1"/>
          <w:sz w:val="20"/>
          <w:szCs w:val="20"/>
        </w:rPr>
        <w:t xml:space="preserve"> après les repas (règle des 3 h) </w:t>
      </w:r>
      <w:r>
        <w:rPr>
          <w:rFonts w:ascii="Arial" w:hAnsi="Arial" w:cs="Arial"/>
          <w:color w:val="000000" w:themeColor="text1"/>
          <w:sz w:val="20"/>
          <w:szCs w:val="20"/>
        </w:rPr>
        <w:t xml:space="preserve">et au </w:t>
      </w:r>
      <w:r w:rsidRPr="00750D90">
        <w:rPr>
          <w:rFonts w:ascii="Arial" w:hAnsi="Arial" w:cs="Arial"/>
          <w:color w:val="000000" w:themeColor="text1"/>
          <w:sz w:val="20"/>
          <w:szCs w:val="20"/>
        </w:rPr>
        <w:t xml:space="preserve">coucher </w:t>
      </w:r>
    </w:p>
    <w:p w14:paraId="6810D5B6" w14:textId="77777777" w:rsidR="00ED4694" w:rsidRDefault="00ED4694" w:rsidP="00ED4694">
      <w:pPr>
        <w:pStyle w:val="Sansinterligne"/>
        <w:jc w:val="both"/>
        <w:rPr>
          <w:rFonts w:ascii="Arial" w:hAnsi="Arial" w:cs="Arial"/>
          <w:color w:val="000000" w:themeColor="text1"/>
          <w:sz w:val="20"/>
          <w:szCs w:val="20"/>
        </w:rPr>
      </w:pPr>
    </w:p>
    <w:p w14:paraId="68E38B5E" w14:textId="77777777" w:rsidR="00ED4694" w:rsidRDefault="00ED4694" w:rsidP="00ED4694">
      <w:pPr>
        <w:pStyle w:val="Sansinterligne"/>
        <w:jc w:val="both"/>
        <w:rPr>
          <w:rFonts w:ascii="Arial" w:hAnsi="Arial" w:cs="Arial"/>
          <w:color w:val="000000" w:themeColor="text1"/>
          <w:sz w:val="20"/>
          <w:szCs w:val="20"/>
        </w:rPr>
      </w:pPr>
      <w:r w:rsidRPr="00796C24">
        <w:rPr>
          <w:rFonts w:ascii="Arial" w:hAnsi="Arial" w:cs="Arial"/>
          <w:color w:val="000000" w:themeColor="text1"/>
          <w:sz w:val="20"/>
          <w:szCs w:val="20"/>
          <w:u w:val="single"/>
        </w:rPr>
        <w:t>Ex</w:t>
      </w:r>
      <w:r>
        <w:rPr>
          <w:rFonts w:ascii="Arial" w:hAnsi="Arial" w:cs="Arial"/>
          <w:color w:val="000000" w:themeColor="text1"/>
          <w:sz w:val="20"/>
          <w:szCs w:val="20"/>
        </w:rPr>
        <w:t> : un patient contrôle sa glycémie préprandiale (avant le repas) : 2 g/L. Il sait qu’il va manger 5 portions de 20 grammes et que pour lui, il a besoin de 2 unités par portion. Il a donc besoin de 10 unités d’insuline. Or, il a commencé à 2g/L au lieu de 1 g/L. A nouveau, il sait que 3 unités abaissent sa glycémie de 1 g/L. Donc pour revenir à une glycémie d’1 g/L, il s’administre 3 unités. Donc au total, il a besoin de 13 unités.</w:t>
      </w:r>
    </w:p>
    <w:p w14:paraId="7C6696B2" w14:textId="77777777" w:rsidR="00ED4694" w:rsidRDefault="00ED4694" w:rsidP="00ED4694">
      <w:pPr>
        <w:pStyle w:val="Sansinterligne"/>
        <w:jc w:val="both"/>
        <w:rPr>
          <w:rFonts w:ascii="Arial" w:hAnsi="Arial" w:cs="Arial"/>
          <w:color w:val="000000" w:themeColor="text1"/>
          <w:sz w:val="20"/>
          <w:szCs w:val="20"/>
        </w:rPr>
      </w:pPr>
      <w:r w:rsidRPr="00796C24">
        <w:rPr>
          <w:rFonts w:ascii="Arial" w:hAnsi="Arial" w:cs="Arial"/>
          <w:color w:val="000000" w:themeColor="text1"/>
          <w:sz w:val="20"/>
          <w:szCs w:val="20"/>
          <w:u w:val="single"/>
        </w:rPr>
        <w:t>Ex</w:t>
      </w:r>
      <w:r>
        <w:rPr>
          <w:rFonts w:ascii="Arial" w:hAnsi="Arial" w:cs="Arial"/>
          <w:color w:val="000000" w:themeColor="text1"/>
          <w:sz w:val="20"/>
          <w:szCs w:val="20"/>
        </w:rPr>
        <w:t> : Il est à 0,6 g/L. Il sait que dans il mange 1 portion, sa glycémie augmente de 0,80 g/L Donc pour se resucré, il doit juste langer une demi-portion qui permet d’augmenter sa glycémie de 0,40 g/L et donc d’arriver à 1 g/L.</w:t>
      </w:r>
    </w:p>
    <w:p w14:paraId="06B02D0B" w14:textId="77777777" w:rsidR="00ED4694" w:rsidRDefault="00ED4694" w:rsidP="00ED4694">
      <w:pPr>
        <w:pStyle w:val="Sansinterligne"/>
        <w:jc w:val="both"/>
        <w:rPr>
          <w:rFonts w:ascii="Arial" w:hAnsi="Arial" w:cs="Arial"/>
          <w:color w:val="000000" w:themeColor="text1"/>
          <w:sz w:val="20"/>
          <w:szCs w:val="20"/>
        </w:rPr>
      </w:pPr>
    </w:p>
    <w:p w14:paraId="2FBCB492" w14:textId="77777777" w:rsidR="00ED4694" w:rsidRPr="005749A0" w:rsidRDefault="00ED4694" w:rsidP="00ED4694">
      <w:pPr>
        <w:pStyle w:val="Sansinterligne"/>
        <w:jc w:val="both"/>
        <w:rPr>
          <w:rFonts w:ascii="Arial" w:hAnsi="Arial" w:cs="Arial"/>
          <w:color w:val="000000" w:themeColor="text1"/>
          <w:sz w:val="20"/>
          <w:szCs w:val="20"/>
        </w:rPr>
      </w:pPr>
      <w:r>
        <w:rPr>
          <w:rFonts w:ascii="Arial" w:hAnsi="Arial" w:cs="Arial"/>
          <w:color w:val="000000" w:themeColor="text1"/>
          <w:sz w:val="20"/>
          <w:szCs w:val="20"/>
        </w:rPr>
        <w:t>L’IF est destinée à t</w:t>
      </w:r>
      <w:r w:rsidRPr="00750D90">
        <w:rPr>
          <w:rFonts w:ascii="Arial" w:hAnsi="Arial" w:cs="Arial"/>
          <w:color w:val="000000" w:themeColor="text1"/>
          <w:sz w:val="20"/>
          <w:szCs w:val="20"/>
        </w:rPr>
        <w:t>ous les DT1</w:t>
      </w:r>
      <w:r>
        <w:rPr>
          <w:rFonts w:ascii="Arial" w:hAnsi="Arial" w:cs="Arial"/>
          <w:color w:val="000000" w:themeColor="text1"/>
          <w:sz w:val="20"/>
          <w:szCs w:val="20"/>
        </w:rPr>
        <w:t>. Elle reste c</w:t>
      </w:r>
      <w:r w:rsidRPr="00750D90">
        <w:rPr>
          <w:rFonts w:ascii="Arial" w:hAnsi="Arial" w:cs="Arial"/>
          <w:color w:val="000000" w:themeColor="text1"/>
          <w:sz w:val="20"/>
          <w:szCs w:val="20"/>
        </w:rPr>
        <w:t>ontre</w:t>
      </w:r>
      <w:r>
        <w:rPr>
          <w:rFonts w:ascii="Arial" w:hAnsi="Arial" w:cs="Arial"/>
          <w:color w:val="000000" w:themeColor="text1"/>
          <w:sz w:val="20"/>
          <w:szCs w:val="20"/>
        </w:rPr>
        <w:t xml:space="preserve">-indiquée chez les </w:t>
      </w:r>
      <w:r w:rsidRPr="005749A0">
        <w:rPr>
          <w:rFonts w:ascii="Arial" w:hAnsi="Arial" w:cs="Arial"/>
          <w:color w:val="000000" w:themeColor="text1"/>
          <w:sz w:val="20"/>
          <w:szCs w:val="20"/>
        </w:rPr>
        <w:t>patients ne souhaitant pas modifier leurs traitements ou leurs habitudes alimentaires</w:t>
      </w:r>
      <w:r>
        <w:rPr>
          <w:rFonts w:ascii="Arial" w:hAnsi="Arial" w:cs="Arial"/>
          <w:color w:val="000000" w:themeColor="text1"/>
          <w:sz w:val="20"/>
          <w:szCs w:val="20"/>
        </w:rPr>
        <w:t xml:space="preserve">, chez les </w:t>
      </w:r>
      <w:r w:rsidRPr="005749A0">
        <w:rPr>
          <w:rFonts w:ascii="Arial" w:hAnsi="Arial" w:cs="Arial"/>
          <w:color w:val="000000" w:themeColor="text1"/>
          <w:sz w:val="20"/>
          <w:szCs w:val="20"/>
        </w:rPr>
        <w:t>patients incapables de compter</w:t>
      </w:r>
      <w:r>
        <w:rPr>
          <w:rFonts w:ascii="Arial" w:hAnsi="Arial" w:cs="Arial"/>
          <w:color w:val="000000" w:themeColor="text1"/>
          <w:sz w:val="20"/>
          <w:szCs w:val="20"/>
        </w:rPr>
        <w:t xml:space="preserve"> ou ceux atteints de </w:t>
      </w:r>
      <w:r w:rsidRPr="005749A0">
        <w:rPr>
          <w:rFonts w:ascii="Arial" w:hAnsi="Arial" w:cs="Arial"/>
          <w:color w:val="000000" w:themeColor="text1"/>
          <w:sz w:val="20"/>
          <w:szCs w:val="20"/>
        </w:rPr>
        <w:t>troubles du comportement alimentaire</w:t>
      </w:r>
      <w:r>
        <w:rPr>
          <w:rFonts w:ascii="Arial" w:hAnsi="Arial" w:cs="Arial"/>
          <w:color w:val="000000" w:themeColor="text1"/>
          <w:sz w:val="20"/>
          <w:szCs w:val="20"/>
        </w:rPr>
        <w:t>,</w:t>
      </w:r>
      <w:r w:rsidRPr="005749A0">
        <w:rPr>
          <w:rFonts w:ascii="Arial" w:hAnsi="Arial" w:cs="Arial"/>
          <w:color w:val="000000" w:themeColor="text1"/>
          <w:sz w:val="20"/>
          <w:szCs w:val="20"/>
        </w:rPr>
        <w:t xml:space="preserve"> maladies psychiatriques... </w:t>
      </w:r>
    </w:p>
    <w:p w14:paraId="75681A01" w14:textId="77777777" w:rsidR="00ED4694" w:rsidRPr="005749A0" w:rsidRDefault="00ED4694" w:rsidP="00ED4694">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 xml:space="preserve">L’IF améliore </w:t>
      </w:r>
      <w:r>
        <w:rPr>
          <w:rFonts w:ascii="Arial" w:hAnsi="Arial" w:cs="Arial"/>
          <w:color w:val="000000" w:themeColor="text1"/>
          <w:sz w:val="20"/>
          <w:szCs w:val="20"/>
        </w:rPr>
        <w:t>l</w:t>
      </w:r>
      <w:r w:rsidRPr="005749A0">
        <w:rPr>
          <w:rFonts w:ascii="Arial" w:hAnsi="Arial" w:cs="Arial"/>
          <w:color w:val="000000" w:themeColor="text1"/>
          <w:sz w:val="20"/>
          <w:szCs w:val="20"/>
        </w:rPr>
        <w:t>’équilibre métabolique (HbA1c), avec diminution des hypoglycémies sévères et acidocétoses sévères</w:t>
      </w:r>
      <w:r>
        <w:rPr>
          <w:rFonts w:ascii="Arial" w:hAnsi="Arial" w:cs="Arial"/>
          <w:color w:val="000000" w:themeColor="text1"/>
          <w:sz w:val="20"/>
          <w:szCs w:val="20"/>
        </w:rPr>
        <w:t xml:space="preserve">, </w:t>
      </w:r>
      <w:r w:rsidRPr="005749A0">
        <w:rPr>
          <w:rFonts w:ascii="Arial" w:hAnsi="Arial" w:cs="Arial"/>
          <w:color w:val="000000" w:themeColor="text1"/>
          <w:sz w:val="20"/>
          <w:szCs w:val="20"/>
        </w:rPr>
        <w:t>la qualité de vie grâce à</w:t>
      </w:r>
      <w:r>
        <w:rPr>
          <w:rFonts w:ascii="Arial" w:hAnsi="Arial" w:cs="Arial"/>
          <w:color w:val="000000" w:themeColor="text1"/>
          <w:sz w:val="20"/>
          <w:szCs w:val="20"/>
        </w:rPr>
        <w:t xml:space="preserve"> une diminution des contraintes alimentaires et une adaptation au rythme de vie de chaque patient.</w:t>
      </w:r>
    </w:p>
    <w:p w14:paraId="35BA97D1" w14:textId="77777777" w:rsidR="00ED4694" w:rsidRDefault="00ED4694" w:rsidP="00ED4694">
      <w:pPr>
        <w:pStyle w:val="Sansinterligne"/>
        <w:jc w:val="both"/>
        <w:rPr>
          <w:rFonts w:ascii="Arial" w:hAnsi="Arial" w:cs="Arial"/>
          <w:color w:val="000000" w:themeColor="text1"/>
          <w:sz w:val="20"/>
          <w:szCs w:val="20"/>
        </w:rPr>
      </w:pPr>
      <w:r>
        <w:rPr>
          <w:rFonts w:ascii="Arial" w:hAnsi="Arial" w:cs="Arial"/>
          <w:color w:val="000000" w:themeColor="text1"/>
          <w:sz w:val="20"/>
          <w:szCs w:val="20"/>
        </w:rPr>
        <w:t xml:space="preserve">La </w:t>
      </w:r>
      <w:r w:rsidRPr="005749A0">
        <w:rPr>
          <w:rFonts w:ascii="Arial" w:hAnsi="Arial" w:cs="Arial"/>
          <w:color w:val="000000" w:themeColor="text1"/>
          <w:sz w:val="20"/>
          <w:szCs w:val="20"/>
        </w:rPr>
        <w:t>relation soignant–patient ce qui favorise le suivi au long cours</w:t>
      </w:r>
      <w:r>
        <w:rPr>
          <w:rFonts w:ascii="Arial" w:hAnsi="Arial" w:cs="Arial"/>
          <w:color w:val="000000" w:themeColor="text1"/>
          <w:sz w:val="20"/>
          <w:szCs w:val="20"/>
        </w:rPr>
        <w:t xml:space="preserve">. </w:t>
      </w:r>
    </w:p>
    <w:p w14:paraId="525F05B7" w14:textId="77777777" w:rsidR="00ED4694" w:rsidRDefault="00ED4694" w:rsidP="00ED4694">
      <w:pPr>
        <w:pStyle w:val="Sansinterligne"/>
        <w:jc w:val="both"/>
        <w:rPr>
          <w:rFonts w:ascii="Arial" w:hAnsi="Arial" w:cs="Arial"/>
          <w:color w:val="000000" w:themeColor="text1"/>
          <w:sz w:val="20"/>
          <w:szCs w:val="20"/>
        </w:rPr>
      </w:pPr>
    </w:p>
    <w:p w14:paraId="226B20B0" w14:textId="77777777" w:rsidR="00ED4694" w:rsidRDefault="00ED4694" w:rsidP="00ED4694">
      <w:pPr>
        <w:pStyle w:val="Sansinterligne"/>
        <w:jc w:val="both"/>
        <w:rPr>
          <w:rFonts w:ascii="Arial" w:hAnsi="Arial" w:cs="Arial"/>
          <w:color w:val="000000" w:themeColor="text1"/>
          <w:sz w:val="20"/>
          <w:szCs w:val="20"/>
        </w:rPr>
      </w:pPr>
      <w:r w:rsidRPr="003847A3">
        <w:rPr>
          <w:rFonts w:ascii="Arial" w:hAnsi="Arial" w:cs="Arial"/>
          <w:noProof/>
          <w:color w:val="000000" w:themeColor="text1"/>
          <w:sz w:val="20"/>
          <w:szCs w:val="20"/>
        </w:rPr>
        <w:drawing>
          <wp:anchor distT="0" distB="0" distL="114300" distR="114300" simplePos="0" relativeHeight="251751424" behindDoc="1" locked="0" layoutInCell="1" allowOverlap="1" wp14:anchorId="76FAADF7" wp14:editId="09F0C51C">
            <wp:simplePos x="0" y="0"/>
            <wp:positionH relativeFrom="column">
              <wp:posOffset>0</wp:posOffset>
            </wp:positionH>
            <wp:positionV relativeFrom="paragraph">
              <wp:posOffset>0</wp:posOffset>
            </wp:positionV>
            <wp:extent cx="2168769" cy="2148547"/>
            <wp:effectExtent l="0" t="0" r="3175" b="0"/>
            <wp:wrapTight wrapText="bothSides">
              <wp:wrapPolygon edited="0">
                <wp:start x="0" y="0"/>
                <wp:lineTo x="0" y="21453"/>
                <wp:lineTo x="21505" y="21453"/>
                <wp:lineTo x="21505" y="0"/>
                <wp:lineTo x="0" y="0"/>
              </wp:wrapPolygon>
            </wp:wrapTight>
            <wp:docPr id="3431232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23217"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68769" cy="2148547"/>
                    </a:xfrm>
                    <a:prstGeom prst="rect">
                      <a:avLst/>
                    </a:prstGeom>
                  </pic:spPr>
                </pic:pic>
              </a:graphicData>
            </a:graphic>
            <wp14:sizeRelH relativeFrom="page">
              <wp14:pctWidth>0</wp14:pctWidth>
            </wp14:sizeRelH>
            <wp14:sizeRelV relativeFrom="page">
              <wp14:pctHeight>0</wp14:pctHeight>
            </wp14:sizeRelV>
          </wp:anchor>
        </w:drawing>
      </w:r>
    </w:p>
    <w:p w14:paraId="02D1C64D" w14:textId="77777777" w:rsidR="00ED4694" w:rsidRDefault="00ED4694" w:rsidP="00ED4694">
      <w:pPr>
        <w:pStyle w:val="Sansinterligne"/>
        <w:jc w:val="both"/>
        <w:rPr>
          <w:rFonts w:ascii="Arial" w:hAnsi="Arial" w:cs="Arial"/>
          <w:color w:val="000000" w:themeColor="text1"/>
          <w:sz w:val="20"/>
          <w:szCs w:val="20"/>
        </w:rPr>
      </w:pPr>
      <w:r>
        <w:rPr>
          <w:rFonts w:ascii="Arial" w:hAnsi="Arial" w:cs="Arial"/>
          <w:color w:val="000000" w:themeColor="text1"/>
          <w:sz w:val="20"/>
          <w:szCs w:val="20"/>
        </w:rPr>
        <w:t xml:space="preserve">Insuline lente : 1 administration / jour (matin ou soir), elle couvre 24h. </w:t>
      </w:r>
    </w:p>
    <w:p w14:paraId="44B11A97" w14:textId="77777777" w:rsidR="00ED4694" w:rsidRDefault="00ED4694" w:rsidP="00ED4694">
      <w:pPr>
        <w:pStyle w:val="Sansinterligne"/>
        <w:jc w:val="both"/>
        <w:rPr>
          <w:rFonts w:ascii="Arial" w:hAnsi="Arial" w:cs="Arial"/>
          <w:color w:val="000000" w:themeColor="text1"/>
          <w:sz w:val="20"/>
          <w:szCs w:val="20"/>
        </w:rPr>
      </w:pPr>
    </w:p>
    <w:p w14:paraId="5955E98C" w14:textId="77777777" w:rsidR="00ED4694" w:rsidRDefault="00ED4694" w:rsidP="00ED4694">
      <w:pPr>
        <w:pStyle w:val="Sansinterligne"/>
        <w:jc w:val="both"/>
        <w:rPr>
          <w:rFonts w:ascii="Arial" w:hAnsi="Arial" w:cs="Arial"/>
          <w:color w:val="000000" w:themeColor="text1"/>
          <w:sz w:val="20"/>
          <w:szCs w:val="20"/>
        </w:rPr>
      </w:pPr>
    </w:p>
    <w:p w14:paraId="4FED96C5" w14:textId="77777777" w:rsidR="00ED4694" w:rsidRDefault="00ED4694" w:rsidP="00ED4694">
      <w:pPr>
        <w:pStyle w:val="Sansinterligne"/>
        <w:jc w:val="both"/>
        <w:rPr>
          <w:rFonts w:ascii="Arial" w:hAnsi="Arial" w:cs="Arial"/>
          <w:color w:val="000000" w:themeColor="text1"/>
          <w:sz w:val="20"/>
          <w:szCs w:val="20"/>
        </w:rPr>
      </w:pPr>
    </w:p>
    <w:p w14:paraId="68BDE785" w14:textId="77777777" w:rsidR="00ED4694" w:rsidRDefault="00ED4694" w:rsidP="00ED4694">
      <w:pPr>
        <w:pStyle w:val="Sansinterligne"/>
        <w:jc w:val="both"/>
        <w:rPr>
          <w:rFonts w:ascii="Arial" w:hAnsi="Arial" w:cs="Arial"/>
          <w:color w:val="000000" w:themeColor="text1"/>
          <w:sz w:val="20"/>
          <w:szCs w:val="20"/>
        </w:rPr>
      </w:pPr>
    </w:p>
    <w:p w14:paraId="5867BEFE" w14:textId="77777777" w:rsidR="00ED4694" w:rsidRDefault="00ED4694" w:rsidP="00ED4694">
      <w:pPr>
        <w:pStyle w:val="Sansinterligne"/>
        <w:jc w:val="both"/>
        <w:rPr>
          <w:rFonts w:ascii="Arial" w:hAnsi="Arial" w:cs="Arial"/>
          <w:color w:val="000000" w:themeColor="text1"/>
          <w:sz w:val="20"/>
          <w:szCs w:val="20"/>
        </w:rPr>
      </w:pPr>
    </w:p>
    <w:p w14:paraId="1F1702C6" w14:textId="77777777" w:rsidR="00ED4694" w:rsidRDefault="00ED4694" w:rsidP="00ED4694">
      <w:pPr>
        <w:pStyle w:val="Sansinterligne"/>
        <w:jc w:val="both"/>
        <w:rPr>
          <w:rFonts w:ascii="Arial" w:hAnsi="Arial" w:cs="Arial"/>
          <w:color w:val="000000" w:themeColor="text1"/>
          <w:sz w:val="20"/>
          <w:szCs w:val="20"/>
        </w:rPr>
      </w:pPr>
    </w:p>
    <w:p w14:paraId="50D21A01" w14:textId="77777777" w:rsidR="00ED4694" w:rsidRDefault="00ED4694" w:rsidP="00ED4694">
      <w:pPr>
        <w:pStyle w:val="Sansinterligne"/>
        <w:jc w:val="both"/>
        <w:rPr>
          <w:rFonts w:ascii="Arial" w:hAnsi="Arial" w:cs="Arial"/>
          <w:color w:val="000000" w:themeColor="text1"/>
          <w:sz w:val="20"/>
          <w:szCs w:val="20"/>
        </w:rPr>
      </w:pPr>
    </w:p>
    <w:p w14:paraId="273C7B6C" w14:textId="77777777" w:rsidR="00ED4694" w:rsidRDefault="00ED4694" w:rsidP="00ED4694">
      <w:pPr>
        <w:pStyle w:val="Sansinterligne"/>
        <w:jc w:val="both"/>
        <w:rPr>
          <w:rFonts w:ascii="Arial" w:hAnsi="Arial" w:cs="Arial"/>
          <w:color w:val="000000" w:themeColor="text1"/>
          <w:sz w:val="20"/>
          <w:szCs w:val="20"/>
        </w:rPr>
      </w:pPr>
    </w:p>
    <w:p w14:paraId="565796A8" w14:textId="77777777" w:rsidR="00ED4694" w:rsidRDefault="00ED4694" w:rsidP="00ED4694">
      <w:pPr>
        <w:pStyle w:val="Sansinterligne"/>
        <w:jc w:val="both"/>
        <w:rPr>
          <w:rFonts w:ascii="Arial" w:hAnsi="Arial" w:cs="Arial"/>
          <w:color w:val="000000" w:themeColor="text1"/>
          <w:sz w:val="20"/>
          <w:szCs w:val="20"/>
        </w:rPr>
      </w:pPr>
    </w:p>
    <w:p w14:paraId="793B7C40" w14:textId="77777777" w:rsidR="00ED4694" w:rsidRDefault="00ED4694" w:rsidP="00ED4694">
      <w:pPr>
        <w:pStyle w:val="Sansinterligne"/>
        <w:jc w:val="both"/>
        <w:rPr>
          <w:rFonts w:ascii="Arial" w:hAnsi="Arial" w:cs="Arial"/>
          <w:color w:val="000000" w:themeColor="text1"/>
          <w:sz w:val="20"/>
          <w:szCs w:val="20"/>
        </w:rPr>
      </w:pPr>
    </w:p>
    <w:p w14:paraId="7A1A9F8E" w14:textId="77777777" w:rsidR="00ED4694" w:rsidRDefault="00ED4694" w:rsidP="00ED4694">
      <w:pPr>
        <w:pStyle w:val="Sansinterligne"/>
        <w:jc w:val="both"/>
        <w:rPr>
          <w:rFonts w:ascii="Arial" w:hAnsi="Arial" w:cs="Arial"/>
          <w:color w:val="000000" w:themeColor="text1"/>
          <w:sz w:val="20"/>
          <w:szCs w:val="20"/>
        </w:rPr>
      </w:pPr>
    </w:p>
    <w:p w14:paraId="6A67F19C" w14:textId="77777777" w:rsidR="00ED4694" w:rsidRDefault="00ED4694" w:rsidP="00ED4694">
      <w:pPr>
        <w:pStyle w:val="Sansinterligne"/>
        <w:jc w:val="both"/>
        <w:rPr>
          <w:rFonts w:ascii="Arial" w:hAnsi="Arial" w:cs="Arial"/>
          <w:color w:val="000000" w:themeColor="text1"/>
          <w:sz w:val="20"/>
          <w:szCs w:val="20"/>
        </w:rPr>
      </w:pPr>
    </w:p>
    <w:p w14:paraId="30ACE496" w14:textId="77777777" w:rsidR="00ED4694" w:rsidRDefault="00ED4694" w:rsidP="00ED4694">
      <w:pPr>
        <w:pStyle w:val="Sansinterligne"/>
        <w:jc w:val="both"/>
        <w:rPr>
          <w:rFonts w:ascii="Arial" w:hAnsi="Arial" w:cs="Arial"/>
          <w:color w:val="000000" w:themeColor="text1"/>
          <w:sz w:val="20"/>
          <w:szCs w:val="20"/>
        </w:rPr>
      </w:pPr>
    </w:p>
    <w:p w14:paraId="73CA0C15" w14:textId="77777777" w:rsidR="00ED4694" w:rsidRDefault="00ED4694" w:rsidP="00ED4694">
      <w:pPr>
        <w:pStyle w:val="Sansinterligne"/>
        <w:jc w:val="both"/>
        <w:rPr>
          <w:rFonts w:ascii="Arial" w:hAnsi="Arial" w:cs="Arial"/>
          <w:color w:val="000000" w:themeColor="text1"/>
          <w:sz w:val="20"/>
          <w:szCs w:val="20"/>
        </w:rPr>
      </w:pPr>
    </w:p>
    <w:p w14:paraId="293E674F" w14:textId="77777777" w:rsidR="00ED4694" w:rsidRPr="00750D90" w:rsidRDefault="00ED4694" w:rsidP="00ED4694">
      <w:pPr>
        <w:pStyle w:val="Sansinterligne"/>
        <w:numPr>
          <w:ilvl w:val="0"/>
          <w:numId w:val="192"/>
        </w:numPr>
        <w:jc w:val="both"/>
        <w:rPr>
          <w:rFonts w:ascii="Arial" w:hAnsi="Arial" w:cs="Arial"/>
          <w:b/>
          <w:bCs/>
          <w:color w:val="00B0F0"/>
          <w:sz w:val="20"/>
          <w:szCs w:val="20"/>
          <w:u w:val="single"/>
        </w:rPr>
      </w:pPr>
      <w:r w:rsidRPr="00750D90">
        <w:rPr>
          <w:rFonts w:ascii="Arial" w:hAnsi="Arial" w:cs="Arial"/>
          <w:b/>
          <w:bCs/>
          <w:color w:val="00B0F0"/>
          <w:sz w:val="20"/>
          <w:szCs w:val="20"/>
          <w:u w:val="single"/>
        </w:rPr>
        <w:lastRenderedPageBreak/>
        <w:t xml:space="preserve">Optimisation du traitement </w:t>
      </w:r>
    </w:p>
    <w:p w14:paraId="5A0E07E8" w14:textId="77777777" w:rsidR="00ED4694" w:rsidRPr="005749A0" w:rsidRDefault="00ED4694" w:rsidP="00ED4694">
      <w:pPr>
        <w:pStyle w:val="Sansinterligne"/>
        <w:jc w:val="both"/>
        <w:rPr>
          <w:rFonts w:ascii="Arial" w:hAnsi="Arial" w:cs="Arial"/>
          <w:color w:val="000000" w:themeColor="text1"/>
          <w:sz w:val="20"/>
          <w:szCs w:val="20"/>
        </w:rPr>
      </w:pPr>
    </w:p>
    <w:p w14:paraId="675230B0" w14:textId="77777777" w:rsidR="00ED4694" w:rsidRPr="00750D90" w:rsidRDefault="00ED4694" w:rsidP="00ED4694">
      <w:pPr>
        <w:pStyle w:val="Sansinterligne"/>
        <w:jc w:val="both"/>
        <w:rPr>
          <w:rFonts w:ascii="Arial" w:hAnsi="Arial" w:cs="Arial"/>
          <w:color w:val="000000" w:themeColor="text1"/>
          <w:sz w:val="20"/>
          <w:szCs w:val="20"/>
          <w:u w:val="single"/>
        </w:rPr>
      </w:pPr>
      <w:r w:rsidRPr="00750D90">
        <w:rPr>
          <w:rFonts w:ascii="Arial" w:hAnsi="Arial" w:cs="Arial"/>
          <w:color w:val="000000" w:themeColor="text1"/>
          <w:sz w:val="20"/>
          <w:szCs w:val="20"/>
          <w:u w:val="single"/>
        </w:rPr>
        <w:t>Adaptation à l’activité physique</w:t>
      </w:r>
      <w:r>
        <w:rPr>
          <w:rFonts w:ascii="Arial" w:hAnsi="Arial" w:cs="Arial"/>
          <w:color w:val="000000" w:themeColor="text1"/>
          <w:sz w:val="20"/>
          <w:szCs w:val="20"/>
          <w:u w:val="single"/>
        </w:rPr>
        <w:t> :</w:t>
      </w:r>
    </w:p>
    <w:p w14:paraId="5722AEDF"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Le traitement doit être adapté en cas d’activité physique </w:t>
      </w:r>
    </w:p>
    <w:p w14:paraId="689B802B"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Activité physique endurante et prolongée :</w:t>
      </w:r>
      <w:r w:rsidRPr="00750D90">
        <w:rPr>
          <w:rFonts w:ascii="Arial" w:hAnsi="Arial" w:cs="Arial"/>
          <w:color w:val="000000" w:themeColor="text1"/>
          <w:sz w:val="20"/>
          <w:szCs w:val="20"/>
        </w:rPr>
        <w:t xml:space="preserve"> diminution des insulines lentes et rapides, collations régulières </w:t>
      </w:r>
    </w:p>
    <w:p w14:paraId="3090E5B0" w14:textId="77777777" w:rsidR="00ED4694" w:rsidRPr="00750D90"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Activité physique intense et brève après le rep</w:t>
      </w:r>
      <w:r w:rsidRPr="00750D90">
        <w:rPr>
          <w:rFonts w:ascii="Arial" w:hAnsi="Arial" w:cs="Arial"/>
          <w:color w:val="000000" w:themeColor="text1"/>
          <w:sz w:val="20"/>
          <w:szCs w:val="20"/>
        </w:rPr>
        <w:t>as</w:t>
      </w:r>
      <w:r>
        <w:rPr>
          <w:rFonts w:ascii="Arial" w:hAnsi="Arial" w:cs="Arial"/>
          <w:color w:val="000000" w:themeColor="text1"/>
          <w:sz w:val="20"/>
          <w:szCs w:val="20"/>
        </w:rPr>
        <w:t xml:space="preserve"> : </w:t>
      </w:r>
      <w:r w:rsidRPr="00750D90">
        <w:rPr>
          <w:rFonts w:ascii="Arial" w:hAnsi="Arial" w:cs="Arial"/>
          <w:color w:val="000000" w:themeColor="text1"/>
          <w:sz w:val="20"/>
          <w:szCs w:val="20"/>
        </w:rPr>
        <w:t>diminution de l’insuline rapide avant</w:t>
      </w:r>
      <w:r>
        <w:rPr>
          <w:rFonts w:ascii="Arial" w:hAnsi="Arial" w:cs="Arial"/>
          <w:color w:val="000000" w:themeColor="text1"/>
          <w:sz w:val="20"/>
          <w:szCs w:val="20"/>
        </w:rPr>
        <w:t xml:space="preserve">, </w:t>
      </w:r>
      <w:r w:rsidRPr="00750D90">
        <w:rPr>
          <w:rFonts w:ascii="Arial" w:hAnsi="Arial" w:cs="Arial"/>
          <w:color w:val="000000" w:themeColor="text1"/>
          <w:sz w:val="20"/>
          <w:szCs w:val="20"/>
        </w:rPr>
        <w:t xml:space="preserve">voire après l’effort, collations </w:t>
      </w:r>
    </w:p>
    <w:p w14:paraId="41C85246" w14:textId="77777777" w:rsidR="00ED4694" w:rsidRDefault="00ED4694" w:rsidP="00ED4694">
      <w:pPr>
        <w:pStyle w:val="Sansinterligne"/>
        <w:jc w:val="both"/>
        <w:rPr>
          <w:rFonts w:ascii="Arial" w:hAnsi="Arial" w:cs="Arial"/>
          <w:color w:val="000000" w:themeColor="text1"/>
          <w:sz w:val="20"/>
          <w:szCs w:val="20"/>
        </w:rPr>
      </w:pPr>
    </w:p>
    <w:p w14:paraId="3D093041" w14:textId="77777777" w:rsidR="00ED4694" w:rsidRPr="008A0E71" w:rsidRDefault="00ED4694" w:rsidP="00ED4694">
      <w:pPr>
        <w:pStyle w:val="Sansinterligne"/>
        <w:jc w:val="both"/>
        <w:rPr>
          <w:rFonts w:ascii="Arial" w:hAnsi="Arial" w:cs="Arial"/>
          <w:color w:val="000000" w:themeColor="text1"/>
          <w:sz w:val="20"/>
          <w:szCs w:val="20"/>
          <w:u w:val="single"/>
        </w:rPr>
      </w:pPr>
      <w:r w:rsidRPr="008A0E71">
        <w:rPr>
          <w:rFonts w:ascii="Arial" w:hAnsi="Arial" w:cs="Arial"/>
          <w:color w:val="000000" w:themeColor="text1"/>
          <w:sz w:val="20"/>
          <w:szCs w:val="20"/>
          <w:u w:val="single"/>
        </w:rPr>
        <w:t>Approches possibles pour l’alimentation</w:t>
      </w:r>
      <w:r>
        <w:rPr>
          <w:rFonts w:ascii="Arial" w:hAnsi="Arial" w:cs="Arial"/>
          <w:color w:val="000000" w:themeColor="text1"/>
          <w:sz w:val="20"/>
          <w:szCs w:val="20"/>
          <w:u w:val="single"/>
        </w:rPr>
        <w:t> :</w:t>
      </w:r>
    </w:p>
    <w:p w14:paraId="248D0BE0"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Education thérapeutique du patient incoutournable </w:t>
      </w:r>
    </w:p>
    <w:p w14:paraId="520D572E"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8A0E71">
        <w:rPr>
          <w:rFonts w:ascii="Arial" w:hAnsi="Arial" w:cs="Arial"/>
          <w:color w:val="000000" w:themeColor="text1"/>
          <w:sz w:val="20"/>
          <w:szCs w:val="20"/>
        </w:rPr>
        <w:t xml:space="preserve">Rôle du soignant : favoriser l’apprentissage du patient qui doit acquérir des compétences et un savoir- faire pour vivre avec sa maladie et autogérer le traitement et la surveillance au quotidien : « lui apprendre à faire tout seul » </w:t>
      </w:r>
    </w:p>
    <w:p w14:paraId="64D67280" w14:textId="77777777" w:rsidR="00ED4694" w:rsidRPr="008A0E71"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Dans une assiette : 50% de glucides, 15% de protéines, 35% de lipides.</w:t>
      </w:r>
    </w:p>
    <w:p w14:paraId="11F37CD5" w14:textId="77777777" w:rsidR="00ED4694" w:rsidRDefault="00ED4694" w:rsidP="00ED4694">
      <w:pPr>
        <w:pStyle w:val="Sansinterligne"/>
        <w:jc w:val="both"/>
        <w:rPr>
          <w:rFonts w:ascii="Arial" w:hAnsi="Arial" w:cs="Arial"/>
          <w:color w:val="000000" w:themeColor="text1"/>
          <w:sz w:val="20"/>
          <w:szCs w:val="20"/>
        </w:rPr>
      </w:pPr>
    </w:p>
    <w:p w14:paraId="4508B32C" w14:textId="77777777" w:rsidR="00ED4694" w:rsidRPr="008A0E71" w:rsidRDefault="00ED4694" w:rsidP="00ED4694">
      <w:pPr>
        <w:pStyle w:val="Sansinterligne"/>
        <w:jc w:val="both"/>
        <w:rPr>
          <w:rFonts w:ascii="Arial" w:hAnsi="Arial" w:cs="Arial"/>
          <w:color w:val="000000" w:themeColor="text1"/>
          <w:sz w:val="20"/>
          <w:szCs w:val="20"/>
          <w:u w:val="single"/>
        </w:rPr>
      </w:pPr>
      <w:r w:rsidRPr="008A0E71">
        <w:rPr>
          <w:rFonts w:ascii="Arial" w:hAnsi="Arial" w:cs="Arial"/>
          <w:color w:val="000000" w:themeColor="text1"/>
          <w:sz w:val="20"/>
          <w:szCs w:val="20"/>
          <w:u w:val="single"/>
        </w:rPr>
        <w:t xml:space="preserve">Autonomie </w:t>
      </w:r>
    </w:p>
    <w:p w14:paraId="79CE76DF"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La participation active du patient l’aide à mieux comprendre sa maladie et à se sentir plus efficace dans la gestion de son diabète </w:t>
      </w:r>
    </w:p>
    <w:p w14:paraId="00B34BB1"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L’IF favorise l’autonomie des patients et leur maitrise du traitement </w:t>
      </w:r>
    </w:p>
    <w:p w14:paraId="796B7062"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A long terme, malgré ces bénéfices, l’HbA1c se détériore ce qui incite à maintenir un suivi régulier des patients </w:t>
      </w:r>
    </w:p>
    <w:p w14:paraId="29C34A74" w14:textId="77777777" w:rsidR="00ED4694" w:rsidRDefault="00ED4694" w:rsidP="00ED4694">
      <w:pPr>
        <w:pStyle w:val="Sansinterligne"/>
        <w:jc w:val="both"/>
        <w:rPr>
          <w:rFonts w:ascii="Arial" w:hAnsi="Arial" w:cs="Arial"/>
          <w:color w:val="000000" w:themeColor="text1"/>
          <w:sz w:val="20"/>
          <w:szCs w:val="20"/>
        </w:rPr>
      </w:pPr>
    </w:p>
    <w:p w14:paraId="440C03E8" w14:textId="77777777" w:rsidR="00ED4694" w:rsidRPr="008A0E71" w:rsidRDefault="00ED4694" w:rsidP="00ED4694">
      <w:pPr>
        <w:pStyle w:val="Sansinterligne"/>
        <w:jc w:val="both"/>
        <w:rPr>
          <w:rFonts w:ascii="Arial" w:hAnsi="Arial" w:cs="Arial"/>
          <w:color w:val="000000" w:themeColor="text1"/>
          <w:sz w:val="20"/>
          <w:szCs w:val="20"/>
          <w:u w:val="single"/>
        </w:rPr>
      </w:pPr>
      <w:r w:rsidRPr="008A0E71">
        <w:rPr>
          <w:rFonts w:ascii="Arial" w:hAnsi="Arial" w:cs="Arial"/>
          <w:color w:val="000000" w:themeColor="text1"/>
          <w:sz w:val="20"/>
          <w:szCs w:val="20"/>
          <w:u w:val="single"/>
        </w:rPr>
        <w:t xml:space="preserve">Surveillance </w:t>
      </w:r>
    </w:p>
    <w:p w14:paraId="1BFEA4DD"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Glycémie capillaire = «</w:t>
      </w:r>
      <w:r>
        <w:rPr>
          <w:rFonts w:ascii="Arial" w:hAnsi="Arial" w:cs="Arial"/>
          <w:color w:val="000000" w:themeColor="text1"/>
          <w:sz w:val="20"/>
          <w:szCs w:val="20"/>
        </w:rPr>
        <w:t xml:space="preserve"> </w:t>
      </w:r>
      <w:r w:rsidRPr="005749A0">
        <w:rPr>
          <w:rFonts w:ascii="Arial" w:hAnsi="Arial" w:cs="Arial"/>
          <w:color w:val="000000" w:themeColor="text1"/>
          <w:sz w:val="20"/>
          <w:szCs w:val="20"/>
        </w:rPr>
        <w:t>dextros »</w:t>
      </w:r>
      <w:r>
        <w:rPr>
          <w:rFonts w:ascii="Arial" w:hAnsi="Arial" w:cs="Arial"/>
          <w:color w:val="000000" w:themeColor="text1"/>
          <w:sz w:val="20"/>
          <w:szCs w:val="20"/>
        </w:rPr>
        <w:t xml:space="preserve"> (glucose en anglais)</w:t>
      </w:r>
      <w:r w:rsidRPr="005749A0">
        <w:rPr>
          <w:rFonts w:ascii="Arial" w:hAnsi="Arial" w:cs="Arial"/>
          <w:color w:val="000000" w:themeColor="text1"/>
          <w:sz w:val="20"/>
          <w:szCs w:val="20"/>
        </w:rPr>
        <w:t xml:space="preserve"> </w:t>
      </w:r>
    </w:p>
    <w:p w14:paraId="13077400"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 xml:space="preserve">Lavage des mains à l’eau tiède </w:t>
      </w:r>
    </w:p>
    <w:p w14:paraId="1FF9E2F1"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 xml:space="preserve">Piquûre au bout du doigt avec 1 lancette neuve </w:t>
      </w:r>
      <w:r w:rsidRPr="008A0E71">
        <w:rPr>
          <w:rFonts w:ascii="Arial" w:hAnsi="Arial" w:cs="Arial"/>
          <w:color w:val="000000" w:themeColor="text1"/>
          <w:sz w:val="20"/>
          <w:szCs w:val="20"/>
        </w:rPr>
        <w:sym w:font="Wingdings" w:char="F0E0"/>
      </w:r>
      <w:r>
        <w:rPr>
          <w:rFonts w:ascii="Arial" w:hAnsi="Arial" w:cs="Arial"/>
          <w:color w:val="000000" w:themeColor="text1"/>
          <w:sz w:val="20"/>
          <w:szCs w:val="20"/>
        </w:rPr>
        <w:t xml:space="preserve"> goutte </w:t>
      </w:r>
      <w:r w:rsidRPr="008A0E71">
        <w:rPr>
          <w:rFonts w:ascii="Arial" w:hAnsi="Arial" w:cs="Arial"/>
          <w:color w:val="000000" w:themeColor="text1"/>
          <w:sz w:val="20"/>
          <w:szCs w:val="20"/>
        </w:rPr>
        <w:t xml:space="preserve">de sang obtenue et déposée sur 1 bandelette </w:t>
      </w:r>
    </w:p>
    <w:p w14:paraId="50840134"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 xml:space="preserve">Immédiatement lisible par lecteur de glycémies </w:t>
      </w:r>
    </w:p>
    <w:p w14:paraId="732F16EE" w14:textId="77777777" w:rsidR="00ED4694" w:rsidRPr="005749A0" w:rsidRDefault="00ED4694" w:rsidP="00ED4694">
      <w:pPr>
        <w:pStyle w:val="Sansinterligne"/>
        <w:jc w:val="both"/>
        <w:rPr>
          <w:rFonts w:ascii="Arial" w:hAnsi="Arial" w:cs="Arial"/>
          <w:color w:val="000000" w:themeColor="text1"/>
          <w:sz w:val="20"/>
          <w:szCs w:val="20"/>
        </w:rPr>
      </w:pPr>
    </w:p>
    <w:p w14:paraId="708FB001" w14:textId="77777777" w:rsidR="00ED4694" w:rsidRPr="00EE21E8" w:rsidRDefault="00ED4694" w:rsidP="00ED4694">
      <w:pPr>
        <w:pStyle w:val="Sansinterligne"/>
        <w:jc w:val="both"/>
        <w:rPr>
          <w:rFonts w:ascii="Arial" w:hAnsi="Arial" w:cs="Arial"/>
          <w:color w:val="000000" w:themeColor="text1"/>
          <w:sz w:val="20"/>
          <w:szCs w:val="20"/>
          <w:u w:val="single"/>
        </w:rPr>
      </w:pPr>
      <w:r w:rsidRPr="00EE21E8">
        <w:rPr>
          <w:rFonts w:ascii="Arial" w:hAnsi="Arial" w:cs="Arial"/>
          <w:noProof/>
          <w:color w:val="000000" w:themeColor="text1"/>
          <w:sz w:val="20"/>
          <w:szCs w:val="20"/>
          <w:u w:val="single"/>
        </w:rPr>
        <w:drawing>
          <wp:anchor distT="0" distB="0" distL="114300" distR="114300" simplePos="0" relativeHeight="251739136" behindDoc="1" locked="0" layoutInCell="1" allowOverlap="1" wp14:anchorId="74C677B2" wp14:editId="7CEACE2A">
            <wp:simplePos x="0" y="0"/>
            <wp:positionH relativeFrom="column">
              <wp:posOffset>5160974</wp:posOffset>
            </wp:positionH>
            <wp:positionV relativeFrom="paragraph">
              <wp:posOffset>84509</wp:posOffset>
            </wp:positionV>
            <wp:extent cx="1433830" cy="1083945"/>
            <wp:effectExtent l="0" t="0" r="1270" b="0"/>
            <wp:wrapTight wrapText="bothSides">
              <wp:wrapPolygon edited="0">
                <wp:start x="0" y="0"/>
                <wp:lineTo x="0" y="21258"/>
                <wp:lineTo x="21428" y="21258"/>
                <wp:lineTo x="21428" y="0"/>
                <wp:lineTo x="0" y="0"/>
              </wp:wrapPolygon>
            </wp:wrapTight>
            <wp:docPr id="2018656170" name="Image 248" descr="page50image68507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age50image68507545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33830" cy="1083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E8">
        <w:rPr>
          <w:rFonts w:ascii="Arial" w:hAnsi="Arial" w:cs="Arial"/>
          <w:color w:val="000000" w:themeColor="text1"/>
          <w:sz w:val="20"/>
          <w:szCs w:val="20"/>
          <w:u w:val="single"/>
        </w:rPr>
        <w:t xml:space="preserve">Corps cétoniques </w:t>
      </w:r>
    </w:p>
    <w:p w14:paraId="536006D4"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Nausées et vomissements, des douleurs abdominales et une odeur caractéristique de votre haleine </w:t>
      </w:r>
    </w:p>
    <w:p w14:paraId="25F2E595"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Cétonurie : corps cétoniques présents dans les urines, détectées à l'aide de bandelettes réactives fournissant des résultats semi-quantitatifs : (0) (traces) (+) (++) (+++) (++++) </w:t>
      </w:r>
    </w:p>
    <w:p w14:paraId="725E548D"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Cétonémie : lecteur avec bandelettes spéciales : plus précose </w:t>
      </w:r>
    </w:p>
    <w:p w14:paraId="27DE93BE" w14:textId="77777777" w:rsidR="00ED4694" w:rsidRDefault="00ED4694" w:rsidP="00ED4694">
      <w:pPr>
        <w:pStyle w:val="Sansinterligne"/>
        <w:jc w:val="both"/>
        <w:rPr>
          <w:rFonts w:ascii="Arial" w:hAnsi="Arial" w:cs="Arial"/>
          <w:color w:val="000000" w:themeColor="text1"/>
          <w:sz w:val="20"/>
          <w:szCs w:val="20"/>
        </w:rPr>
      </w:pPr>
    </w:p>
    <w:p w14:paraId="20D6B6DE" w14:textId="77777777" w:rsidR="00ED4694" w:rsidRPr="008A0E71" w:rsidRDefault="00ED4694" w:rsidP="00ED4694">
      <w:pPr>
        <w:pStyle w:val="Sansinterligne"/>
        <w:jc w:val="both"/>
        <w:rPr>
          <w:rFonts w:ascii="Arial" w:hAnsi="Arial" w:cs="Arial"/>
          <w:color w:val="000000" w:themeColor="text1"/>
          <w:sz w:val="20"/>
          <w:szCs w:val="20"/>
          <w:u w:val="single"/>
        </w:rPr>
      </w:pPr>
      <w:r w:rsidRPr="008A0E71">
        <w:rPr>
          <w:rFonts w:ascii="Arial" w:hAnsi="Arial" w:cs="Arial"/>
          <w:color w:val="000000" w:themeColor="text1"/>
          <w:sz w:val="20"/>
          <w:szCs w:val="20"/>
          <w:u w:val="single"/>
        </w:rPr>
        <w:t xml:space="preserve">Autosurveillance glycémique : </w:t>
      </w:r>
    </w:p>
    <w:tbl>
      <w:tblPr>
        <w:tblStyle w:val="Grilledutableau"/>
        <w:tblpPr w:leftFromText="141" w:rightFromText="141" w:vertAnchor="text" w:horzAnchor="margin" w:tblpXSpec="right" w:tblpY="-1"/>
        <w:tblW w:w="0" w:type="auto"/>
        <w:tblLook w:val="04A0" w:firstRow="1" w:lastRow="0" w:firstColumn="1" w:lastColumn="0" w:noHBand="0" w:noVBand="1"/>
      </w:tblPr>
      <w:tblGrid>
        <w:gridCol w:w="3539"/>
        <w:gridCol w:w="2693"/>
      </w:tblGrid>
      <w:tr w:rsidR="00ED4694" w14:paraId="16EE2F51" w14:textId="77777777" w:rsidTr="00177C07">
        <w:tc>
          <w:tcPr>
            <w:tcW w:w="3539" w:type="dxa"/>
          </w:tcPr>
          <w:p w14:paraId="68322A21" w14:textId="77777777" w:rsidR="00ED4694" w:rsidRPr="00EE21E8" w:rsidRDefault="00ED4694" w:rsidP="00177C07">
            <w:pPr>
              <w:pStyle w:val="Sansinterligne"/>
              <w:rPr>
                <w:rFonts w:ascii="Arial" w:hAnsi="Arial" w:cs="Arial"/>
                <w:color w:val="000000" w:themeColor="text1"/>
                <w:sz w:val="20"/>
                <w:szCs w:val="20"/>
                <w:u w:val="single"/>
              </w:rPr>
            </w:pPr>
            <w:r w:rsidRPr="00EE21E8">
              <w:rPr>
                <w:rFonts w:ascii="Arial" w:hAnsi="Arial" w:cs="Arial"/>
                <w:color w:val="000000" w:themeColor="text1"/>
                <w:sz w:val="20"/>
                <w:szCs w:val="20"/>
                <w:u w:val="single"/>
              </w:rPr>
              <w:t xml:space="preserve">Qualités d’un lecteur de glycémie : </w:t>
            </w:r>
          </w:p>
          <w:p w14:paraId="678718C4" w14:textId="77777777" w:rsidR="00ED4694" w:rsidRDefault="00ED4694" w:rsidP="00177C07">
            <w:pPr>
              <w:pStyle w:val="Sansinterligne"/>
              <w:jc w:val="both"/>
              <w:rPr>
                <w:rFonts w:ascii="Arial" w:hAnsi="Arial" w:cs="Arial"/>
                <w:color w:val="000000" w:themeColor="text1"/>
                <w:sz w:val="20"/>
                <w:szCs w:val="20"/>
              </w:rPr>
            </w:pPr>
            <w:r>
              <w:rPr>
                <w:rFonts w:ascii="Arial" w:hAnsi="Arial" w:cs="Arial"/>
                <w:color w:val="000000" w:themeColor="text1"/>
                <w:sz w:val="20"/>
                <w:szCs w:val="20"/>
              </w:rPr>
              <w:t xml:space="preserve">- </w:t>
            </w:r>
            <w:r w:rsidRPr="005749A0">
              <w:rPr>
                <w:rFonts w:ascii="Arial" w:hAnsi="Arial" w:cs="Arial"/>
                <w:color w:val="000000" w:themeColor="text1"/>
                <w:sz w:val="20"/>
                <w:szCs w:val="20"/>
              </w:rPr>
              <w:t xml:space="preserve">Petite taille de la goutte de sang </w:t>
            </w:r>
          </w:p>
          <w:p w14:paraId="44CDFCCE" w14:textId="77777777" w:rsidR="00ED4694" w:rsidRDefault="00ED4694" w:rsidP="00177C07">
            <w:pPr>
              <w:pStyle w:val="Sansinterligne"/>
              <w:jc w:val="both"/>
              <w:rPr>
                <w:rFonts w:ascii="Arial" w:hAnsi="Arial" w:cs="Arial"/>
                <w:color w:val="000000" w:themeColor="text1"/>
                <w:sz w:val="20"/>
                <w:szCs w:val="20"/>
              </w:rPr>
            </w:pPr>
            <w:r>
              <w:rPr>
                <w:rFonts w:ascii="Arial" w:hAnsi="Arial" w:cs="Arial"/>
                <w:color w:val="000000" w:themeColor="text1"/>
                <w:sz w:val="20"/>
                <w:szCs w:val="20"/>
              </w:rPr>
              <w:t xml:space="preserve">- </w:t>
            </w:r>
            <w:r w:rsidRPr="005749A0">
              <w:rPr>
                <w:rFonts w:ascii="Arial" w:hAnsi="Arial" w:cs="Arial"/>
                <w:color w:val="000000" w:themeColor="text1"/>
                <w:sz w:val="20"/>
                <w:szCs w:val="20"/>
              </w:rPr>
              <w:t>Rapidité</w:t>
            </w:r>
          </w:p>
          <w:p w14:paraId="2D68505D" w14:textId="77777777" w:rsidR="00ED4694" w:rsidRPr="005749A0" w:rsidRDefault="00ED4694" w:rsidP="00177C07">
            <w:pPr>
              <w:pStyle w:val="Sansinterligne"/>
              <w:jc w:val="both"/>
              <w:rPr>
                <w:rFonts w:ascii="Arial" w:hAnsi="Arial" w:cs="Arial"/>
                <w:color w:val="000000" w:themeColor="text1"/>
                <w:sz w:val="20"/>
                <w:szCs w:val="20"/>
              </w:rPr>
            </w:pPr>
            <w:r>
              <w:rPr>
                <w:rFonts w:ascii="Arial" w:hAnsi="Arial" w:cs="Arial"/>
                <w:color w:val="000000" w:themeColor="text1"/>
                <w:sz w:val="20"/>
                <w:szCs w:val="20"/>
              </w:rPr>
              <w:t xml:space="preserve">- </w:t>
            </w:r>
            <w:r w:rsidRPr="005749A0">
              <w:rPr>
                <w:rFonts w:ascii="Arial" w:hAnsi="Arial" w:cs="Arial"/>
                <w:color w:val="000000" w:themeColor="text1"/>
                <w:sz w:val="20"/>
                <w:szCs w:val="20"/>
              </w:rPr>
              <w:t xml:space="preserve">Bonne lisibilité </w:t>
            </w:r>
          </w:p>
          <w:p w14:paraId="15DFDE59" w14:textId="77777777" w:rsidR="00ED4694" w:rsidRDefault="00ED4694" w:rsidP="00177C07">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 xml:space="preserve">-Retroéclairage écran </w:t>
            </w:r>
          </w:p>
          <w:p w14:paraId="4861B8A6" w14:textId="77777777" w:rsidR="00ED4694" w:rsidRDefault="00ED4694" w:rsidP="00177C07">
            <w:pPr>
              <w:pStyle w:val="Sansinterligne"/>
              <w:jc w:val="both"/>
              <w:rPr>
                <w:rFonts w:ascii="Arial" w:hAnsi="Arial" w:cs="Arial"/>
                <w:color w:val="000000" w:themeColor="text1"/>
                <w:sz w:val="20"/>
                <w:szCs w:val="20"/>
              </w:rPr>
            </w:pPr>
            <w:r>
              <w:rPr>
                <w:rFonts w:ascii="Arial" w:hAnsi="Arial" w:cs="Arial"/>
                <w:color w:val="000000" w:themeColor="text1"/>
                <w:sz w:val="20"/>
                <w:szCs w:val="20"/>
              </w:rPr>
              <w:t xml:space="preserve">- </w:t>
            </w:r>
            <w:r w:rsidRPr="005749A0">
              <w:rPr>
                <w:rFonts w:ascii="Arial" w:hAnsi="Arial" w:cs="Arial"/>
                <w:color w:val="000000" w:themeColor="text1"/>
                <w:sz w:val="20"/>
                <w:szCs w:val="20"/>
              </w:rPr>
              <w:t xml:space="preserve">Glycémie et cétonémie </w:t>
            </w:r>
          </w:p>
          <w:p w14:paraId="67F59A9C" w14:textId="77777777" w:rsidR="00ED4694" w:rsidRDefault="00ED4694" w:rsidP="00177C07">
            <w:pPr>
              <w:pStyle w:val="Sansinterligne"/>
              <w:jc w:val="both"/>
              <w:rPr>
                <w:rFonts w:ascii="Arial" w:hAnsi="Arial" w:cs="Arial"/>
                <w:color w:val="000000" w:themeColor="text1"/>
                <w:sz w:val="20"/>
                <w:szCs w:val="20"/>
              </w:rPr>
            </w:pPr>
            <w:r>
              <w:rPr>
                <w:rFonts w:ascii="Arial" w:hAnsi="Arial" w:cs="Arial"/>
                <w:color w:val="000000" w:themeColor="text1"/>
                <w:sz w:val="20"/>
                <w:szCs w:val="20"/>
              </w:rPr>
              <w:t>- S</w:t>
            </w:r>
            <w:r w:rsidRPr="005749A0">
              <w:rPr>
                <w:rFonts w:ascii="Arial" w:hAnsi="Arial" w:cs="Arial"/>
                <w:color w:val="000000" w:themeColor="text1"/>
                <w:sz w:val="20"/>
                <w:szCs w:val="20"/>
              </w:rPr>
              <w:t>ans code</w:t>
            </w:r>
          </w:p>
          <w:p w14:paraId="54393880" w14:textId="77777777" w:rsidR="00ED4694" w:rsidRDefault="00ED4694" w:rsidP="00177C07">
            <w:pPr>
              <w:pStyle w:val="Sansinterligne"/>
              <w:jc w:val="both"/>
              <w:rPr>
                <w:rFonts w:ascii="Arial" w:hAnsi="Arial" w:cs="Arial"/>
                <w:color w:val="000000" w:themeColor="text1"/>
                <w:sz w:val="20"/>
                <w:szCs w:val="20"/>
              </w:rPr>
            </w:pPr>
            <w:r>
              <w:rPr>
                <w:rFonts w:ascii="Arial" w:hAnsi="Arial" w:cs="Arial"/>
                <w:color w:val="000000" w:themeColor="text1"/>
                <w:sz w:val="20"/>
                <w:szCs w:val="20"/>
              </w:rPr>
              <w:t xml:space="preserve">- </w:t>
            </w:r>
            <w:r w:rsidRPr="005749A0">
              <w:rPr>
                <w:rFonts w:ascii="Arial" w:hAnsi="Arial" w:cs="Arial"/>
                <w:color w:val="000000" w:themeColor="text1"/>
                <w:sz w:val="20"/>
                <w:szCs w:val="20"/>
              </w:rPr>
              <w:t>Hôpital et ville (éducation)</w:t>
            </w:r>
          </w:p>
          <w:p w14:paraId="32395A92" w14:textId="77777777" w:rsidR="00ED4694" w:rsidRDefault="00ED4694" w:rsidP="00177C07">
            <w:pPr>
              <w:pStyle w:val="Sansinterligne"/>
              <w:jc w:val="both"/>
              <w:rPr>
                <w:rFonts w:ascii="Arial" w:hAnsi="Arial" w:cs="Arial"/>
                <w:color w:val="000000" w:themeColor="text1"/>
                <w:sz w:val="20"/>
                <w:szCs w:val="20"/>
              </w:rPr>
            </w:pPr>
          </w:p>
        </w:tc>
        <w:tc>
          <w:tcPr>
            <w:tcW w:w="2693" w:type="dxa"/>
          </w:tcPr>
          <w:p w14:paraId="5D54653C" w14:textId="77777777" w:rsidR="00ED4694" w:rsidRDefault="00ED4694" w:rsidP="00177C07">
            <w:pPr>
              <w:pStyle w:val="Sansinterligne"/>
              <w:jc w:val="both"/>
              <w:rPr>
                <w:rFonts w:ascii="Arial" w:hAnsi="Arial" w:cs="Arial"/>
                <w:color w:val="000000" w:themeColor="text1"/>
                <w:sz w:val="20"/>
                <w:szCs w:val="20"/>
              </w:rPr>
            </w:pPr>
            <w:r w:rsidRPr="008A0E71">
              <w:rPr>
                <w:rFonts w:ascii="Arial" w:hAnsi="Arial" w:cs="Arial"/>
                <w:color w:val="000000" w:themeColor="text1"/>
                <w:sz w:val="20"/>
                <w:szCs w:val="20"/>
                <w:u w:val="single"/>
              </w:rPr>
              <w:t>Technique</w:t>
            </w:r>
            <w:r>
              <w:rPr>
                <w:rFonts w:ascii="Arial" w:hAnsi="Arial" w:cs="Arial"/>
                <w:color w:val="000000" w:themeColor="text1"/>
                <w:sz w:val="20"/>
                <w:szCs w:val="20"/>
              </w:rPr>
              <w:t> :</w:t>
            </w:r>
          </w:p>
          <w:p w14:paraId="09BC929B" w14:textId="77777777" w:rsidR="00ED4694" w:rsidRPr="005749A0" w:rsidRDefault="00ED4694" w:rsidP="00177C07">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Lavage des mains</w:t>
            </w:r>
            <w:r>
              <w:rPr>
                <w:rFonts w:ascii="Arial" w:hAnsi="Arial" w:cs="Arial"/>
                <w:color w:val="000000" w:themeColor="text1"/>
                <w:sz w:val="20"/>
                <w:szCs w:val="20"/>
              </w:rPr>
              <w:t xml:space="preserve">, </w:t>
            </w:r>
            <w:r w:rsidRPr="005749A0">
              <w:rPr>
                <w:rFonts w:ascii="Arial" w:hAnsi="Arial" w:cs="Arial"/>
                <w:color w:val="000000" w:themeColor="text1"/>
                <w:sz w:val="20"/>
                <w:szCs w:val="20"/>
              </w:rPr>
              <w:t>3 derniers doigts</w:t>
            </w:r>
            <w:r>
              <w:rPr>
                <w:rFonts w:ascii="Arial" w:hAnsi="Arial" w:cs="Arial"/>
                <w:color w:val="000000" w:themeColor="text1"/>
                <w:sz w:val="20"/>
                <w:szCs w:val="20"/>
              </w:rPr>
              <w:t xml:space="preserve">, </w:t>
            </w:r>
            <w:r w:rsidRPr="005749A0">
              <w:rPr>
                <w:rFonts w:ascii="Arial" w:hAnsi="Arial" w:cs="Arial"/>
                <w:color w:val="000000" w:themeColor="text1"/>
                <w:sz w:val="20"/>
                <w:szCs w:val="20"/>
              </w:rPr>
              <w:t>Face latérale</w:t>
            </w:r>
            <w:r>
              <w:rPr>
                <w:rFonts w:ascii="Arial" w:hAnsi="Arial" w:cs="Arial"/>
                <w:color w:val="000000" w:themeColor="text1"/>
                <w:sz w:val="20"/>
                <w:szCs w:val="20"/>
              </w:rPr>
              <w:t xml:space="preserve">, </w:t>
            </w:r>
            <w:r w:rsidRPr="005749A0">
              <w:rPr>
                <w:rFonts w:ascii="Arial" w:hAnsi="Arial" w:cs="Arial"/>
                <w:color w:val="000000" w:themeColor="text1"/>
                <w:sz w:val="20"/>
                <w:szCs w:val="20"/>
              </w:rPr>
              <w:t>Sites alternatifs</w:t>
            </w:r>
            <w:r>
              <w:rPr>
                <w:rFonts w:ascii="Arial" w:hAnsi="Arial" w:cs="Arial"/>
                <w:color w:val="000000" w:themeColor="text1"/>
                <w:sz w:val="20"/>
                <w:szCs w:val="20"/>
              </w:rPr>
              <w:t xml:space="preserve">, </w:t>
            </w:r>
            <w:r w:rsidRPr="005749A0">
              <w:rPr>
                <w:rFonts w:ascii="Arial" w:hAnsi="Arial" w:cs="Arial"/>
                <w:color w:val="000000" w:themeColor="text1"/>
                <w:sz w:val="20"/>
                <w:szCs w:val="20"/>
              </w:rPr>
              <w:t xml:space="preserve">(Code ++) </w:t>
            </w:r>
          </w:p>
          <w:p w14:paraId="2250F5B0" w14:textId="77777777" w:rsidR="00ED4694" w:rsidRDefault="00ED4694" w:rsidP="00177C07">
            <w:pPr>
              <w:pStyle w:val="Sansinterligne"/>
              <w:jc w:val="both"/>
              <w:rPr>
                <w:rFonts w:ascii="Arial" w:hAnsi="Arial" w:cs="Arial"/>
                <w:color w:val="000000" w:themeColor="text1"/>
                <w:sz w:val="20"/>
                <w:szCs w:val="20"/>
              </w:rPr>
            </w:pPr>
          </w:p>
        </w:tc>
      </w:tr>
      <w:tr w:rsidR="00ED4694" w14:paraId="20B7A4B5" w14:textId="77777777" w:rsidTr="00177C07">
        <w:tc>
          <w:tcPr>
            <w:tcW w:w="6232" w:type="dxa"/>
            <w:gridSpan w:val="2"/>
          </w:tcPr>
          <w:p w14:paraId="4A99E9C0" w14:textId="77777777" w:rsidR="00ED4694" w:rsidRDefault="00ED4694" w:rsidP="00177C07">
            <w:pPr>
              <w:pStyle w:val="Sansinterligne"/>
              <w:jc w:val="both"/>
              <w:rPr>
                <w:rFonts w:ascii="Arial" w:hAnsi="Arial" w:cs="Arial"/>
                <w:color w:val="000000" w:themeColor="text1"/>
                <w:sz w:val="20"/>
                <w:szCs w:val="20"/>
              </w:rPr>
            </w:pPr>
            <w:r w:rsidRPr="00EE21E8">
              <w:rPr>
                <w:rFonts w:ascii="Arial" w:hAnsi="Arial" w:cs="Arial"/>
                <w:color w:val="000000" w:themeColor="text1"/>
                <w:sz w:val="20"/>
                <w:szCs w:val="20"/>
                <w:u w:val="single"/>
              </w:rPr>
              <w:t>Prise en charge</w:t>
            </w:r>
            <w:r>
              <w:rPr>
                <w:rFonts w:ascii="Arial" w:hAnsi="Arial" w:cs="Arial"/>
                <w:color w:val="000000" w:themeColor="text1"/>
                <w:sz w:val="20"/>
                <w:szCs w:val="20"/>
              </w:rPr>
              <w:t> :</w:t>
            </w:r>
          </w:p>
          <w:p w14:paraId="0DA954DA" w14:textId="77777777" w:rsidR="00ED4694" w:rsidRDefault="00ED4694" w:rsidP="00177C07">
            <w:pPr>
              <w:pStyle w:val="Sansinterligne"/>
              <w:jc w:val="both"/>
              <w:rPr>
                <w:rFonts w:ascii="Arial" w:hAnsi="Arial" w:cs="Arial"/>
                <w:color w:val="000000" w:themeColor="text1"/>
                <w:sz w:val="20"/>
                <w:szCs w:val="20"/>
              </w:rPr>
            </w:pPr>
            <w:r>
              <w:rPr>
                <w:rFonts w:ascii="Arial" w:hAnsi="Arial" w:cs="Arial"/>
                <w:color w:val="000000" w:themeColor="text1"/>
                <w:sz w:val="20"/>
                <w:szCs w:val="20"/>
              </w:rPr>
              <w:t>1 l</w:t>
            </w:r>
            <w:r w:rsidRPr="005749A0">
              <w:rPr>
                <w:rFonts w:ascii="Arial" w:hAnsi="Arial" w:cs="Arial"/>
                <w:color w:val="000000" w:themeColor="text1"/>
                <w:sz w:val="20"/>
                <w:szCs w:val="20"/>
              </w:rPr>
              <w:t>ecteur tous les 4 ans chez l’adulte</w:t>
            </w:r>
          </w:p>
          <w:p w14:paraId="3428EA77" w14:textId="77777777" w:rsidR="00ED4694" w:rsidRPr="00EE21E8" w:rsidRDefault="00ED4694" w:rsidP="00177C07">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 xml:space="preserve">2 lecteurs par période de 4 ans chez l’enfant </w:t>
            </w:r>
          </w:p>
        </w:tc>
      </w:tr>
    </w:tbl>
    <w:p w14:paraId="4036868D" w14:textId="77777777" w:rsidR="00ED4694" w:rsidRDefault="00ED4694" w:rsidP="00ED4694">
      <w:pPr>
        <w:pStyle w:val="Sansinterligne"/>
        <w:jc w:val="both"/>
        <w:rPr>
          <w:rFonts w:ascii="Arial" w:hAnsi="Arial" w:cs="Arial"/>
          <w:color w:val="000000" w:themeColor="text1"/>
          <w:sz w:val="20"/>
          <w:szCs w:val="20"/>
        </w:rPr>
      </w:pPr>
      <w:r w:rsidRPr="005749A0">
        <w:rPr>
          <w:rFonts w:ascii="Arial" w:hAnsi="Arial" w:cs="Arial"/>
          <w:noProof/>
          <w:color w:val="000000" w:themeColor="text1"/>
          <w:sz w:val="20"/>
          <w:szCs w:val="20"/>
        </w:rPr>
        <w:drawing>
          <wp:anchor distT="0" distB="0" distL="114300" distR="114300" simplePos="0" relativeHeight="251740160" behindDoc="1" locked="0" layoutInCell="1" allowOverlap="1" wp14:anchorId="56F40DAE" wp14:editId="6BBD9FC1">
            <wp:simplePos x="0" y="0"/>
            <wp:positionH relativeFrom="column">
              <wp:posOffset>5080</wp:posOffset>
            </wp:positionH>
            <wp:positionV relativeFrom="paragraph">
              <wp:posOffset>77831</wp:posOffset>
            </wp:positionV>
            <wp:extent cx="2050415" cy="1764030"/>
            <wp:effectExtent l="0" t="0" r="0" b="1270"/>
            <wp:wrapTight wrapText="bothSides">
              <wp:wrapPolygon edited="0">
                <wp:start x="0" y="0"/>
                <wp:lineTo x="0" y="21460"/>
                <wp:lineTo x="21406" y="21460"/>
                <wp:lineTo x="21406" y="0"/>
                <wp:lineTo x="0" y="0"/>
              </wp:wrapPolygon>
            </wp:wrapTight>
            <wp:docPr id="327576906" name="Image 247" descr="page51image68510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ge51image68510320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50415" cy="1764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D49E0D" w14:textId="77777777" w:rsidR="00ED4694" w:rsidRDefault="00ED4694" w:rsidP="00ED4694">
      <w:pPr>
        <w:pStyle w:val="Sansinterligne"/>
        <w:jc w:val="both"/>
        <w:rPr>
          <w:rFonts w:ascii="Arial" w:hAnsi="Arial" w:cs="Arial"/>
          <w:color w:val="000000" w:themeColor="text1"/>
          <w:sz w:val="20"/>
          <w:szCs w:val="20"/>
        </w:rPr>
      </w:pPr>
    </w:p>
    <w:p w14:paraId="25C00F7F" w14:textId="77777777" w:rsidR="00ED4694" w:rsidRDefault="00ED4694" w:rsidP="00ED4694">
      <w:pPr>
        <w:pStyle w:val="Sansinterligne"/>
        <w:jc w:val="both"/>
        <w:rPr>
          <w:rFonts w:ascii="Arial" w:hAnsi="Arial" w:cs="Arial"/>
          <w:color w:val="000000" w:themeColor="text1"/>
          <w:sz w:val="20"/>
          <w:szCs w:val="20"/>
        </w:rPr>
      </w:pPr>
    </w:p>
    <w:p w14:paraId="541F4C82" w14:textId="77777777" w:rsidR="00ED4694" w:rsidRDefault="00ED4694" w:rsidP="00ED4694">
      <w:pPr>
        <w:pStyle w:val="Sansinterligne"/>
        <w:jc w:val="both"/>
        <w:rPr>
          <w:rFonts w:ascii="Arial" w:hAnsi="Arial" w:cs="Arial"/>
          <w:color w:val="000000" w:themeColor="text1"/>
          <w:sz w:val="20"/>
          <w:szCs w:val="20"/>
        </w:rPr>
      </w:pPr>
    </w:p>
    <w:p w14:paraId="4FC6FB1B" w14:textId="77777777" w:rsidR="00ED4694" w:rsidRPr="008A0E71" w:rsidRDefault="00ED4694" w:rsidP="00ED4694">
      <w:pPr>
        <w:pStyle w:val="Sansinterligne"/>
        <w:jc w:val="both"/>
        <w:rPr>
          <w:rFonts w:ascii="Arial" w:hAnsi="Arial" w:cs="Arial"/>
          <w:color w:val="000000" w:themeColor="text1"/>
          <w:sz w:val="20"/>
          <w:szCs w:val="20"/>
          <w:u w:val="single"/>
        </w:rPr>
      </w:pPr>
    </w:p>
    <w:p w14:paraId="1F9C1985" w14:textId="77777777" w:rsidR="00ED4694" w:rsidRDefault="00ED4694" w:rsidP="00ED4694">
      <w:pPr>
        <w:pStyle w:val="Sansinterligne"/>
        <w:jc w:val="both"/>
        <w:rPr>
          <w:rFonts w:ascii="Arial" w:hAnsi="Arial" w:cs="Arial"/>
          <w:color w:val="000000" w:themeColor="text1"/>
          <w:sz w:val="20"/>
          <w:szCs w:val="20"/>
        </w:rPr>
      </w:pPr>
    </w:p>
    <w:p w14:paraId="428BCD92" w14:textId="77777777" w:rsidR="00ED4694" w:rsidRPr="005749A0" w:rsidRDefault="00ED4694" w:rsidP="00ED4694">
      <w:pPr>
        <w:pStyle w:val="Sansinterligne"/>
        <w:jc w:val="both"/>
        <w:rPr>
          <w:rFonts w:ascii="Arial" w:hAnsi="Arial" w:cs="Arial"/>
          <w:color w:val="000000" w:themeColor="text1"/>
          <w:sz w:val="20"/>
          <w:szCs w:val="20"/>
        </w:rPr>
      </w:pPr>
    </w:p>
    <w:p w14:paraId="085A341B" w14:textId="77777777" w:rsidR="00ED4694" w:rsidRDefault="00ED4694" w:rsidP="00ED4694">
      <w:pPr>
        <w:pStyle w:val="Sansinterligne"/>
        <w:jc w:val="both"/>
        <w:rPr>
          <w:rFonts w:ascii="Arial" w:hAnsi="Arial" w:cs="Arial"/>
          <w:color w:val="000000" w:themeColor="text1"/>
          <w:sz w:val="20"/>
          <w:szCs w:val="20"/>
        </w:rPr>
      </w:pPr>
    </w:p>
    <w:p w14:paraId="078DB007" w14:textId="77777777" w:rsidR="00ED4694" w:rsidRDefault="00ED4694" w:rsidP="00ED4694">
      <w:pPr>
        <w:pStyle w:val="Sansinterligne"/>
        <w:jc w:val="both"/>
        <w:rPr>
          <w:rFonts w:ascii="Arial" w:hAnsi="Arial" w:cs="Arial"/>
          <w:color w:val="000000" w:themeColor="text1"/>
          <w:sz w:val="20"/>
          <w:szCs w:val="20"/>
        </w:rPr>
      </w:pPr>
    </w:p>
    <w:p w14:paraId="61A6A334" w14:textId="77777777" w:rsidR="00ED4694" w:rsidRDefault="00ED4694" w:rsidP="00ED4694">
      <w:pPr>
        <w:pStyle w:val="Sansinterligne"/>
        <w:jc w:val="both"/>
        <w:rPr>
          <w:rFonts w:ascii="Arial" w:hAnsi="Arial" w:cs="Arial"/>
          <w:color w:val="000000" w:themeColor="text1"/>
          <w:sz w:val="20"/>
          <w:szCs w:val="20"/>
        </w:rPr>
      </w:pPr>
    </w:p>
    <w:p w14:paraId="50CFF79A" w14:textId="77777777" w:rsidR="00ED4694" w:rsidRDefault="00ED4694" w:rsidP="00ED4694">
      <w:pPr>
        <w:pStyle w:val="Sansinterligne"/>
        <w:jc w:val="both"/>
        <w:rPr>
          <w:rFonts w:ascii="Arial" w:hAnsi="Arial" w:cs="Arial"/>
          <w:color w:val="000000" w:themeColor="text1"/>
          <w:sz w:val="20"/>
          <w:szCs w:val="20"/>
        </w:rPr>
      </w:pPr>
    </w:p>
    <w:p w14:paraId="555AB67F" w14:textId="77777777" w:rsidR="00ED4694" w:rsidRDefault="00ED4694" w:rsidP="00ED4694">
      <w:pPr>
        <w:pStyle w:val="Sansinterligne"/>
        <w:jc w:val="both"/>
        <w:rPr>
          <w:rFonts w:ascii="Arial" w:hAnsi="Arial" w:cs="Arial"/>
          <w:color w:val="000000" w:themeColor="text1"/>
          <w:sz w:val="20"/>
          <w:szCs w:val="20"/>
        </w:rPr>
      </w:pPr>
    </w:p>
    <w:p w14:paraId="14180107" w14:textId="77777777" w:rsidR="00ED4694" w:rsidRDefault="00ED4694" w:rsidP="00ED4694">
      <w:pPr>
        <w:pStyle w:val="Sansinterligne"/>
        <w:jc w:val="both"/>
        <w:rPr>
          <w:rFonts w:ascii="Arial" w:hAnsi="Arial" w:cs="Arial"/>
          <w:color w:val="000000" w:themeColor="text1"/>
          <w:sz w:val="20"/>
          <w:szCs w:val="20"/>
        </w:rPr>
      </w:pPr>
    </w:p>
    <w:p w14:paraId="77EC29AE" w14:textId="77777777" w:rsidR="00ED4694" w:rsidRDefault="00ED4694" w:rsidP="00ED4694">
      <w:pPr>
        <w:pStyle w:val="Sansinterligne"/>
        <w:jc w:val="both"/>
        <w:rPr>
          <w:rFonts w:ascii="Arial" w:hAnsi="Arial" w:cs="Arial"/>
          <w:color w:val="000000" w:themeColor="text1"/>
          <w:sz w:val="20"/>
          <w:szCs w:val="20"/>
        </w:rPr>
      </w:pPr>
      <w:r w:rsidRPr="005749A0">
        <w:rPr>
          <w:rFonts w:ascii="Arial" w:hAnsi="Arial" w:cs="Arial"/>
          <w:noProof/>
          <w:color w:val="000000" w:themeColor="text1"/>
          <w:sz w:val="20"/>
          <w:szCs w:val="20"/>
        </w:rPr>
        <w:drawing>
          <wp:anchor distT="0" distB="0" distL="114300" distR="114300" simplePos="0" relativeHeight="251742208" behindDoc="1" locked="0" layoutInCell="1" allowOverlap="1" wp14:anchorId="64A69D42" wp14:editId="417C2DB7">
            <wp:simplePos x="0" y="0"/>
            <wp:positionH relativeFrom="column">
              <wp:posOffset>4299593</wp:posOffset>
            </wp:positionH>
            <wp:positionV relativeFrom="paragraph">
              <wp:posOffset>125754</wp:posOffset>
            </wp:positionV>
            <wp:extent cx="1264285" cy="845820"/>
            <wp:effectExtent l="0" t="0" r="5715" b="5080"/>
            <wp:wrapTight wrapText="bothSides">
              <wp:wrapPolygon edited="0">
                <wp:start x="0" y="0"/>
                <wp:lineTo x="0" y="21405"/>
                <wp:lineTo x="21481" y="21405"/>
                <wp:lineTo x="21481" y="0"/>
                <wp:lineTo x="0" y="0"/>
              </wp:wrapPolygon>
            </wp:wrapTight>
            <wp:docPr id="1104705850" name="Image 239" descr="page52image68519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age52image68519163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264285" cy="845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49A0">
        <w:rPr>
          <w:rFonts w:ascii="Arial" w:hAnsi="Arial" w:cs="Arial"/>
          <w:noProof/>
          <w:color w:val="000000" w:themeColor="text1"/>
          <w:sz w:val="20"/>
          <w:szCs w:val="20"/>
        </w:rPr>
        <w:drawing>
          <wp:anchor distT="0" distB="0" distL="114300" distR="114300" simplePos="0" relativeHeight="251741184" behindDoc="1" locked="0" layoutInCell="1" allowOverlap="1" wp14:anchorId="7E4850D1" wp14:editId="37516F51">
            <wp:simplePos x="0" y="0"/>
            <wp:positionH relativeFrom="column">
              <wp:posOffset>5733415</wp:posOffset>
            </wp:positionH>
            <wp:positionV relativeFrom="paragraph">
              <wp:posOffset>123214</wp:posOffset>
            </wp:positionV>
            <wp:extent cx="950595" cy="883920"/>
            <wp:effectExtent l="0" t="0" r="1905" b="5080"/>
            <wp:wrapTight wrapText="bothSides">
              <wp:wrapPolygon edited="0">
                <wp:start x="0" y="0"/>
                <wp:lineTo x="0" y="21414"/>
                <wp:lineTo x="21355" y="21414"/>
                <wp:lineTo x="21355" y="0"/>
                <wp:lineTo x="0" y="0"/>
              </wp:wrapPolygon>
            </wp:wrapTight>
            <wp:docPr id="622649968" name="Image 238" descr="page52image68519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age52image68519193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50595" cy="883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07E4A2" w14:textId="77777777" w:rsidR="00ED4694" w:rsidRPr="005749A0" w:rsidRDefault="00ED4694" w:rsidP="00ED4694">
      <w:pPr>
        <w:pStyle w:val="Sansinterligne"/>
        <w:jc w:val="both"/>
        <w:rPr>
          <w:rFonts w:ascii="Arial" w:hAnsi="Arial" w:cs="Arial"/>
          <w:color w:val="000000" w:themeColor="text1"/>
          <w:sz w:val="20"/>
          <w:szCs w:val="20"/>
        </w:rPr>
      </w:pPr>
    </w:p>
    <w:p w14:paraId="5BDAEE65" w14:textId="77777777" w:rsidR="00ED4694" w:rsidRPr="005749A0" w:rsidRDefault="00ED4694" w:rsidP="00ED4694">
      <w:pPr>
        <w:pStyle w:val="Sansinterligne"/>
        <w:jc w:val="both"/>
        <w:rPr>
          <w:rFonts w:ascii="Arial" w:hAnsi="Arial" w:cs="Arial"/>
          <w:color w:val="000000" w:themeColor="text1"/>
          <w:sz w:val="20"/>
          <w:szCs w:val="20"/>
        </w:rPr>
      </w:pPr>
      <w:r w:rsidRPr="008A0E71">
        <w:rPr>
          <w:rFonts w:ascii="Arial" w:hAnsi="Arial" w:cs="Arial"/>
          <w:color w:val="000000" w:themeColor="text1"/>
          <w:sz w:val="20"/>
          <w:szCs w:val="20"/>
          <w:u w:val="single"/>
        </w:rPr>
        <w:t>Choix du matériel </w:t>
      </w:r>
      <w:r>
        <w:rPr>
          <w:rFonts w:ascii="Arial" w:hAnsi="Arial" w:cs="Arial"/>
          <w:color w:val="000000" w:themeColor="text1"/>
          <w:sz w:val="20"/>
          <w:szCs w:val="20"/>
        </w:rPr>
        <w:t xml:space="preserve">: </w:t>
      </w:r>
      <w:r w:rsidRPr="005749A0">
        <w:rPr>
          <w:rFonts w:ascii="Arial" w:hAnsi="Arial" w:cs="Arial"/>
          <w:color w:val="000000" w:themeColor="text1"/>
          <w:sz w:val="20"/>
          <w:szCs w:val="20"/>
        </w:rPr>
        <w:t>Dose maximale d’injection</w:t>
      </w:r>
      <w:r>
        <w:rPr>
          <w:rFonts w:ascii="Arial" w:hAnsi="Arial" w:cs="Arial"/>
          <w:color w:val="000000" w:themeColor="text1"/>
          <w:sz w:val="20"/>
          <w:szCs w:val="20"/>
        </w:rPr>
        <w:t xml:space="preserve">, </w:t>
      </w:r>
      <w:r w:rsidRPr="005749A0">
        <w:rPr>
          <w:rFonts w:ascii="Arial" w:hAnsi="Arial" w:cs="Arial"/>
          <w:color w:val="000000" w:themeColor="text1"/>
          <w:sz w:val="20"/>
          <w:szCs w:val="20"/>
        </w:rPr>
        <w:t xml:space="preserve">Palier de réglage </w:t>
      </w:r>
    </w:p>
    <w:p w14:paraId="78F886D5" w14:textId="77777777" w:rsidR="00ED4694" w:rsidRPr="008A0E71" w:rsidRDefault="00ED4694" w:rsidP="00ED4694">
      <w:pPr>
        <w:pStyle w:val="Sansinterligne"/>
        <w:jc w:val="both"/>
        <w:rPr>
          <w:rFonts w:ascii="Arial" w:hAnsi="Arial" w:cs="Arial"/>
          <w:color w:val="000000" w:themeColor="text1"/>
          <w:sz w:val="20"/>
          <w:szCs w:val="20"/>
          <w:u w:val="single"/>
        </w:rPr>
      </w:pPr>
      <w:r w:rsidRPr="008A0E71">
        <w:rPr>
          <w:rFonts w:ascii="Arial" w:hAnsi="Arial" w:cs="Arial"/>
          <w:color w:val="000000" w:themeColor="text1"/>
          <w:sz w:val="20"/>
          <w:szCs w:val="20"/>
          <w:u w:val="single"/>
        </w:rPr>
        <w:t xml:space="preserve">Stylos réutilisables </w:t>
      </w:r>
    </w:p>
    <w:p w14:paraId="71599A07" w14:textId="77777777" w:rsidR="00ED4694" w:rsidRDefault="00ED4694" w:rsidP="00ED4694">
      <w:pPr>
        <w:pStyle w:val="Sansinterligne"/>
        <w:jc w:val="both"/>
        <w:rPr>
          <w:rFonts w:ascii="Arial" w:hAnsi="Arial" w:cs="Arial"/>
          <w:color w:val="000000" w:themeColor="text1"/>
          <w:sz w:val="20"/>
          <w:szCs w:val="20"/>
        </w:rPr>
      </w:pPr>
      <w:r w:rsidRPr="008A0E71">
        <w:rPr>
          <w:rFonts w:ascii="Arial" w:hAnsi="Arial" w:cs="Arial"/>
          <w:noProof/>
          <w:color w:val="000000" w:themeColor="text1"/>
          <w:sz w:val="20"/>
          <w:szCs w:val="20"/>
        </w:rPr>
        <w:lastRenderedPageBreak/>
        <w:drawing>
          <wp:inline distT="0" distB="0" distL="0" distR="0" wp14:anchorId="4A2846F9" wp14:editId="0637A26A">
            <wp:extent cx="6645910" cy="2052320"/>
            <wp:effectExtent l="0" t="0" r="0" b="5080"/>
            <wp:docPr id="3055184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18471" name=""/>
                    <pic:cNvPicPr/>
                  </pic:nvPicPr>
                  <pic:blipFill>
                    <a:blip r:embed="rId143"/>
                    <a:stretch>
                      <a:fillRect/>
                    </a:stretch>
                  </pic:blipFill>
                  <pic:spPr>
                    <a:xfrm>
                      <a:off x="0" y="0"/>
                      <a:ext cx="6645910" cy="2052320"/>
                    </a:xfrm>
                    <a:prstGeom prst="rect">
                      <a:avLst/>
                    </a:prstGeom>
                  </pic:spPr>
                </pic:pic>
              </a:graphicData>
            </a:graphic>
          </wp:inline>
        </w:drawing>
      </w:r>
    </w:p>
    <w:p w14:paraId="1576FA1A" w14:textId="77777777" w:rsidR="00ED4694" w:rsidRDefault="00ED4694" w:rsidP="00ED4694">
      <w:pPr>
        <w:pStyle w:val="Sansinterligne"/>
        <w:jc w:val="both"/>
        <w:rPr>
          <w:rFonts w:ascii="Arial" w:hAnsi="Arial" w:cs="Arial"/>
          <w:color w:val="000000" w:themeColor="text1"/>
          <w:sz w:val="20"/>
          <w:szCs w:val="20"/>
        </w:rPr>
      </w:pPr>
      <w:r w:rsidRPr="008A0E71">
        <w:rPr>
          <w:rFonts w:ascii="Arial" w:hAnsi="Arial" w:cs="Arial"/>
          <w:noProof/>
          <w:color w:val="000000" w:themeColor="text1"/>
          <w:sz w:val="20"/>
          <w:szCs w:val="20"/>
        </w:rPr>
        <w:drawing>
          <wp:inline distT="0" distB="0" distL="0" distR="0" wp14:anchorId="1F5E7BD3" wp14:editId="06C113CA">
            <wp:extent cx="6645910" cy="1835150"/>
            <wp:effectExtent l="0" t="0" r="0" b="6350"/>
            <wp:docPr id="2402238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23847" name=""/>
                    <pic:cNvPicPr/>
                  </pic:nvPicPr>
                  <pic:blipFill>
                    <a:blip r:embed="rId144"/>
                    <a:stretch>
                      <a:fillRect/>
                    </a:stretch>
                  </pic:blipFill>
                  <pic:spPr>
                    <a:xfrm>
                      <a:off x="0" y="0"/>
                      <a:ext cx="6645910" cy="1835150"/>
                    </a:xfrm>
                    <a:prstGeom prst="rect">
                      <a:avLst/>
                    </a:prstGeom>
                  </pic:spPr>
                </pic:pic>
              </a:graphicData>
            </a:graphic>
          </wp:inline>
        </w:drawing>
      </w:r>
    </w:p>
    <w:p w14:paraId="10657F28" w14:textId="77777777" w:rsidR="00ED4694" w:rsidRDefault="00ED4694" w:rsidP="00ED4694">
      <w:pPr>
        <w:pStyle w:val="Sansinterligne"/>
        <w:jc w:val="both"/>
        <w:rPr>
          <w:rFonts w:ascii="Arial" w:hAnsi="Arial" w:cs="Arial"/>
          <w:color w:val="000000" w:themeColor="text1"/>
          <w:sz w:val="20"/>
          <w:szCs w:val="20"/>
        </w:rPr>
      </w:pPr>
    </w:p>
    <w:p w14:paraId="20CBCE7E" w14:textId="77777777" w:rsidR="00ED4694" w:rsidRPr="000B49E7" w:rsidRDefault="00ED4694" w:rsidP="00ED4694">
      <w:pPr>
        <w:pStyle w:val="Sansinterligne"/>
        <w:jc w:val="both"/>
        <w:rPr>
          <w:rFonts w:ascii="Arial" w:hAnsi="Arial" w:cs="Arial"/>
          <w:color w:val="000000" w:themeColor="text1"/>
          <w:sz w:val="20"/>
          <w:szCs w:val="20"/>
          <w:u w:val="single"/>
        </w:rPr>
      </w:pPr>
      <w:r w:rsidRPr="000B49E7">
        <w:rPr>
          <w:rFonts w:ascii="Arial" w:hAnsi="Arial" w:cs="Arial"/>
          <w:color w:val="000000" w:themeColor="text1"/>
          <w:sz w:val="20"/>
          <w:szCs w:val="20"/>
          <w:u w:val="single"/>
        </w:rPr>
        <w:t xml:space="preserve">Choix du matériel : </w:t>
      </w:r>
    </w:p>
    <w:p w14:paraId="45BD6AA6"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Il faut choisir une longueur d’aiguille adaptée à l’épaisseur du tissu sous-cutané </w:t>
      </w:r>
    </w:p>
    <w:p w14:paraId="0EB148F6"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 xml:space="preserve">4 tailles d’aiguille : </w:t>
      </w:r>
      <w:r w:rsidRPr="000B49E7">
        <w:rPr>
          <w:rFonts w:ascii="Arial" w:hAnsi="Arial" w:cs="Arial"/>
          <w:color w:val="000000" w:themeColor="text1"/>
          <w:sz w:val="20"/>
          <w:szCs w:val="20"/>
          <w:u w:val="single"/>
        </w:rPr>
        <w:t>4 mm, 5mm, 8 mm</w:t>
      </w:r>
      <w:r>
        <w:rPr>
          <w:rFonts w:ascii="Arial" w:hAnsi="Arial" w:cs="Arial"/>
          <w:color w:val="000000" w:themeColor="text1"/>
          <w:sz w:val="20"/>
          <w:szCs w:val="20"/>
        </w:rPr>
        <w:t xml:space="preserve">, 12,7 mm </w:t>
      </w:r>
    </w:p>
    <w:p w14:paraId="4248B300" w14:textId="77777777" w:rsidR="00ED4694" w:rsidRPr="00B8047D" w:rsidRDefault="00ED4694" w:rsidP="00ED4694">
      <w:pPr>
        <w:pStyle w:val="Sansinterligne"/>
        <w:numPr>
          <w:ilvl w:val="0"/>
          <w:numId w:val="140"/>
        </w:numPr>
        <w:jc w:val="both"/>
        <w:rPr>
          <w:rFonts w:ascii="Arial" w:hAnsi="Arial" w:cs="Arial"/>
          <w:color w:val="000000" w:themeColor="text1"/>
          <w:sz w:val="20"/>
          <w:szCs w:val="20"/>
        </w:rPr>
      </w:pPr>
      <w:r w:rsidRPr="00B8047D">
        <w:rPr>
          <w:rFonts w:ascii="Arial" w:hAnsi="Arial" w:cs="Arial"/>
          <w:color w:val="000000" w:themeColor="text1"/>
          <w:sz w:val="20"/>
          <w:szCs w:val="20"/>
        </w:rPr>
        <w:t xml:space="preserve">Risques liés à la longueur de l'aiguille : </w:t>
      </w:r>
    </w:p>
    <w:p w14:paraId="7A07D23A" w14:textId="77777777" w:rsidR="00ED4694" w:rsidRPr="00B8047D" w:rsidRDefault="00ED4694" w:rsidP="00ED4694">
      <w:pPr>
        <w:pStyle w:val="Sansinterligne"/>
        <w:numPr>
          <w:ilvl w:val="1"/>
          <w:numId w:val="140"/>
        </w:numPr>
        <w:jc w:val="both"/>
        <w:rPr>
          <w:rFonts w:ascii="Arial" w:hAnsi="Arial" w:cs="Arial"/>
          <w:color w:val="000000" w:themeColor="text1"/>
          <w:sz w:val="20"/>
          <w:szCs w:val="20"/>
        </w:rPr>
      </w:pPr>
      <w:r w:rsidRPr="00B8047D">
        <w:rPr>
          <w:rFonts w:ascii="Arial" w:hAnsi="Arial" w:cs="Arial"/>
          <w:color w:val="000000" w:themeColor="text1"/>
          <w:sz w:val="20"/>
          <w:szCs w:val="20"/>
        </w:rPr>
        <w:t xml:space="preserve">les aiguilles courtes induisent une perte d'insuline à la fin de l'injection (goutte qui "ressort" sur la peau) : déséquilibre du contrôle glycémique </w:t>
      </w:r>
    </w:p>
    <w:p w14:paraId="1918E300" w14:textId="77777777" w:rsidR="00ED4694" w:rsidRPr="00B8047D" w:rsidRDefault="00ED4694" w:rsidP="00ED4694">
      <w:pPr>
        <w:pStyle w:val="Sansinterligne"/>
        <w:numPr>
          <w:ilvl w:val="1"/>
          <w:numId w:val="140"/>
        </w:numPr>
        <w:jc w:val="both"/>
        <w:rPr>
          <w:rFonts w:ascii="Arial" w:hAnsi="Arial" w:cs="Arial"/>
          <w:color w:val="000000" w:themeColor="text1"/>
          <w:sz w:val="20"/>
          <w:szCs w:val="20"/>
        </w:rPr>
      </w:pPr>
      <w:r w:rsidRPr="00B8047D">
        <w:rPr>
          <w:rFonts w:ascii="Arial" w:hAnsi="Arial" w:cs="Arial"/>
          <w:color w:val="000000" w:themeColor="text1"/>
          <w:sz w:val="20"/>
          <w:szCs w:val="20"/>
        </w:rPr>
        <w:t xml:space="preserve">Si une goutte perle encore à la fin de l'injection, passer à une aiguille de longueur supérieure </w:t>
      </w:r>
    </w:p>
    <w:p w14:paraId="6AC92813" w14:textId="77777777" w:rsidR="00ED4694" w:rsidRPr="00B8047D" w:rsidRDefault="00ED4694" w:rsidP="00ED4694">
      <w:pPr>
        <w:pStyle w:val="Sansinterligne"/>
        <w:numPr>
          <w:ilvl w:val="1"/>
          <w:numId w:val="140"/>
        </w:numPr>
        <w:jc w:val="both"/>
        <w:rPr>
          <w:rFonts w:ascii="Arial" w:hAnsi="Arial" w:cs="Arial"/>
          <w:color w:val="000000" w:themeColor="text1"/>
          <w:sz w:val="20"/>
          <w:szCs w:val="20"/>
        </w:rPr>
      </w:pPr>
      <w:r w:rsidRPr="00B8047D">
        <w:rPr>
          <w:rFonts w:ascii="Arial" w:hAnsi="Arial" w:cs="Arial"/>
          <w:color w:val="000000" w:themeColor="text1"/>
          <w:sz w:val="20"/>
          <w:szCs w:val="20"/>
        </w:rPr>
        <w:t>les aiguilles longues induisent un risque d'injection dans le muscle, qui conduit : à une diffusion plus rapide de l'insuline : déséquilibre du contrôle glycémique, au risque d'induire hématome (bleu) et douleur</w:t>
      </w:r>
    </w:p>
    <w:p w14:paraId="42136021" w14:textId="77777777" w:rsidR="00ED4694" w:rsidRPr="00B8047D" w:rsidRDefault="00ED4694" w:rsidP="00ED4694">
      <w:pPr>
        <w:pStyle w:val="Sansinterligne"/>
        <w:numPr>
          <w:ilvl w:val="1"/>
          <w:numId w:val="140"/>
        </w:numPr>
        <w:jc w:val="both"/>
        <w:rPr>
          <w:rFonts w:ascii="Arial" w:hAnsi="Arial" w:cs="Arial"/>
          <w:color w:val="000000" w:themeColor="text1"/>
          <w:sz w:val="20"/>
          <w:szCs w:val="20"/>
        </w:rPr>
      </w:pPr>
      <w:r w:rsidRPr="00B8047D">
        <w:rPr>
          <w:rFonts w:ascii="Arial" w:hAnsi="Arial" w:cs="Arial"/>
          <w:color w:val="000000" w:themeColor="text1"/>
          <w:sz w:val="20"/>
          <w:szCs w:val="20"/>
        </w:rPr>
        <w:t>Une goutte restante après l'injection peut être induite par une injection trop rapide.</w:t>
      </w:r>
    </w:p>
    <w:p w14:paraId="7C5BBC4F" w14:textId="77777777" w:rsidR="00ED4694" w:rsidRPr="00B8047D" w:rsidRDefault="00ED4694" w:rsidP="00ED4694">
      <w:pPr>
        <w:pStyle w:val="Sansinterligne"/>
        <w:numPr>
          <w:ilvl w:val="1"/>
          <w:numId w:val="140"/>
        </w:numPr>
        <w:jc w:val="both"/>
        <w:rPr>
          <w:rFonts w:ascii="Arial" w:hAnsi="Arial" w:cs="Arial"/>
          <w:color w:val="000000" w:themeColor="text1"/>
          <w:sz w:val="20"/>
          <w:szCs w:val="20"/>
        </w:rPr>
      </w:pPr>
      <w:r w:rsidRPr="00B8047D">
        <w:rPr>
          <w:rFonts w:ascii="Arial" w:hAnsi="Arial" w:cs="Arial"/>
          <w:color w:val="000000" w:themeColor="text1"/>
          <w:sz w:val="20"/>
          <w:szCs w:val="20"/>
        </w:rPr>
        <w:t xml:space="preserve">Pour administrer la dose complète, maintenir le bouchon d'injection enfoncé et compter lentement jusqu'à 10. Retirer ensuite l'aiguille de la peau. </w:t>
      </w:r>
    </w:p>
    <w:p w14:paraId="6654193C" w14:textId="77777777" w:rsidR="00ED4694" w:rsidRPr="005749A0" w:rsidRDefault="00ED4694" w:rsidP="00ED4694">
      <w:pPr>
        <w:pStyle w:val="Sansinterligne"/>
        <w:jc w:val="both"/>
        <w:rPr>
          <w:rFonts w:ascii="Arial" w:hAnsi="Arial" w:cs="Arial"/>
          <w:color w:val="000000" w:themeColor="text1"/>
          <w:sz w:val="20"/>
          <w:szCs w:val="20"/>
        </w:rPr>
      </w:pPr>
    </w:p>
    <w:p w14:paraId="4358FA6C" w14:textId="77777777" w:rsidR="00ED4694" w:rsidRPr="00B8047D" w:rsidRDefault="00ED4694" w:rsidP="00ED4694">
      <w:pPr>
        <w:pStyle w:val="Sansinterligne"/>
        <w:jc w:val="both"/>
        <w:rPr>
          <w:rFonts w:ascii="Arial" w:hAnsi="Arial" w:cs="Arial"/>
          <w:color w:val="000000" w:themeColor="text1"/>
          <w:sz w:val="20"/>
          <w:szCs w:val="20"/>
          <w:u w:val="single"/>
        </w:rPr>
      </w:pPr>
      <w:r w:rsidRPr="00B8047D">
        <w:rPr>
          <w:rFonts w:ascii="Arial" w:hAnsi="Arial" w:cs="Arial"/>
          <w:color w:val="000000" w:themeColor="text1"/>
          <w:sz w:val="20"/>
          <w:szCs w:val="20"/>
          <w:u w:val="single"/>
        </w:rPr>
        <w:t>Administration Insuline</w:t>
      </w:r>
      <w:r>
        <w:rPr>
          <w:rFonts w:ascii="Arial" w:hAnsi="Arial" w:cs="Arial"/>
          <w:color w:val="000000" w:themeColor="text1"/>
          <w:sz w:val="20"/>
          <w:szCs w:val="20"/>
          <w:u w:val="single"/>
        </w:rPr>
        <w:t xml:space="preserve"> : </w:t>
      </w:r>
    </w:p>
    <w:p w14:paraId="478BE317" w14:textId="77777777" w:rsidR="00ED4694" w:rsidRPr="004568DF"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Purge du </w:t>
      </w:r>
      <w:r w:rsidRPr="004568DF">
        <w:rPr>
          <w:rFonts w:ascii="Arial" w:hAnsi="Arial" w:cs="Arial"/>
          <w:color w:val="000000" w:themeColor="text1"/>
          <w:sz w:val="20"/>
          <w:szCs w:val="20"/>
        </w:rPr>
        <w:t xml:space="preserve">stylo garantie que le stylo est prêt à injecter la dose. </w:t>
      </w:r>
    </w:p>
    <w:p w14:paraId="5C93CBBC" w14:textId="77777777" w:rsidR="00ED4694" w:rsidRPr="004568DF" w:rsidRDefault="00ED4694" w:rsidP="00ED4694">
      <w:pPr>
        <w:pStyle w:val="Sansinterligne"/>
        <w:numPr>
          <w:ilvl w:val="1"/>
          <w:numId w:val="140"/>
        </w:numPr>
        <w:jc w:val="both"/>
        <w:rPr>
          <w:rFonts w:ascii="Arial" w:hAnsi="Arial" w:cs="Arial"/>
          <w:color w:val="000000" w:themeColor="text1"/>
          <w:sz w:val="20"/>
          <w:szCs w:val="20"/>
        </w:rPr>
      </w:pPr>
      <w:r w:rsidRPr="004568DF">
        <w:rPr>
          <w:rFonts w:ascii="Arial" w:hAnsi="Arial" w:cs="Arial"/>
          <w:color w:val="000000" w:themeColor="text1"/>
          <w:sz w:val="20"/>
          <w:szCs w:val="20"/>
        </w:rPr>
        <w:t xml:space="preserve">De 2 unités (10 unités en début de stylo) </w:t>
      </w:r>
    </w:p>
    <w:p w14:paraId="2CFBD818" w14:textId="77777777" w:rsidR="00ED4694" w:rsidRPr="004568DF" w:rsidRDefault="00ED4694" w:rsidP="00ED4694">
      <w:pPr>
        <w:pStyle w:val="Sansinterligne"/>
        <w:numPr>
          <w:ilvl w:val="1"/>
          <w:numId w:val="140"/>
        </w:numPr>
        <w:jc w:val="both"/>
        <w:rPr>
          <w:rFonts w:ascii="Arial" w:hAnsi="Arial" w:cs="Arial"/>
          <w:color w:val="000000" w:themeColor="text1"/>
          <w:sz w:val="20"/>
          <w:szCs w:val="20"/>
        </w:rPr>
      </w:pPr>
      <w:r w:rsidRPr="004568DF">
        <w:rPr>
          <w:rFonts w:ascii="Arial" w:hAnsi="Arial" w:cs="Arial"/>
          <w:color w:val="000000" w:themeColor="text1"/>
          <w:sz w:val="20"/>
          <w:szCs w:val="20"/>
        </w:rPr>
        <w:t xml:space="preserve">éliminer les bulles présentent dans la cartouche ou l'aiguille </w:t>
      </w:r>
    </w:p>
    <w:p w14:paraId="549DE0AB" w14:textId="77777777" w:rsidR="00ED4694" w:rsidRPr="004568DF" w:rsidRDefault="00ED4694" w:rsidP="00ED4694">
      <w:pPr>
        <w:pStyle w:val="Sansinterligne"/>
        <w:numPr>
          <w:ilvl w:val="1"/>
          <w:numId w:val="140"/>
        </w:numPr>
        <w:jc w:val="both"/>
        <w:rPr>
          <w:rFonts w:ascii="Arial" w:hAnsi="Arial" w:cs="Arial"/>
          <w:color w:val="000000" w:themeColor="text1"/>
          <w:sz w:val="20"/>
          <w:szCs w:val="20"/>
        </w:rPr>
      </w:pPr>
      <w:r w:rsidRPr="004568DF">
        <w:rPr>
          <w:rFonts w:ascii="Arial" w:hAnsi="Arial" w:cs="Arial"/>
          <w:color w:val="000000" w:themeColor="text1"/>
          <w:sz w:val="20"/>
          <w:szCs w:val="20"/>
        </w:rPr>
        <w:t xml:space="preserve">vérifier que l'aiguille n'est pas bouchée / coudée </w:t>
      </w:r>
    </w:p>
    <w:p w14:paraId="47C0D2B1" w14:textId="77777777" w:rsidR="00ED4694" w:rsidRDefault="00ED4694" w:rsidP="00ED4694">
      <w:pPr>
        <w:pStyle w:val="Sansinterligne"/>
        <w:numPr>
          <w:ilvl w:val="1"/>
          <w:numId w:val="140"/>
        </w:numPr>
        <w:jc w:val="both"/>
        <w:rPr>
          <w:rFonts w:ascii="Arial" w:hAnsi="Arial" w:cs="Arial"/>
          <w:color w:val="000000" w:themeColor="text1"/>
          <w:sz w:val="20"/>
          <w:szCs w:val="20"/>
        </w:rPr>
      </w:pPr>
      <w:r w:rsidRPr="004568DF">
        <w:rPr>
          <w:rFonts w:ascii="Arial" w:hAnsi="Arial" w:cs="Arial"/>
          <w:color w:val="000000" w:themeColor="text1"/>
          <w:sz w:val="20"/>
          <w:szCs w:val="20"/>
        </w:rPr>
        <w:t>vérifier le bon fonctionnement</w:t>
      </w:r>
      <w:r w:rsidRPr="00B8047D">
        <w:rPr>
          <w:rFonts w:ascii="Arial" w:hAnsi="Arial" w:cs="Arial"/>
          <w:b/>
          <w:bCs/>
          <w:color w:val="000000" w:themeColor="text1"/>
          <w:sz w:val="20"/>
          <w:szCs w:val="20"/>
        </w:rPr>
        <w:t xml:space="preserve"> </w:t>
      </w:r>
      <w:r w:rsidRPr="00B8047D">
        <w:rPr>
          <w:rFonts w:ascii="Arial" w:hAnsi="Arial" w:cs="Arial"/>
          <w:color w:val="000000" w:themeColor="text1"/>
          <w:sz w:val="20"/>
          <w:szCs w:val="20"/>
        </w:rPr>
        <w:t xml:space="preserve">du système </w:t>
      </w:r>
    </w:p>
    <w:p w14:paraId="4B5FB095"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B8047D">
        <w:rPr>
          <w:rFonts w:ascii="Arial" w:hAnsi="Arial" w:cs="Arial"/>
          <w:color w:val="000000" w:themeColor="text1"/>
          <w:sz w:val="20"/>
          <w:szCs w:val="20"/>
        </w:rPr>
        <w:t>Importance du site d’injection pour l’équilibre</w:t>
      </w:r>
      <w:r>
        <w:rPr>
          <w:rFonts w:ascii="Arial" w:hAnsi="Arial" w:cs="Arial"/>
          <w:color w:val="000000" w:themeColor="text1"/>
          <w:sz w:val="20"/>
          <w:szCs w:val="20"/>
        </w:rPr>
        <w:t> : m</w:t>
      </w:r>
      <w:r w:rsidRPr="00B8047D">
        <w:rPr>
          <w:rFonts w:ascii="Arial" w:hAnsi="Arial" w:cs="Arial"/>
          <w:color w:val="000000" w:themeColor="text1"/>
          <w:sz w:val="20"/>
          <w:szCs w:val="20"/>
        </w:rPr>
        <w:t>ême moment même zone</w:t>
      </w:r>
      <w:r>
        <w:rPr>
          <w:rFonts w:ascii="Arial" w:hAnsi="Arial" w:cs="Arial"/>
          <w:color w:val="000000" w:themeColor="text1"/>
          <w:sz w:val="20"/>
          <w:szCs w:val="20"/>
        </w:rPr>
        <w:t xml:space="preserve"> : </w:t>
      </w:r>
      <w:r w:rsidRPr="00B8047D">
        <w:rPr>
          <w:rFonts w:ascii="Arial" w:hAnsi="Arial" w:cs="Arial"/>
          <w:color w:val="000000" w:themeColor="text1"/>
          <w:sz w:val="20"/>
          <w:szCs w:val="20"/>
        </w:rPr>
        <w:t>Bras</w:t>
      </w:r>
      <w:r>
        <w:rPr>
          <w:rFonts w:ascii="Arial" w:hAnsi="Arial" w:cs="Arial"/>
          <w:color w:val="000000" w:themeColor="text1"/>
          <w:sz w:val="20"/>
          <w:szCs w:val="20"/>
        </w:rPr>
        <w:t xml:space="preserve">, </w:t>
      </w:r>
      <w:r w:rsidRPr="005749A0">
        <w:rPr>
          <w:rFonts w:ascii="Arial" w:hAnsi="Arial" w:cs="Arial"/>
          <w:color w:val="000000" w:themeColor="text1"/>
          <w:sz w:val="20"/>
          <w:szCs w:val="20"/>
        </w:rPr>
        <w:t>Cuisses</w:t>
      </w:r>
      <w:r>
        <w:rPr>
          <w:rFonts w:ascii="Arial" w:hAnsi="Arial" w:cs="Arial"/>
          <w:color w:val="000000" w:themeColor="text1"/>
          <w:sz w:val="20"/>
          <w:szCs w:val="20"/>
        </w:rPr>
        <w:t xml:space="preserve">, </w:t>
      </w:r>
      <w:r w:rsidRPr="005749A0">
        <w:rPr>
          <w:rFonts w:ascii="Arial" w:hAnsi="Arial" w:cs="Arial"/>
          <w:color w:val="000000" w:themeColor="text1"/>
          <w:sz w:val="20"/>
          <w:szCs w:val="20"/>
        </w:rPr>
        <w:t xml:space="preserve">Abdomen </w:t>
      </w:r>
    </w:p>
    <w:p w14:paraId="31062DA1"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Faire varier les secteurs d’injection pour un même site</w:t>
      </w:r>
      <w:r>
        <w:rPr>
          <w:rFonts w:ascii="Arial" w:hAnsi="Arial" w:cs="Arial"/>
          <w:color w:val="000000" w:themeColor="text1"/>
          <w:sz w:val="20"/>
          <w:szCs w:val="20"/>
        </w:rPr>
        <w:t xml:space="preserve"> : </w:t>
      </w:r>
      <w:r w:rsidRPr="005749A0">
        <w:rPr>
          <w:rFonts w:ascii="Arial" w:hAnsi="Arial" w:cs="Arial"/>
          <w:color w:val="000000" w:themeColor="text1"/>
          <w:sz w:val="20"/>
          <w:szCs w:val="20"/>
        </w:rPr>
        <w:t xml:space="preserve">Prévention des lipodystrophies </w:t>
      </w:r>
    </w:p>
    <w:p w14:paraId="551149BC" w14:textId="77777777" w:rsidR="00ED4694" w:rsidRDefault="00ED4694" w:rsidP="00ED4694">
      <w:pPr>
        <w:pStyle w:val="Sansinterligne"/>
        <w:jc w:val="both"/>
        <w:rPr>
          <w:rFonts w:ascii="Arial" w:hAnsi="Arial" w:cs="Arial"/>
          <w:color w:val="000000" w:themeColor="text1"/>
          <w:sz w:val="20"/>
          <w:szCs w:val="20"/>
        </w:rPr>
      </w:pPr>
    </w:p>
    <w:p w14:paraId="13469FBF" w14:textId="77777777" w:rsidR="00ED4694" w:rsidRPr="005749A0" w:rsidRDefault="00ED4694" w:rsidP="00ED4694">
      <w:pPr>
        <w:pStyle w:val="Sansinterligne"/>
        <w:jc w:val="both"/>
        <w:rPr>
          <w:rFonts w:ascii="Arial" w:hAnsi="Arial" w:cs="Arial"/>
          <w:color w:val="000000" w:themeColor="text1"/>
          <w:sz w:val="20"/>
          <w:szCs w:val="20"/>
        </w:rPr>
      </w:pPr>
      <w:r w:rsidRPr="00B8047D">
        <w:rPr>
          <w:rFonts w:ascii="Arial" w:hAnsi="Arial" w:cs="Arial"/>
          <w:color w:val="000000" w:themeColor="text1"/>
          <w:sz w:val="20"/>
          <w:szCs w:val="20"/>
          <w:u w:val="single"/>
        </w:rPr>
        <w:t>Conservation</w:t>
      </w:r>
      <w:r>
        <w:rPr>
          <w:rFonts w:ascii="Arial" w:hAnsi="Arial" w:cs="Arial"/>
          <w:color w:val="000000" w:themeColor="text1"/>
          <w:sz w:val="20"/>
          <w:szCs w:val="20"/>
        </w:rPr>
        <w:t xml:space="preserve"> : réfrigérateur </w:t>
      </w:r>
      <w:r w:rsidRPr="005749A0">
        <w:rPr>
          <w:rFonts w:ascii="Arial" w:hAnsi="Arial" w:cs="Arial"/>
          <w:color w:val="000000" w:themeColor="text1"/>
          <w:sz w:val="20"/>
          <w:szCs w:val="20"/>
        </w:rPr>
        <w:t>2°-8°C</w:t>
      </w:r>
      <w:r>
        <w:rPr>
          <w:rFonts w:ascii="Arial" w:hAnsi="Arial" w:cs="Arial"/>
          <w:color w:val="000000" w:themeColor="text1"/>
          <w:sz w:val="20"/>
          <w:szCs w:val="20"/>
        </w:rPr>
        <w:t xml:space="preserve">. </w:t>
      </w:r>
      <w:r w:rsidRPr="005749A0">
        <w:rPr>
          <w:rFonts w:ascii="Arial" w:hAnsi="Arial" w:cs="Arial"/>
          <w:color w:val="000000" w:themeColor="text1"/>
          <w:sz w:val="20"/>
          <w:szCs w:val="20"/>
        </w:rPr>
        <w:t>Conseiller thermomètre</w:t>
      </w:r>
      <w:r>
        <w:rPr>
          <w:rFonts w:ascii="Arial" w:hAnsi="Arial" w:cs="Arial"/>
          <w:color w:val="000000" w:themeColor="text1"/>
          <w:sz w:val="20"/>
          <w:szCs w:val="20"/>
        </w:rPr>
        <w:t>.</w:t>
      </w:r>
      <w:r w:rsidRPr="005749A0">
        <w:rPr>
          <w:rFonts w:ascii="Arial" w:hAnsi="Arial" w:cs="Arial"/>
          <w:color w:val="000000" w:themeColor="text1"/>
          <w:sz w:val="20"/>
          <w:szCs w:val="20"/>
        </w:rPr>
        <w:t xml:space="preserve"> Détruit par la congélation </w:t>
      </w:r>
    </w:p>
    <w:p w14:paraId="176B0BD3" w14:textId="77777777" w:rsidR="00ED4694" w:rsidRPr="005749A0" w:rsidRDefault="00ED4694" w:rsidP="00ED4694">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Stylo entamé se conserv</w:t>
      </w:r>
      <w:r>
        <w:rPr>
          <w:rFonts w:ascii="Arial" w:hAnsi="Arial" w:cs="Arial"/>
          <w:color w:val="000000" w:themeColor="text1"/>
          <w:sz w:val="20"/>
          <w:szCs w:val="20"/>
        </w:rPr>
        <w:t xml:space="preserve">e </w:t>
      </w:r>
      <w:r w:rsidRPr="005749A0">
        <w:rPr>
          <w:rFonts w:ascii="Arial" w:hAnsi="Arial" w:cs="Arial"/>
          <w:color w:val="000000" w:themeColor="text1"/>
          <w:sz w:val="20"/>
          <w:szCs w:val="20"/>
        </w:rPr>
        <w:t xml:space="preserve">à température ambiante (&lt; 25°C ou 30°C) 4 à 6 semaines selon les insulines </w:t>
      </w:r>
    </w:p>
    <w:p w14:paraId="00B1624A" w14:textId="77777777" w:rsidR="00ED4694" w:rsidRDefault="00ED4694" w:rsidP="00ED4694">
      <w:pPr>
        <w:pStyle w:val="Sansinterligne"/>
        <w:jc w:val="both"/>
        <w:rPr>
          <w:rFonts w:ascii="Arial" w:hAnsi="Arial" w:cs="Arial"/>
          <w:color w:val="000000" w:themeColor="text1"/>
          <w:sz w:val="20"/>
          <w:szCs w:val="20"/>
        </w:rPr>
      </w:pPr>
    </w:p>
    <w:p w14:paraId="3014730C" w14:textId="77777777" w:rsidR="00ED4694" w:rsidRPr="00B8047D" w:rsidRDefault="00ED4694" w:rsidP="00ED4694">
      <w:pPr>
        <w:pStyle w:val="Sansinterligne"/>
        <w:jc w:val="both"/>
        <w:rPr>
          <w:rFonts w:ascii="Arial" w:hAnsi="Arial" w:cs="Arial"/>
          <w:color w:val="000000" w:themeColor="text1"/>
          <w:sz w:val="20"/>
          <w:szCs w:val="20"/>
          <w:u w:val="single"/>
        </w:rPr>
      </w:pPr>
      <w:r w:rsidRPr="00B8047D">
        <w:rPr>
          <w:rFonts w:ascii="Arial" w:hAnsi="Arial" w:cs="Arial"/>
          <w:color w:val="000000" w:themeColor="text1"/>
          <w:sz w:val="20"/>
          <w:szCs w:val="20"/>
          <w:u w:val="single"/>
        </w:rPr>
        <w:t xml:space="preserve">Prévention des complications chronique </w:t>
      </w:r>
    </w:p>
    <w:p w14:paraId="1B8E55C0"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HbA1C</w:t>
      </w:r>
      <w:r>
        <w:rPr>
          <w:rFonts w:ascii="Arial" w:hAnsi="Arial" w:cs="Arial"/>
          <w:color w:val="000000" w:themeColor="text1"/>
          <w:sz w:val="20"/>
          <w:szCs w:val="20"/>
        </w:rPr>
        <w:t xml:space="preserve"> </w:t>
      </w:r>
      <w:r w:rsidRPr="005749A0">
        <w:rPr>
          <w:rFonts w:ascii="Arial" w:hAnsi="Arial" w:cs="Arial"/>
          <w:color w:val="000000" w:themeColor="text1"/>
          <w:sz w:val="20"/>
          <w:szCs w:val="20"/>
        </w:rPr>
        <w:t>&lt;</w:t>
      </w:r>
      <w:r>
        <w:rPr>
          <w:rFonts w:ascii="Arial" w:hAnsi="Arial" w:cs="Arial"/>
          <w:color w:val="000000" w:themeColor="text1"/>
          <w:sz w:val="20"/>
          <w:szCs w:val="20"/>
        </w:rPr>
        <w:t xml:space="preserve"> </w:t>
      </w:r>
      <w:r w:rsidRPr="005749A0">
        <w:rPr>
          <w:rFonts w:ascii="Arial" w:hAnsi="Arial" w:cs="Arial"/>
          <w:color w:val="000000" w:themeColor="text1"/>
          <w:sz w:val="20"/>
          <w:szCs w:val="20"/>
        </w:rPr>
        <w:t xml:space="preserve">7% </w:t>
      </w:r>
    </w:p>
    <w:p w14:paraId="3E7C632E" w14:textId="77777777" w:rsidR="00ED4694" w:rsidRPr="00B8047D"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Pour le rein et les yeux</w:t>
      </w:r>
      <w:r>
        <w:rPr>
          <w:rFonts w:ascii="Arial" w:hAnsi="Arial" w:cs="Arial"/>
          <w:color w:val="000000" w:themeColor="text1"/>
          <w:sz w:val="20"/>
          <w:szCs w:val="20"/>
        </w:rPr>
        <w:t> :</w:t>
      </w:r>
      <w:r w:rsidRPr="00B8047D">
        <w:rPr>
          <w:rFonts w:ascii="Arial" w:hAnsi="Arial" w:cs="Arial"/>
          <w:color w:val="000000" w:themeColor="text1"/>
          <w:sz w:val="20"/>
          <w:szCs w:val="20"/>
        </w:rPr>
        <w:t xml:space="preserve"> importance</w:t>
      </w:r>
      <w:r>
        <w:rPr>
          <w:rFonts w:ascii="Arial" w:hAnsi="Arial" w:cs="Arial"/>
          <w:color w:val="000000" w:themeColor="text1"/>
          <w:sz w:val="20"/>
          <w:szCs w:val="20"/>
        </w:rPr>
        <w:t xml:space="preserve"> </w:t>
      </w:r>
      <w:r w:rsidRPr="00B8047D">
        <w:rPr>
          <w:rFonts w:ascii="Arial" w:hAnsi="Arial" w:cs="Arial"/>
          <w:color w:val="000000" w:themeColor="text1"/>
          <w:sz w:val="20"/>
          <w:szCs w:val="20"/>
        </w:rPr>
        <w:t>+++</w:t>
      </w:r>
      <w:r>
        <w:rPr>
          <w:rFonts w:ascii="Arial" w:hAnsi="Arial" w:cs="Arial"/>
          <w:color w:val="000000" w:themeColor="text1"/>
          <w:sz w:val="20"/>
          <w:szCs w:val="20"/>
        </w:rPr>
        <w:t xml:space="preserve"> </w:t>
      </w:r>
      <w:r w:rsidRPr="00B8047D">
        <w:rPr>
          <w:rFonts w:ascii="Arial" w:hAnsi="Arial" w:cs="Arial"/>
          <w:color w:val="000000" w:themeColor="text1"/>
          <w:sz w:val="20"/>
          <w:szCs w:val="20"/>
        </w:rPr>
        <w:t>du</w:t>
      </w:r>
      <w:r>
        <w:rPr>
          <w:rFonts w:ascii="Arial" w:hAnsi="Arial" w:cs="Arial"/>
          <w:color w:val="000000" w:themeColor="text1"/>
          <w:sz w:val="20"/>
          <w:szCs w:val="20"/>
        </w:rPr>
        <w:t xml:space="preserve"> c</w:t>
      </w:r>
      <w:r w:rsidRPr="00B8047D">
        <w:rPr>
          <w:rFonts w:ascii="Arial" w:hAnsi="Arial" w:cs="Arial"/>
          <w:color w:val="000000" w:themeColor="text1"/>
          <w:sz w:val="20"/>
          <w:szCs w:val="20"/>
        </w:rPr>
        <w:t>ontrôle</w:t>
      </w:r>
      <w:r>
        <w:rPr>
          <w:rFonts w:ascii="Arial" w:hAnsi="Arial" w:cs="Arial"/>
          <w:color w:val="000000" w:themeColor="text1"/>
          <w:sz w:val="20"/>
          <w:szCs w:val="20"/>
        </w:rPr>
        <w:t xml:space="preserve"> </w:t>
      </w:r>
      <w:r w:rsidRPr="00B8047D">
        <w:rPr>
          <w:rFonts w:ascii="Arial" w:hAnsi="Arial" w:cs="Arial"/>
          <w:color w:val="000000" w:themeColor="text1"/>
          <w:sz w:val="20"/>
          <w:szCs w:val="20"/>
        </w:rPr>
        <w:t xml:space="preserve">tensionnel </w:t>
      </w:r>
    </w:p>
    <w:p w14:paraId="44F5B54A" w14:textId="77777777" w:rsidR="00ED4694" w:rsidRPr="00134BA5" w:rsidRDefault="00ED4694" w:rsidP="00ED4694">
      <w:pPr>
        <w:pStyle w:val="Sansinterligne"/>
        <w:numPr>
          <w:ilvl w:val="0"/>
          <w:numId w:val="140"/>
        </w:numPr>
        <w:jc w:val="both"/>
        <w:rPr>
          <w:rFonts w:ascii="Arial" w:hAnsi="Arial" w:cs="Arial"/>
          <w:color w:val="000000" w:themeColor="text1"/>
          <w:sz w:val="20"/>
          <w:szCs w:val="20"/>
        </w:rPr>
      </w:pPr>
      <w:r w:rsidRPr="004568DF">
        <w:rPr>
          <w:rFonts w:ascii="Arial" w:hAnsi="Arial" w:cs="Arial"/>
          <w:noProof/>
          <w:color w:val="000000" w:themeColor="text1"/>
          <w:sz w:val="20"/>
          <w:szCs w:val="20"/>
        </w:rPr>
        <w:drawing>
          <wp:anchor distT="0" distB="0" distL="114300" distR="114300" simplePos="0" relativeHeight="251752448" behindDoc="1" locked="0" layoutInCell="1" allowOverlap="1" wp14:anchorId="3820E075" wp14:editId="604FCB8F">
            <wp:simplePos x="0" y="0"/>
            <wp:positionH relativeFrom="column">
              <wp:posOffset>4598670</wp:posOffset>
            </wp:positionH>
            <wp:positionV relativeFrom="paragraph">
              <wp:posOffset>252095</wp:posOffset>
            </wp:positionV>
            <wp:extent cx="2052955" cy="1388745"/>
            <wp:effectExtent l="0" t="0" r="4445" b="0"/>
            <wp:wrapTight wrapText="bothSides">
              <wp:wrapPolygon edited="0">
                <wp:start x="0" y="0"/>
                <wp:lineTo x="0" y="21333"/>
                <wp:lineTo x="21513" y="21333"/>
                <wp:lineTo x="21513" y="0"/>
                <wp:lineTo x="0" y="0"/>
              </wp:wrapPolygon>
            </wp:wrapTight>
            <wp:docPr id="3553204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320449"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052955" cy="1388745"/>
                    </a:xfrm>
                    <a:prstGeom prst="rect">
                      <a:avLst/>
                    </a:prstGeom>
                  </pic:spPr>
                </pic:pic>
              </a:graphicData>
            </a:graphic>
            <wp14:sizeRelH relativeFrom="page">
              <wp14:pctWidth>0</wp14:pctWidth>
            </wp14:sizeRelH>
            <wp14:sizeRelV relativeFrom="page">
              <wp14:pctHeight>0</wp14:pctHeight>
            </wp14:sizeRelV>
          </wp:anchor>
        </w:drawing>
      </w:r>
      <w:r w:rsidRPr="005749A0">
        <w:rPr>
          <w:rFonts w:ascii="Arial" w:hAnsi="Arial" w:cs="Arial"/>
          <w:color w:val="000000" w:themeColor="text1"/>
          <w:sz w:val="20"/>
          <w:szCs w:val="20"/>
        </w:rPr>
        <w:t xml:space="preserve">Pour les complications cardiovasculaires : </w:t>
      </w:r>
      <w:r w:rsidRPr="00B8047D">
        <w:rPr>
          <w:rFonts w:ascii="Arial" w:hAnsi="Arial" w:cs="Arial"/>
          <w:color w:val="000000" w:themeColor="text1"/>
          <w:sz w:val="20"/>
          <w:szCs w:val="20"/>
        </w:rPr>
        <w:t>importance</w:t>
      </w:r>
      <w:r>
        <w:rPr>
          <w:rFonts w:ascii="Arial" w:hAnsi="Arial" w:cs="Arial"/>
          <w:color w:val="000000" w:themeColor="text1"/>
          <w:sz w:val="20"/>
          <w:szCs w:val="20"/>
        </w:rPr>
        <w:t xml:space="preserve"> </w:t>
      </w:r>
      <w:r w:rsidRPr="00B8047D">
        <w:rPr>
          <w:rFonts w:ascii="Arial" w:hAnsi="Arial" w:cs="Arial"/>
          <w:color w:val="000000" w:themeColor="text1"/>
          <w:sz w:val="20"/>
          <w:szCs w:val="20"/>
        </w:rPr>
        <w:t>+++</w:t>
      </w:r>
      <w:r>
        <w:rPr>
          <w:rFonts w:ascii="Arial" w:hAnsi="Arial" w:cs="Arial"/>
          <w:color w:val="000000" w:themeColor="text1"/>
          <w:sz w:val="20"/>
          <w:szCs w:val="20"/>
        </w:rPr>
        <w:t xml:space="preserve"> </w:t>
      </w:r>
      <w:r w:rsidRPr="00B8047D">
        <w:rPr>
          <w:rFonts w:ascii="Arial" w:hAnsi="Arial" w:cs="Arial"/>
          <w:color w:val="000000" w:themeColor="text1"/>
          <w:sz w:val="20"/>
          <w:szCs w:val="20"/>
        </w:rPr>
        <w:t>du</w:t>
      </w:r>
      <w:r>
        <w:rPr>
          <w:rFonts w:ascii="Arial" w:hAnsi="Arial" w:cs="Arial"/>
          <w:color w:val="000000" w:themeColor="text1"/>
          <w:sz w:val="20"/>
          <w:szCs w:val="20"/>
        </w:rPr>
        <w:t xml:space="preserve"> </w:t>
      </w:r>
      <w:r w:rsidRPr="00B8047D">
        <w:rPr>
          <w:rFonts w:ascii="Arial" w:hAnsi="Arial" w:cs="Arial"/>
          <w:color w:val="000000" w:themeColor="text1"/>
          <w:sz w:val="20"/>
          <w:szCs w:val="20"/>
        </w:rPr>
        <w:t>contrôle</w:t>
      </w:r>
      <w:r>
        <w:rPr>
          <w:rFonts w:ascii="Arial" w:hAnsi="Arial" w:cs="Arial"/>
          <w:color w:val="000000" w:themeColor="text1"/>
          <w:sz w:val="20"/>
          <w:szCs w:val="20"/>
        </w:rPr>
        <w:t xml:space="preserve"> </w:t>
      </w:r>
      <w:r w:rsidRPr="00B8047D">
        <w:rPr>
          <w:rFonts w:ascii="Arial" w:hAnsi="Arial" w:cs="Arial"/>
          <w:color w:val="000000" w:themeColor="text1"/>
          <w:sz w:val="20"/>
          <w:szCs w:val="20"/>
        </w:rPr>
        <w:t>de</w:t>
      </w:r>
      <w:r>
        <w:rPr>
          <w:rFonts w:ascii="Arial" w:hAnsi="Arial" w:cs="Arial"/>
          <w:color w:val="000000" w:themeColor="text1"/>
          <w:sz w:val="20"/>
          <w:szCs w:val="20"/>
        </w:rPr>
        <w:t xml:space="preserve"> </w:t>
      </w:r>
      <w:r w:rsidRPr="00B8047D">
        <w:rPr>
          <w:rFonts w:ascii="Arial" w:hAnsi="Arial" w:cs="Arial"/>
          <w:color w:val="000000" w:themeColor="text1"/>
          <w:sz w:val="20"/>
          <w:szCs w:val="20"/>
        </w:rPr>
        <w:t>tous</w:t>
      </w:r>
      <w:r>
        <w:rPr>
          <w:rFonts w:ascii="Arial" w:hAnsi="Arial" w:cs="Arial"/>
          <w:color w:val="000000" w:themeColor="text1"/>
          <w:sz w:val="20"/>
          <w:szCs w:val="20"/>
        </w:rPr>
        <w:t xml:space="preserve"> </w:t>
      </w:r>
      <w:r w:rsidRPr="00B8047D">
        <w:rPr>
          <w:rFonts w:ascii="Arial" w:hAnsi="Arial" w:cs="Arial"/>
          <w:color w:val="000000" w:themeColor="text1"/>
          <w:sz w:val="20"/>
          <w:szCs w:val="20"/>
        </w:rPr>
        <w:t>les</w:t>
      </w:r>
      <w:r>
        <w:rPr>
          <w:rFonts w:ascii="Arial" w:hAnsi="Arial" w:cs="Arial"/>
          <w:color w:val="000000" w:themeColor="text1"/>
          <w:sz w:val="20"/>
          <w:szCs w:val="20"/>
        </w:rPr>
        <w:t xml:space="preserve"> </w:t>
      </w:r>
      <w:r w:rsidRPr="00B8047D">
        <w:rPr>
          <w:rFonts w:ascii="Arial" w:hAnsi="Arial" w:cs="Arial"/>
          <w:color w:val="000000" w:themeColor="text1"/>
          <w:sz w:val="20"/>
          <w:szCs w:val="20"/>
        </w:rPr>
        <w:t xml:space="preserve">facteurs de risque cardiovasculaires (TA, lipides, tabac...) </w:t>
      </w:r>
      <w:r w:rsidRPr="00B8047D">
        <w:rPr>
          <w:rFonts w:ascii="Arial" w:hAnsi="Arial" w:cs="Arial"/>
          <w:b/>
          <w:bCs/>
          <w:color w:val="000000" w:themeColor="text1"/>
          <w:sz w:val="20"/>
          <w:szCs w:val="20"/>
        </w:rPr>
        <w:t xml:space="preserve"> </w:t>
      </w:r>
    </w:p>
    <w:p w14:paraId="2138A450" w14:textId="77777777" w:rsidR="00ED4694" w:rsidRPr="005749A0" w:rsidRDefault="00ED4694" w:rsidP="00ED4694">
      <w:pPr>
        <w:pStyle w:val="Sansinterligne"/>
        <w:jc w:val="both"/>
        <w:rPr>
          <w:rFonts w:ascii="Arial" w:hAnsi="Arial" w:cs="Arial"/>
          <w:color w:val="000000" w:themeColor="text1"/>
          <w:sz w:val="20"/>
          <w:szCs w:val="20"/>
        </w:rPr>
      </w:pPr>
    </w:p>
    <w:p w14:paraId="15044F08" w14:textId="77777777" w:rsidR="00ED4694" w:rsidRPr="00AC5CDC" w:rsidRDefault="00ED4694" w:rsidP="00ED4694">
      <w:pPr>
        <w:pStyle w:val="Sansinterligne"/>
        <w:jc w:val="both"/>
        <w:rPr>
          <w:rFonts w:ascii="Arial" w:hAnsi="Arial" w:cs="Arial"/>
          <w:color w:val="000000" w:themeColor="text1"/>
          <w:sz w:val="20"/>
          <w:szCs w:val="20"/>
          <w:u w:val="single"/>
        </w:rPr>
      </w:pPr>
      <w:r w:rsidRPr="00AC5CDC">
        <w:rPr>
          <w:rFonts w:ascii="Arial" w:hAnsi="Arial" w:cs="Arial"/>
          <w:color w:val="000000" w:themeColor="text1"/>
          <w:sz w:val="20"/>
          <w:szCs w:val="20"/>
          <w:u w:val="single"/>
        </w:rPr>
        <w:t xml:space="preserve">Quelle insuline dans une pompe ? </w:t>
      </w:r>
    </w:p>
    <w:p w14:paraId="6158A1B3" w14:textId="77777777" w:rsidR="00ED4694" w:rsidRPr="005749A0" w:rsidRDefault="00ED4694" w:rsidP="00ED4694">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 xml:space="preserve">Un patient sous pompe doit avoir un schéma basal-bolus de remplacement </w:t>
      </w:r>
    </w:p>
    <w:p w14:paraId="204027EC" w14:textId="77777777" w:rsidR="00ED4694" w:rsidRDefault="00ED4694" w:rsidP="00ED4694">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 xml:space="preserve">Surveillance en continu du glucose </w:t>
      </w:r>
    </w:p>
    <w:p w14:paraId="58483EAE" w14:textId="77777777" w:rsidR="00ED4694" w:rsidRDefault="00ED4694" w:rsidP="00ED4694">
      <w:pPr>
        <w:pStyle w:val="Sansinterligne"/>
        <w:jc w:val="both"/>
        <w:rPr>
          <w:rFonts w:ascii="Arial" w:hAnsi="Arial" w:cs="Arial"/>
          <w:color w:val="000000" w:themeColor="text1"/>
          <w:sz w:val="20"/>
          <w:szCs w:val="20"/>
        </w:rPr>
      </w:pPr>
    </w:p>
    <w:p w14:paraId="66999105" w14:textId="77777777" w:rsidR="00ED4694" w:rsidRPr="005749A0" w:rsidRDefault="00ED4694" w:rsidP="00ED4694">
      <w:pPr>
        <w:pStyle w:val="Sansinterligne"/>
        <w:jc w:val="both"/>
        <w:rPr>
          <w:rFonts w:ascii="Arial" w:hAnsi="Arial" w:cs="Arial"/>
          <w:color w:val="000000" w:themeColor="text1"/>
          <w:sz w:val="20"/>
          <w:szCs w:val="20"/>
        </w:rPr>
      </w:pPr>
    </w:p>
    <w:p w14:paraId="2C5D57AA" w14:textId="77777777" w:rsidR="00ED4694" w:rsidRPr="005749A0" w:rsidRDefault="00ED4694" w:rsidP="00ED4694">
      <w:pPr>
        <w:pStyle w:val="Sansinterligne"/>
        <w:jc w:val="both"/>
        <w:rPr>
          <w:rFonts w:ascii="Arial" w:hAnsi="Arial" w:cs="Arial"/>
          <w:color w:val="000000" w:themeColor="text1"/>
          <w:sz w:val="20"/>
          <w:szCs w:val="20"/>
        </w:rPr>
      </w:pPr>
    </w:p>
    <w:p w14:paraId="13F8EF59" w14:textId="77777777" w:rsidR="00ED4694" w:rsidRDefault="00ED4694" w:rsidP="00ED4694">
      <w:pPr>
        <w:pStyle w:val="Sansinterligne"/>
        <w:jc w:val="both"/>
        <w:rPr>
          <w:rFonts w:ascii="Arial" w:hAnsi="Arial" w:cs="Arial"/>
          <w:color w:val="000000" w:themeColor="text1"/>
          <w:sz w:val="20"/>
          <w:szCs w:val="20"/>
        </w:rPr>
      </w:pPr>
    </w:p>
    <w:p w14:paraId="5002F3F6" w14:textId="77777777" w:rsidR="00ED4694" w:rsidRDefault="00ED4694" w:rsidP="00ED4694">
      <w:pPr>
        <w:pStyle w:val="Sansinterligne"/>
        <w:jc w:val="both"/>
        <w:rPr>
          <w:rFonts w:ascii="Arial" w:hAnsi="Arial" w:cs="Arial"/>
          <w:color w:val="000000" w:themeColor="text1"/>
          <w:sz w:val="20"/>
          <w:szCs w:val="20"/>
        </w:rPr>
      </w:pPr>
    </w:p>
    <w:p w14:paraId="1C55FAE9" w14:textId="77777777" w:rsidR="00ED4694" w:rsidRPr="0024332B" w:rsidRDefault="00ED4694" w:rsidP="00ED4694">
      <w:pPr>
        <w:pStyle w:val="Sansinterligne"/>
        <w:jc w:val="both"/>
        <w:rPr>
          <w:rFonts w:ascii="Arial" w:hAnsi="Arial" w:cs="Arial"/>
          <w:color w:val="000000" w:themeColor="text1"/>
          <w:sz w:val="20"/>
          <w:szCs w:val="20"/>
          <w:u w:val="single"/>
        </w:rPr>
      </w:pPr>
      <w:r w:rsidRPr="0024332B">
        <w:rPr>
          <w:rFonts w:ascii="Arial" w:hAnsi="Arial" w:cs="Arial"/>
          <w:noProof/>
          <w:color w:val="000000" w:themeColor="text1"/>
          <w:sz w:val="20"/>
          <w:szCs w:val="20"/>
          <w:u w:val="single"/>
        </w:rPr>
        <w:lastRenderedPageBreak/>
        <w:drawing>
          <wp:anchor distT="0" distB="0" distL="114300" distR="114300" simplePos="0" relativeHeight="251791360" behindDoc="1" locked="0" layoutInCell="1" allowOverlap="1" wp14:anchorId="70410BBB" wp14:editId="0A6BFC86">
            <wp:simplePos x="0" y="0"/>
            <wp:positionH relativeFrom="column">
              <wp:posOffset>4831196</wp:posOffset>
            </wp:positionH>
            <wp:positionV relativeFrom="paragraph">
              <wp:posOffset>231</wp:posOffset>
            </wp:positionV>
            <wp:extent cx="1884176" cy="1879138"/>
            <wp:effectExtent l="0" t="0" r="0" b="635"/>
            <wp:wrapTight wrapText="bothSides">
              <wp:wrapPolygon edited="0">
                <wp:start x="0" y="0"/>
                <wp:lineTo x="0" y="21461"/>
                <wp:lineTo x="21403" y="21461"/>
                <wp:lineTo x="21403" y="0"/>
                <wp:lineTo x="0" y="0"/>
              </wp:wrapPolygon>
            </wp:wrapTight>
            <wp:docPr id="13127498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74987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884176" cy="1879138"/>
                    </a:xfrm>
                    <a:prstGeom prst="rect">
                      <a:avLst/>
                    </a:prstGeom>
                  </pic:spPr>
                </pic:pic>
              </a:graphicData>
            </a:graphic>
            <wp14:sizeRelH relativeFrom="page">
              <wp14:pctWidth>0</wp14:pctWidth>
            </wp14:sizeRelH>
            <wp14:sizeRelV relativeFrom="page">
              <wp14:pctHeight>0</wp14:pctHeight>
            </wp14:sizeRelV>
          </wp:anchor>
        </w:drawing>
      </w:r>
      <w:r w:rsidRPr="0024332B">
        <w:rPr>
          <w:rFonts w:ascii="Arial" w:hAnsi="Arial" w:cs="Arial"/>
          <w:color w:val="000000" w:themeColor="text1"/>
          <w:sz w:val="20"/>
          <w:szCs w:val="20"/>
          <w:u w:val="single"/>
        </w:rPr>
        <w:t xml:space="preserve">Freestyle libre </w:t>
      </w:r>
    </w:p>
    <w:p w14:paraId="29878E9E" w14:textId="77777777" w:rsidR="00ED4694" w:rsidRPr="005749A0" w:rsidRDefault="00ED4694" w:rsidP="00ED4694">
      <w:pPr>
        <w:pStyle w:val="Sansinterligne"/>
        <w:jc w:val="both"/>
        <w:rPr>
          <w:rFonts w:ascii="Arial" w:hAnsi="Arial" w:cs="Arial"/>
          <w:color w:val="000000" w:themeColor="text1"/>
          <w:sz w:val="20"/>
          <w:szCs w:val="20"/>
        </w:rPr>
      </w:pPr>
      <w:r>
        <w:rPr>
          <w:rFonts w:ascii="Arial" w:hAnsi="Arial" w:cs="Arial"/>
          <w:color w:val="000000" w:themeColor="text1"/>
          <w:sz w:val="20"/>
          <w:szCs w:val="20"/>
        </w:rPr>
        <w:t>P</w:t>
      </w:r>
      <w:r w:rsidRPr="005749A0">
        <w:rPr>
          <w:rFonts w:ascii="Arial" w:hAnsi="Arial" w:cs="Arial"/>
          <w:color w:val="000000" w:themeColor="text1"/>
          <w:sz w:val="20"/>
          <w:szCs w:val="20"/>
        </w:rPr>
        <w:t xml:space="preserve">rise en charge du Freestyle Libre réservée « aux patients atteints d’un diabète de type 1 ou de type 2 (adultes et enfants âgés d’au moins 4 ans) traités par insulinothérapie intensifiée (par pompe externe ou ≥ 3 injections par jour) et pratiquant une autosurveillance glycémique pluriquotidienne (≥ 3/j). »L » </w:t>
      </w:r>
    </w:p>
    <w:p w14:paraId="5077124C" w14:textId="77777777" w:rsidR="00ED4694" w:rsidRPr="005749A0" w:rsidRDefault="00ED4694" w:rsidP="00ED4694">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 xml:space="preserve">Freestyle Libre </w:t>
      </w:r>
      <w:r>
        <w:rPr>
          <w:rFonts w:ascii="Arial" w:hAnsi="Arial" w:cs="Arial"/>
          <w:color w:val="000000" w:themeColor="text1"/>
          <w:sz w:val="20"/>
          <w:szCs w:val="20"/>
        </w:rPr>
        <w:t>e</w:t>
      </w:r>
      <w:r w:rsidRPr="005749A0">
        <w:rPr>
          <w:rFonts w:ascii="Arial" w:hAnsi="Arial" w:cs="Arial"/>
          <w:color w:val="000000" w:themeColor="text1"/>
          <w:sz w:val="20"/>
          <w:szCs w:val="20"/>
        </w:rPr>
        <w:t>s</w:t>
      </w:r>
      <w:r>
        <w:rPr>
          <w:rFonts w:ascii="Arial" w:hAnsi="Arial" w:cs="Arial"/>
          <w:color w:val="000000" w:themeColor="text1"/>
          <w:sz w:val="20"/>
          <w:szCs w:val="20"/>
        </w:rPr>
        <w:t>t</w:t>
      </w:r>
      <w:r w:rsidRPr="005749A0">
        <w:rPr>
          <w:rFonts w:ascii="Arial" w:hAnsi="Arial" w:cs="Arial"/>
          <w:color w:val="000000" w:themeColor="text1"/>
          <w:sz w:val="20"/>
          <w:szCs w:val="20"/>
        </w:rPr>
        <w:t xml:space="preserve"> « réservé aux patients ayant reçu une éducation thérapeutique ainsi qu’une formation spécifique à l’utilisation du système flash d’autosurveillance du glucose interstitiel. » </w:t>
      </w:r>
    </w:p>
    <w:p w14:paraId="0305D1B8" w14:textId="77777777" w:rsidR="00ED4694" w:rsidRDefault="00ED4694" w:rsidP="00ED4694">
      <w:pPr>
        <w:pStyle w:val="Sansinterligne"/>
        <w:jc w:val="both"/>
        <w:rPr>
          <w:rFonts w:ascii="Arial" w:hAnsi="Arial" w:cs="Arial"/>
          <w:color w:val="000000" w:themeColor="text1"/>
          <w:sz w:val="20"/>
          <w:szCs w:val="20"/>
        </w:rPr>
      </w:pPr>
      <w:r>
        <w:rPr>
          <w:rFonts w:ascii="Arial" w:hAnsi="Arial" w:cs="Arial"/>
          <w:color w:val="000000" w:themeColor="text1"/>
          <w:sz w:val="20"/>
          <w:szCs w:val="20"/>
        </w:rPr>
        <w:t>L</w:t>
      </w:r>
      <w:r w:rsidRPr="005749A0">
        <w:rPr>
          <w:rFonts w:ascii="Arial" w:hAnsi="Arial" w:cs="Arial"/>
          <w:color w:val="000000" w:themeColor="text1"/>
          <w:sz w:val="20"/>
          <w:szCs w:val="20"/>
        </w:rPr>
        <w:t>ecteur est garanti 4 ans.</w:t>
      </w:r>
      <w:r>
        <w:rPr>
          <w:rFonts w:ascii="Arial" w:hAnsi="Arial" w:cs="Arial"/>
          <w:color w:val="000000" w:themeColor="text1"/>
          <w:sz w:val="20"/>
          <w:szCs w:val="20"/>
        </w:rPr>
        <w:t xml:space="preserve"> C</w:t>
      </w:r>
      <w:r w:rsidRPr="005749A0">
        <w:rPr>
          <w:rFonts w:ascii="Arial" w:hAnsi="Arial" w:cs="Arial"/>
          <w:color w:val="000000" w:themeColor="text1"/>
          <w:sz w:val="20"/>
          <w:szCs w:val="20"/>
        </w:rPr>
        <w:t>apteur garanti 14 jours.</w:t>
      </w:r>
      <w:r>
        <w:rPr>
          <w:rFonts w:ascii="Arial" w:hAnsi="Arial" w:cs="Arial"/>
          <w:color w:val="000000" w:themeColor="text1"/>
          <w:sz w:val="20"/>
          <w:szCs w:val="20"/>
        </w:rPr>
        <w:t xml:space="preserve"> P</w:t>
      </w:r>
      <w:r w:rsidRPr="005749A0">
        <w:rPr>
          <w:rFonts w:ascii="Arial" w:hAnsi="Arial" w:cs="Arial"/>
          <w:color w:val="000000" w:themeColor="text1"/>
          <w:sz w:val="20"/>
          <w:szCs w:val="20"/>
        </w:rPr>
        <w:t xml:space="preserve">rise en charge limitée à 26 capteurs par an. </w:t>
      </w:r>
    </w:p>
    <w:p w14:paraId="114B26BC" w14:textId="77777777" w:rsidR="00ED4694" w:rsidRDefault="00ED4694" w:rsidP="00ED4694">
      <w:pPr>
        <w:pStyle w:val="Sansinterligne"/>
        <w:jc w:val="both"/>
        <w:rPr>
          <w:rFonts w:ascii="Arial" w:hAnsi="Arial" w:cs="Arial"/>
          <w:color w:val="000000" w:themeColor="text1"/>
          <w:sz w:val="20"/>
          <w:szCs w:val="20"/>
        </w:rPr>
      </w:pPr>
    </w:p>
    <w:p w14:paraId="0B19B832" w14:textId="77777777" w:rsidR="00ED4694" w:rsidRDefault="00ED4694" w:rsidP="00ED4694">
      <w:pPr>
        <w:pStyle w:val="Sansinterligne"/>
        <w:jc w:val="both"/>
        <w:rPr>
          <w:rFonts w:ascii="Arial" w:hAnsi="Arial" w:cs="Arial"/>
          <w:color w:val="000000" w:themeColor="text1"/>
          <w:sz w:val="20"/>
          <w:szCs w:val="20"/>
        </w:rPr>
      </w:pPr>
    </w:p>
    <w:p w14:paraId="74BBFBA0" w14:textId="77777777" w:rsidR="00ED4694" w:rsidRDefault="00ED4694" w:rsidP="00ED4694">
      <w:pPr>
        <w:pStyle w:val="Sansinterligne"/>
        <w:jc w:val="both"/>
        <w:rPr>
          <w:rFonts w:ascii="Arial" w:hAnsi="Arial" w:cs="Arial"/>
          <w:color w:val="000000" w:themeColor="text1"/>
          <w:sz w:val="20"/>
          <w:szCs w:val="20"/>
        </w:rPr>
      </w:pPr>
    </w:p>
    <w:p w14:paraId="6AB1226E" w14:textId="77777777" w:rsidR="00ED4694" w:rsidRPr="005749A0" w:rsidRDefault="00ED4694" w:rsidP="00ED4694">
      <w:pPr>
        <w:pStyle w:val="Sansinterligne"/>
        <w:jc w:val="both"/>
        <w:rPr>
          <w:rFonts w:ascii="Arial" w:hAnsi="Arial" w:cs="Arial"/>
          <w:color w:val="000000" w:themeColor="text1"/>
          <w:sz w:val="20"/>
          <w:szCs w:val="20"/>
        </w:rPr>
      </w:pPr>
    </w:p>
    <w:p w14:paraId="2882D92A" w14:textId="77777777" w:rsidR="00ED4694" w:rsidRPr="005749A0" w:rsidRDefault="00ED4694" w:rsidP="00ED4694">
      <w:pPr>
        <w:pStyle w:val="Sansinterligne"/>
        <w:jc w:val="both"/>
        <w:rPr>
          <w:rFonts w:ascii="Arial" w:hAnsi="Arial" w:cs="Arial"/>
          <w:color w:val="000000" w:themeColor="text1"/>
          <w:sz w:val="20"/>
          <w:szCs w:val="20"/>
        </w:rPr>
      </w:pPr>
      <w:r w:rsidRPr="0024332B">
        <w:rPr>
          <w:rFonts w:ascii="Arial" w:hAnsi="Arial" w:cs="Arial"/>
          <w:color w:val="000000" w:themeColor="text1"/>
          <w:sz w:val="20"/>
          <w:szCs w:val="20"/>
          <w:u w:val="single"/>
        </w:rPr>
        <w:t>Systèmes de régulation de la glycémie en "boucle semi-fermée"</w:t>
      </w:r>
      <w:r w:rsidRPr="005749A0">
        <w:rPr>
          <w:rFonts w:ascii="Arial" w:hAnsi="Arial" w:cs="Arial"/>
          <w:color w:val="000000" w:themeColor="text1"/>
          <w:sz w:val="20"/>
          <w:szCs w:val="20"/>
        </w:rPr>
        <w:t xml:space="preserve"> : Control-IQ° et Mylife Camaps FX° remboursables </w:t>
      </w:r>
    </w:p>
    <w:p w14:paraId="3ED1D5C2"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inscrits sur la liste des produits et prestations remboursables (LPPR) </w:t>
      </w:r>
    </w:p>
    <w:p w14:paraId="1302417B"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2956C1">
        <w:rPr>
          <w:rFonts w:ascii="Arial" w:hAnsi="Arial" w:cs="Arial"/>
          <w:color w:val="000000" w:themeColor="text1"/>
          <w:sz w:val="20"/>
          <w:szCs w:val="20"/>
        </w:rPr>
        <w:t>prescription initiale est restreinte à un médecin d'un centre dit initiateur de pompes à insuline, avec une demande d'accord préalable auprès de la Sécurité sociale.</w:t>
      </w:r>
    </w:p>
    <w:p w14:paraId="5896C288"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l</w:t>
      </w:r>
      <w:r w:rsidRPr="002956C1">
        <w:rPr>
          <w:rFonts w:ascii="Arial" w:hAnsi="Arial" w:cs="Arial"/>
          <w:color w:val="000000" w:themeColor="text1"/>
          <w:sz w:val="20"/>
          <w:szCs w:val="20"/>
        </w:rPr>
        <w:t xml:space="preserve">e patient doit être formé à l'utilisation spécifique du système • </w:t>
      </w:r>
    </w:p>
    <w:p w14:paraId="2AB1B3C0"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2956C1">
        <w:rPr>
          <w:rFonts w:ascii="Arial" w:hAnsi="Arial" w:cs="Arial"/>
          <w:color w:val="000000" w:themeColor="text1"/>
          <w:sz w:val="20"/>
          <w:szCs w:val="20"/>
        </w:rPr>
        <w:t>Ces systèmes se composent tous d'une pompe à insuline dont le débit basal est ajusté selon un algorithme qui prend notamment en compte la mesure en continu de la concentration de glucose dans le liquide interstitiel sous-cutané.</w:t>
      </w:r>
    </w:p>
    <w:p w14:paraId="7E498624"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2956C1">
        <w:rPr>
          <w:rFonts w:ascii="Arial" w:hAnsi="Arial" w:cs="Arial"/>
          <w:color w:val="000000" w:themeColor="text1"/>
          <w:sz w:val="20"/>
          <w:szCs w:val="20"/>
        </w:rPr>
        <w:t xml:space="preserve">boucle semi-fermée car une intervention du patient ou de son entourage reste nécessaire, par exemple pour renseigner la quantité de glucides consommée à chaque prise alimentaire, pour signaler un exercice physique et pour valider ou non l'administration d'un bolus d'insuline. </w:t>
      </w:r>
    </w:p>
    <w:p w14:paraId="65AC1886"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2956C1">
        <w:rPr>
          <w:rFonts w:ascii="Arial" w:hAnsi="Arial" w:cs="Arial"/>
          <w:color w:val="000000" w:themeColor="text1"/>
          <w:sz w:val="20"/>
          <w:szCs w:val="20"/>
        </w:rPr>
        <w:t>Le système Mylife Camaps FX°, (firme Ypsomed) est composé d'une pompe à insuline Mylife Ypsopump°, du système de mesure en continu du glucose interstitiel (capteurs et transmetteurs) Dexcom G6°</w:t>
      </w:r>
      <w:r>
        <w:rPr>
          <w:rFonts w:ascii="Arial" w:hAnsi="Arial" w:cs="Arial"/>
          <w:color w:val="000000" w:themeColor="text1"/>
          <w:sz w:val="20"/>
          <w:szCs w:val="20"/>
        </w:rPr>
        <w:t xml:space="preserve">, </w:t>
      </w:r>
      <w:r w:rsidRPr="002956C1">
        <w:rPr>
          <w:rFonts w:ascii="Arial" w:hAnsi="Arial" w:cs="Arial"/>
          <w:color w:val="000000" w:themeColor="text1"/>
          <w:sz w:val="20"/>
          <w:szCs w:val="20"/>
        </w:rPr>
        <w:t xml:space="preserve">du logiciel Camaps FX° (intégrant l'algorithme) téléchargeable sur certains smartphones (qui font alors office d'interface) </w:t>
      </w:r>
    </w:p>
    <w:p w14:paraId="1635B9DA"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2956C1">
        <w:rPr>
          <w:rFonts w:ascii="Arial" w:hAnsi="Arial" w:cs="Arial"/>
          <w:color w:val="000000" w:themeColor="text1"/>
          <w:sz w:val="20"/>
          <w:szCs w:val="20"/>
        </w:rPr>
        <w:t xml:space="preserve">Ce système est remboursable chez certains adultes et enfants à partir de l'âge de 2 ans </w:t>
      </w:r>
    </w:p>
    <w:p w14:paraId="2627ACA0" w14:textId="77777777" w:rsidR="00ED4694" w:rsidRDefault="00ED4694" w:rsidP="00ED4694">
      <w:pPr>
        <w:pStyle w:val="Sansinterligne"/>
        <w:jc w:val="both"/>
        <w:rPr>
          <w:rFonts w:ascii="Arial" w:hAnsi="Arial" w:cs="Arial"/>
          <w:color w:val="000000" w:themeColor="text1"/>
          <w:sz w:val="20"/>
          <w:szCs w:val="20"/>
        </w:rPr>
      </w:pPr>
    </w:p>
    <w:p w14:paraId="5B163417" w14:textId="77777777" w:rsidR="00ED4694" w:rsidRDefault="00ED4694" w:rsidP="00ED4694">
      <w:pPr>
        <w:pStyle w:val="Sansinterligne"/>
        <w:jc w:val="both"/>
        <w:rPr>
          <w:rFonts w:ascii="Arial" w:hAnsi="Arial" w:cs="Arial"/>
          <w:color w:val="000000" w:themeColor="text1"/>
          <w:sz w:val="20"/>
          <w:szCs w:val="20"/>
        </w:rPr>
      </w:pPr>
    </w:p>
    <w:p w14:paraId="7DD93882" w14:textId="77777777" w:rsidR="00ED4694" w:rsidRPr="002956C1" w:rsidRDefault="00ED4694" w:rsidP="00ED4694">
      <w:pPr>
        <w:pStyle w:val="Sansinterligne"/>
        <w:numPr>
          <w:ilvl w:val="0"/>
          <w:numId w:val="192"/>
        </w:numPr>
        <w:jc w:val="both"/>
        <w:rPr>
          <w:rFonts w:ascii="Arial" w:hAnsi="Arial" w:cs="Arial"/>
          <w:b/>
          <w:bCs/>
          <w:color w:val="00B0F0"/>
          <w:sz w:val="20"/>
          <w:szCs w:val="20"/>
          <w:u w:val="single"/>
        </w:rPr>
      </w:pPr>
      <w:r w:rsidRPr="002956C1">
        <w:rPr>
          <w:rFonts w:ascii="Arial" w:hAnsi="Arial" w:cs="Arial"/>
          <w:b/>
          <w:bCs/>
          <w:color w:val="00B0F0"/>
          <w:sz w:val="20"/>
          <w:szCs w:val="20"/>
          <w:u w:val="single"/>
        </w:rPr>
        <w:t xml:space="preserve">Suivi du patient </w:t>
      </w:r>
    </w:p>
    <w:p w14:paraId="1159D17C" w14:textId="77777777" w:rsidR="00ED4694" w:rsidRPr="00134BA5" w:rsidRDefault="00ED4694" w:rsidP="00ED4694">
      <w:pPr>
        <w:pStyle w:val="Sansinterligne"/>
        <w:jc w:val="both"/>
        <w:rPr>
          <w:rFonts w:ascii="Arial" w:hAnsi="Arial" w:cs="Arial"/>
          <w:color w:val="000000" w:themeColor="text1"/>
          <w:sz w:val="20"/>
          <w:szCs w:val="20"/>
          <w:u w:val="single"/>
        </w:rPr>
      </w:pPr>
      <w:r w:rsidRPr="00134BA5">
        <w:rPr>
          <w:rFonts w:ascii="Arial" w:hAnsi="Arial" w:cs="Arial"/>
          <w:color w:val="000000" w:themeColor="text1"/>
          <w:sz w:val="20"/>
          <w:szCs w:val="20"/>
          <w:u w:val="single"/>
        </w:rPr>
        <w:t xml:space="preserve">1 point en moins d’HbA1c </w:t>
      </w:r>
    </w:p>
    <w:p w14:paraId="3DC63812"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Réduction de 12% des complications du diabète </w:t>
      </w:r>
    </w:p>
    <w:p w14:paraId="7861E2F4"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Réduction de 25 % des complications micro vasculaires (œil, rein, nerf) </w:t>
      </w:r>
    </w:p>
    <w:p w14:paraId="5E4C915E"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Réduction de 16 % des infarctus du myocarde </w:t>
      </w:r>
    </w:p>
    <w:p w14:paraId="3A719E30" w14:textId="77777777" w:rsidR="00ED4694" w:rsidRDefault="00ED4694" w:rsidP="00ED4694">
      <w:pPr>
        <w:pStyle w:val="Sansinterligne"/>
        <w:jc w:val="both"/>
        <w:rPr>
          <w:rFonts w:ascii="Arial" w:hAnsi="Arial" w:cs="Arial"/>
          <w:color w:val="000000" w:themeColor="text1"/>
          <w:sz w:val="20"/>
          <w:szCs w:val="20"/>
        </w:rPr>
      </w:pPr>
    </w:p>
    <w:p w14:paraId="33CE6584" w14:textId="77777777" w:rsidR="00ED4694" w:rsidRPr="005749A0" w:rsidRDefault="00ED4694" w:rsidP="00ED4694">
      <w:pPr>
        <w:pStyle w:val="Sansinterligne"/>
        <w:jc w:val="both"/>
        <w:rPr>
          <w:rFonts w:ascii="Arial" w:hAnsi="Arial" w:cs="Arial"/>
          <w:color w:val="000000" w:themeColor="text1"/>
          <w:sz w:val="20"/>
          <w:szCs w:val="20"/>
        </w:rPr>
      </w:pPr>
      <w:r w:rsidRPr="00134BA5">
        <w:rPr>
          <w:rFonts w:ascii="Arial" w:hAnsi="Arial" w:cs="Arial"/>
          <w:color w:val="000000" w:themeColor="text1"/>
          <w:sz w:val="20"/>
          <w:szCs w:val="20"/>
          <w:u w:val="single"/>
        </w:rPr>
        <w:t>Jeûne</w:t>
      </w:r>
      <w:r>
        <w:rPr>
          <w:rFonts w:ascii="Arial" w:hAnsi="Arial" w:cs="Arial"/>
          <w:color w:val="000000" w:themeColor="text1"/>
          <w:sz w:val="20"/>
          <w:szCs w:val="20"/>
        </w:rPr>
        <w:t xml:space="preserve"> : </w:t>
      </w:r>
      <w:r w:rsidRPr="005749A0">
        <w:rPr>
          <w:rFonts w:ascii="Arial" w:hAnsi="Arial" w:cs="Arial"/>
          <w:color w:val="000000" w:themeColor="text1"/>
          <w:sz w:val="20"/>
          <w:szCs w:val="20"/>
        </w:rPr>
        <w:t xml:space="preserve">Un diabétique de type 1 ne doit JAMAIS interrompre son insuline basale, y compris en période de jeûne. </w:t>
      </w:r>
    </w:p>
    <w:p w14:paraId="101936C6" w14:textId="77777777" w:rsidR="00ED4694" w:rsidRDefault="00ED4694" w:rsidP="00ED4694">
      <w:pPr>
        <w:pStyle w:val="Sansinterligne"/>
        <w:jc w:val="both"/>
        <w:rPr>
          <w:rFonts w:ascii="Arial" w:hAnsi="Arial" w:cs="Arial"/>
          <w:color w:val="000000" w:themeColor="text1"/>
          <w:sz w:val="20"/>
          <w:szCs w:val="20"/>
        </w:rPr>
      </w:pPr>
    </w:p>
    <w:p w14:paraId="3256F7C9" w14:textId="77777777" w:rsidR="00ED4694" w:rsidRPr="005749A0" w:rsidRDefault="00ED4694" w:rsidP="00ED4694">
      <w:pPr>
        <w:pStyle w:val="Sansinterligne"/>
        <w:jc w:val="both"/>
        <w:rPr>
          <w:rFonts w:ascii="Arial" w:hAnsi="Arial" w:cs="Arial"/>
          <w:color w:val="000000" w:themeColor="text1"/>
          <w:sz w:val="20"/>
          <w:szCs w:val="20"/>
        </w:rPr>
      </w:pPr>
      <w:r w:rsidRPr="00134BA5">
        <w:rPr>
          <w:rFonts w:ascii="Arial" w:hAnsi="Arial" w:cs="Arial"/>
          <w:color w:val="000000" w:themeColor="text1"/>
          <w:sz w:val="20"/>
          <w:szCs w:val="20"/>
          <w:u w:val="single"/>
        </w:rPr>
        <w:t>Malaise</w:t>
      </w:r>
      <w:r>
        <w:rPr>
          <w:rFonts w:ascii="Arial" w:hAnsi="Arial" w:cs="Arial"/>
          <w:color w:val="000000" w:themeColor="text1"/>
          <w:sz w:val="20"/>
          <w:szCs w:val="20"/>
        </w:rPr>
        <w:t xml:space="preserve"> : </w:t>
      </w:r>
      <w:r w:rsidRPr="005749A0">
        <w:rPr>
          <w:rFonts w:ascii="Arial" w:hAnsi="Arial" w:cs="Arial"/>
          <w:color w:val="000000" w:themeColor="text1"/>
          <w:sz w:val="20"/>
          <w:szCs w:val="20"/>
        </w:rPr>
        <w:t xml:space="preserve">Tout comportement inexpliqué ou malaise chez un patient diabétique doit faire rechercher une hypoglycémie </w:t>
      </w:r>
    </w:p>
    <w:p w14:paraId="4D6CBA27" w14:textId="77777777" w:rsidR="00ED4694" w:rsidRPr="005749A0" w:rsidRDefault="00ED4694" w:rsidP="00ED4694">
      <w:pPr>
        <w:pStyle w:val="Sansinterligne"/>
        <w:jc w:val="both"/>
        <w:rPr>
          <w:rFonts w:ascii="Arial" w:hAnsi="Arial" w:cs="Arial"/>
          <w:color w:val="000000" w:themeColor="text1"/>
          <w:sz w:val="20"/>
          <w:szCs w:val="20"/>
        </w:rPr>
      </w:pPr>
      <w:r w:rsidRPr="005749A0">
        <w:rPr>
          <w:rFonts w:ascii="Arial" w:hAnsi="Arial" w:cs="Arial"/>
          <w:color w:val="000000" w:themeColor="text1"/>
          <w:sz w:val="20"/>
          <w:szCs w:val="20"/>
        </w:rPr>
        <w:t xml:space="preserve">Dans le doute, mieux vaut resucrer pour rien plutôt que de laisser perdurer une hypoglycémie </w:t>
      </w:r>
    </w:p>
    <w:p w14:paraId="5F2E45BB" w14:textId="77777777" w:rsidR="00ED4694" w:rsidRDefault="00ED4694" w:rsidP="00ED4694">
      <w:pPr>
        <w:pStyle w:val="Sansinterligne"/>
        <w:jc w:val="both"/>
        <w:rPr>
          <w:rFonts w:ascii="Arial" w:hAnsi="Arial" w:cs="Arial"/>
          <w:color w:val="000000" w:themeColor="text1"/>
          <w:sz w:val="20"/>
          <w:szCs w:val="20"/>
        </w:rPr>
      </w:pPr>
    </w:p>
    <w:p w14:paraId="0D35EF6D" w14:textId="77777777" w:rsidR="00ED4694" w:rsidRPr="00134BA5" w:rsidRDefault="00ED4694" w:rsidP="00ED4694">
      <w:pPr>
        <w:pStyle w:val="Sansinterligne"/>
        <w:jc w:val="both"/>
        <w:rPr>
          <w:rFonts w:ascii="Arial" w:hAnsi="Arial" w:cs="Arial"/>
          <w:color w:val="000000" w:themeColor="text1"/>
          <w:sz w:val="20"/>
          <w:szCs w:val="20"/>
          <w:u w:val="single"/>
        </w:rPr>
      </w:pPr>
      <w:r w:rsidRPr="00134BA5">
        <w:rPr>
          <w:rFonts w:ascii="Arial" w:hAnsi="Arial" w:cs="Arial"/>
          <w:color w:val="000000" w:themeColor="text1"/>
          <w:sz w:val="20"/>
          <w:szCs w:val="20"/>
          <w:u w:val="single"/>
        </w:rPr>
        <w:t xml:space="preserve">Gérer les hypoglycémies </w:t>
      </w:r>
    </w:p>
    <w:p w14:paraId="692EEFED" w14:textId="77777777" w:rsidR="00ED4694" w:rsidRPr="00134BA5"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Resucrage par le patient si conscient</w:t>
      </w:r>
      <w:r>
        <w:rPr>
          <w:rFonts w:ascii="Arial" w:hAnsi="Arial" w:cs="Arial"/>
          <w:color w:val="000000" w:themeColor="text1"/>
          <w:sz w:val="20"/>
          <w:szCs w:val="20"/>
        </w:rPr>
        <w:t> :</w:t>
      </w:r>
      <w:r w:rsidRPr="005749A0">
        <w:rPr>
          <w:rFonts w:ascii="Arial" w:hAnsi="Arial" w:cs="Arial"/>
          <w:color w:val="000000" w:themeColor="text1"/>
          <w:sz w:val="20"/>
          <w:szCs w:val="20"/>
        </w:rPr>
        <w:t xml:space="preserve"> 3 sucres</w:t>
      </w:r>
      <w:r>
        <w:rPr>
          <w:rFonts w:ascii="Arial" w:hAnsi="Arial" w:cs="Arial"/>
          <w:color w:val="000000" w:themeColor="text1"/>
          <w:sz w:val="20"/>
          <w:szCs w:val="20"/>
        </w:rPr>
        <w:t xml:space="preserve">, </w:t>
      </w:r>
      <w:r w:rsidRPr="00134BA5">
        <w:rPr>
          <w:rFonts w:ascii="Arial" w:hAnsi="Arial" w:cs="Arial"/>
          <w:color w:val="000000" w:themeColor="text1"/>
          <w:sz w:val="20"/>
          <w:szCs w:val="20"/>
        </w:rPr>
        <w:t>15 cl Coca</w:t>
      </w:r>
      <w:r>
        <w:rPr>
          <w:rFonts w:ascii="Arial" w:hAnsi="Arial" w:cs="Arial"/>
          <w:color w:val="000000" w:themeColor="text1"/>
          <w:sz w:val="20"/>
          <w:szCs w:val="20"/>
        </w:rPr>
        <w:t xml:space="preserve">, </w:t>
      </w:r>
      <w:r w:rsidRPr="00134BA5">
        <w:rPr>
          <w:rFonts w:ascii="Arial" w:hAnsi="Arial" w:cs="Arial"/>
          <w:color w:val="000000" w:themeColor="text1"/>
          <w:sz w:val="20"/>
          <w:szCs w:val="20"/>
        </w:rPr>
        <w:t xml:space="preserve">Adapté si patient sous insulinothérapie fonctionnelle </w:t>
      </w:r>
    </w:p>
    <w:p w14:paraId="48B7544D"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 xml:space="preserve">Ne pas parler de « sucre » : </w:t>
      </w:r>
      <w:r w:rsidRPr="005749A0">
        <w:rPr>
          <w:rFonts w:ascii="Arial" w:hAnsi="Arial" w:cs="Arial"/>
          <w:color w:val="000000" w:themeColor="text1"/>
          <w:sz w:val="20"/>
          <w:szCs w:val="20"/>
        </w:rPr>
        <w:t xml:space="preserve">Peut rendre le patient agressif </w:t>
      </w:r>
    </w:p>
    <w:p w14:paraId="3C29FBD1" w14:textId="77777777" w:rsidR="00ED4694" w:rsidRPr="005749A0" w:rsidRDefault="00ED4694" w:rsidP="00ED4694">
      <w:pPr>
        <w:pStyle w:val="Sansinterligne"/>
        <w:jc w:val="both"/>
        <w:rPr>
          <w:rFonts w:ascii="Arial" w:hAnsi="Arial" w:cs="Arial"/>
          <w:color w:val="000000" w:themeColor="text1"/>
          <w:sz w:val="20"/>
          <w:szCs w:val="20"/>
        </w:rPr>
      </w:pPr>
      <w:r w:rsidRPr="006D2A4A">
        <w:rPr>
          <w:rFonts w:ascii="Arial" w:hAnsi="Arial" w:cs="Arial"/>
          <w:noProof/>
          <w:color w:val="000000" w:themeColor="text1"/>
          <w:sz w:val="20"/>
          <w:szCs w:val="20"/>
        </w:rPr>
        <w:drawing>
          <wp:anchor distT="0" distB="0" distL="114300" distR="114300" simplePos="0" relativeHeight="251792384" behindDoc="1" locked="0" layoutInCell="1" allowOverlap="1" wp14:anchorId="6BC35042" wp14:editId="3EEADAEE">
            <wp:simplePos x="0" y="0"/>
            <wp:positionH relativeFrom="column">
              <wp:posOffset>5029200</wp:posOffset>
            </wp:positionH>
            <wp:positionV relativeFrom="paragraph">
              <wp:posOffset>60325</wp:posOffset>
            </wp:positionV>
            <wp:extent cx="1804670" cy="1119505"/>
            <wp:effectExtent l="0" t="0" r="0" b="0"/>
            <wp:wrapTight wrapText="bothSides">
              <wp:wrapPolygon edited="0">
                <wp:start x="0" y="0"/>
                <wp:lineTo x="0" y="21318"/>
                <wp:lineTo x="21433" y="21318"/>
                <wp:lineTo x="21433" y="0"/>
                <wp:lineTo x="0" y="0"/>
              </wp:wrapPolygon>
            </wp:wrapTight>
            <wp:docPr id="9888401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840113"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804670" cy="1119505"/>
                    </a:xfrm>
                    <a:prstGeom prst="rect">
                      <a:avLst/>
                    </a:prstGeom>
                  </pic:spPr>
                </pic:pic>
              </a:graphicData>
            </a:graphic>
            <wp14:sizeRelH relativeFrom="page">
              <wp14:pctWidth>0</wp14:pctWidth>
            </wp14:sizeRelH>
            <wp14:sizeRelV relativeFrom="page">
              <wp14:pctHeight>0</wp14:pctHeight>
            </wp14:sizeRelV>
          </wp:anchor>
        </w:drawing>
      </w:r>
      <w:r w:rsidRPr="005749A0">
        <w:rPr>
          <w:rFonts w:ascii="Arial" w:hAnsi="Arial" w:cs="Arial"/>
          <w:color w:val="000000" w:themeColor="text1"/>
          <w:sz w:val="20"/>
          <w:szCs w:val="20"/>
        </w:rPr>
        <w:t xml:space="preserve"> </w:t>
      </w:r>
    </w:p>
    <w:p w14:paraId="31AE65B5" w14:textId="77777777" w:rsidR="00ED4694" w:rsidRPr="00134BA5" w:rsidRDefault="00ED4694" w:rsidP="00ED4694">
      <w:pPr>
        <w:pStyle w:val="Sansinterligne"/>
        <w:jc w:val="both"/>
        <w:rPr>
          <w:rFonts w:ascii="Arial" w:hAnsi="Arial" w:cs="Arial"/>
          <w:color w:val="000000" w:themeColor="text1"/>
          <w:sz w:val="20"/>
          <w:szCs w:val="20"/>
          <w:u w:val="single"/>
        </w:rPr>
      </w:pPr>
      <w:r w:rsidRPr="00134BA5">
        <w:rPr>
          <w:rFonts w:ascii="Arial" w:hAnsi="Arial" w:cs="Arial"/>
          <w:color w:val="000000" w:themeColor="text1"/>
          <w:sz w:val="20"/>
          <w:szCs w:val="20"/>
          <w:u w:val="single"/>
        </w:rPr>
        <w:t>Glucagon : conseils utiles :</w:t>
      </w:r>
    </w:p>
    <w:p w14:paraId="0A808FFF"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GLUCAGEN KIT® (Novo Nordisk), médicament liste 1</w:t>
      </w:r>
    </w:p>
    <w:p w14:paraId="0120E8CE" w14:textId="77777777" w:rsidR="00ED4694" w:rsidRPr="00134BA5"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Se conserve au réfrigérateur ou 18 mois température ambiante </w:t>
      </w:r>
    </w:p>
    <w:p w14:paraId="668FDF08"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Seringue pré-remplie de solvant + flacon de poudre </w:t>
      </w:r>
    </w:p>
    <w:p w14:paraId="386C1897"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Indication : coma hypoglycémique </w:t>
      </w:r>
    </w:p>
    <w:p w14:paraId="25F82044"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Geste simple, peut-être réalisé par tout le monde </w:t>
      </w:r>
    </w:p>
    <w:p w14:paraId="3AFA8827"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Efficacité en 20 minutes, au réveil, nausées, se resucrer et anti-émétique </w:t>
      </w:r>
    </w:p>
    <w:p w14:paraId="38460388"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D</w:t>
      </w:r>
      <w:r w:rsidRPr="005749A0">
        <w:rPr>
          <w:rFonts w:ascii="Arial" w:hAnsi="Arial" w:cs="Arial"/>
          <w:color w:val="000000" w:themeColor="text1"/>
          <w:sz w:val="20"/>
          <w:szCs w:val="20"/>
        </w:rPr>
        <w:t xml:space="preserve">evant un patient en coma hypoglycémique, ne pas paniquer, faire les gestes calmement, mettre en position latérale de sécurité, injection IM de Glucagon </w:t>
      </w:r>
    </w:p>
    <w:p w14:paraId="71023732"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134BA5">
        <w:rPr>
          <w:rFonts w:ascii="Arial" w:hAnsi="Arial" w:cs="Arial"/>
          <w:color w:val="000000" w:themeColor="text1"/>
          <w:sz w:val="20"/>
          <w:szCs w:val="20"/>
        </w:rPr>
        <w:t xml:space="preserve">Si panique, SAMU (15) </w:t>
      </w:r>
    </w:p>
    <w:p w14:paraId="7D0C5B3E" w14:textId="77777777" w:rsidR="00ED4694" w:rsidRDefault="00ED4694" w:rsidP="00ED4694">
      <w:pPr>
        <w:pStyle w:val="Sansinterligne"/>
        <w:ind w:left="360"/>
        <w:jc w:val="both"/>
        <w:rPr>
          <w:rFonts w:ascii="Arial" w:hAnsi="Arial" w:cs="Arial"/>
          <w:color w:val="000000" w:themeColor="text1"/>
          <w:sz w:val="20"/>
          <w:szCs w:val="20"/>
        </w:rPr>
      </w:pPr>
    </w:p>
    <w:p w14:paraId="5E1550E2" w14:textId="77777777" w:rsidR="00ED4694" w:rsidRDefault="00ED4694" w:rsidP="00ED4694">
      <w:pPr>
        <w:pStyle w:val="Sansinterligne"/>
        <w:jc w:val="both"/>
        <w:rPr>
          <w:rFonts w:ascii="Arial" w:hAnsi="Arial" w:cs="Arial"/>
          <w:color w:val="000000" w:themeColor="text1"/>
          <w:sz w:val="20"/>
          <w:szCs w:val="20"/>
        </w:rPr>
      </w:pPr>
    </w:p>
    <w:p w14:paraId="72CCD593" w14:textId="77777777" w:rsidR="00ED4694" w:rsidRDefault="00ED4694" w:rsidP="00ED4694">
      <w:pPr>
        <w:pStyle w:val="Sansinterligne"/>
        <w:jc w:val="both"/>
        <w:rPr>
          <w:rFonts w:ascii="Arial" w:hAnsi="Arial" w:cs="Arial"/>
          <w:color w:val="000000" w:themeColor="text1"/>
          <w:sz w:val="20"/>
          <w:szCs w:val="20"/>
        </w:rPr>
      </w:pPr>
    </w:p>
    <w:p w14:paraId="372A62B0" w14:textId="77777777" w:rsidR="00ED4694" w:rsidRDefault="00ED4694" w:rsidP="00ED4694">
      <w:pPr>
        <w:pStyle w:val="Sansinterligne"/>
        <w:jc w:val="both"/>
        <w:rPr>
          <w:rFonts w:ascii="Arial" w:hAnsi="Arial" w:cs="Arial"/>
          <w:color w:val="000000" w:themeColor="text1"/>
          <w:sz w:val="20"/>
          <w:szCs w:val="20"/>
        </w:rPr>
      </w:pPr>
      <w:r w:rsidRPr="00134BA5">
        <w:rPr>
          <w:rFonts w:ascii="Arial" w:hAnsi="Arial" w:cs="Arial"/>
          <w:noProof/>
          <w:color w:val="000000" w:themeColor="text1"/>
          <w:sz w:val="20"/>
          <w:szCs w:val="20"/>
        </w:rPr>
        <w:lastRenderedPageBreak/>
        <w:drawing>
          <wp:anchor distT="0" distB="0" distL="114300" distR="114300" simplePos="0" relativeHeight="251743232" behindDoc="1" locked="0" layoutInCell="1" allowOverlap="1" wp14:anchorId="52DDA5F7" wp14:editId="1C34D5D7">
            <wp:simplePos x="0" y="0"/>
            <wp:positionH relativeFrom="column">
              <wp:posOffset>1358543</wp:posOffset>
            </wp:positionH>
            <wp:positionV relativeFrom="paragraph">
              <wp:posOffset>115570</wp:posOffset>
            </wp:positionV>
            <wp:extent cx="1016000" cy="2206625"/>
            <wp:effectExtent l="0" t="0" r="0" b="3175"/>
            <wp:wrapTight wrapText="bothSides">
              <wp:wrapPolygon edited="0">
                <wp:start x="0" y="0"/>
                <wp:lineTo x="0" y="21507"/>
                <wp:lineTo x="21330" y="21507"/>
                <wp:lineTo x="21330" y="0"/>
                <wp:lineTo x="0" y="0"/>
              </wp:wrapPolygon>
            </wp:wrapTight>
            <wp:docPr id="18546723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672388" name=""/>
                    <pic:cNvPicPr/>
                  </pic:nvPicPr>
                  <pic:blipFill>
                    <a:blip r:embed="rId148">
                      <a:extLst>
                        <a:ext uri="{28A0092B-C50C-407E-A947-70E740481C1C}">
                          <a14:useLocalDpi xmlns:a14="http://schemas.microsoft.com/office/drawing/2010/main" val="0"/>
                        </a:ext>
                      </a:extLst>
                    </a:blip>
                    <a:stretch>
                      <a:fillRect/>
                    </a:stretch>
                  </pic:blipFill>
                  <pic:spPr>
                    <a:xfrm>
                      <a:off x="0" y="0"/>
                      <a:ext cx="1016000" cy="2206625"/>
                    </a:xfrm>
                    <a:prstGeom prst="rect">
                      <a:avLst/>
                    </a:prstGeom>
                  </pic:spPr>
                </pic:pic>
              </a:graphicData>
            </a:graphic>
            <wp14:sizeRelH relativeFrom="page">
              <wp14:pctWidth>0</wp14:pctWidth>
            </wp14:sizeRelH>
            <wp14:sizeRelV relativeFrom="page">
              <wp14:pctHeight>0</wp14:pctHeight>
            </wp14:sizeRelV>
          </wp:anchor>
        </w:drawing>
      </w:r>
      <w:r w:rsidRPr="00134BA5">
        <w:rPr>
          <w:rFonts w:ascii="Arial" w:hAnsi="Arial" w:cs="Arial"/>
          <w:noProof/>
          <w:color w:val="000000" w:themeColor="text1"/>
          <w:sz w:val="20"/>
          <w:szCs w:val="20"/>
        </w:rPr>
        <w:drawing>
          <wp:anchor distT="0" distB="0" distL="114300" distR="114300" simplePos="0" relativeHeight="251744256" behindDoc="1" locked="0" layoutInCell="1" allowOverlap="1" wp14:anchorId="31FC5C2B" wp14:editId="3968A6E7">
            <wp:simplePos x="0" y="0"/>
            <wp:positionH relativeFrom="column">
              <wp:posOffset>2845642</wp:posOffset>
            </wp:positionH>
            <wp:positionV relativeFrom="paragraph">
              <wp:posOffset>314</wp:posOffset>
            </wp:positionV>
            <wp:extent cx="3340100" cy="2454910"/>
            <wp:effectExtent l="0" t="0" r="0" b="0"/>
            <wp:wrapTight wrapText="bothSides">
              <wp:wrapPolygon edited="0">
                <wp:start x="0" y="0"/>
                <wp:lineTo x="0" y="21455"/>
                <wp:lineTo x="21518" y="21455"/>
                <wp:lineTo x="21518" y="0"/>
                <wp:lineTo x="0" y="0"/>
              </wp:wrapPolygon>
            </wp:wrapTight>
            <wp:docPr id="19448145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14536" name=""/>
                    <pic:cNvPicPr/>
                  </pic:nvPicPr>
                  <pic:blipFill>
                    <a:blip r:embed="rId149">
                      <a:extLst>
                        <a:ext uri="{28A0092B-C50C-407E-A947-70E740481C1C}">
                          <a14:useLocalDpi xmlns:a14="http://schemas.microsoft.com/office/drawing/2010/main" val="0"/>
                        </a:ext>
                      </a:extLst>
                    </a:blip>
                    <a:stretch>
                      <a:fillRect/>
                    </a:stretch>
                  </pic:blipFill>
                  <pic:spPr>
                    <a:xfrm>
                      <a:off x="0" y="0"/>
                      <a:ext cx="3340100" cy="2454910"/>
                    </a:xfrm>
                    <a:prstGeom prst="rect">
                      <a:avLst/>
                    </a:prstGeom>
                  </pic:spPr>
                </pic:pic>
              </a:graphicData>
            </a:graphic>
            <wp14:sizeRelH relativeFrom="page">
              <wp14:pctWidth>0</wp14:pctWidth>
            </wp14:sizeRelH>
            <wp14:sizeRelV relativeFrom="page">
              <wp14:pctHeight>0</wp14:pctHeight>
            </wp14:sizeRelV>
          </wp:anchor>
        </w:drawing>
      </w:r>
    </w:p>
    <w:p w14:paraId="7018BE32" w14:textId="77777777" w:rsidR="00ED4694" w:rsidRPr="00134BA5" w:rsidRDefault="00ED4694" w:rsidP="00ED4694">
      <w:pPr>
        <w:pStyle w:val="Sansinterligne"/>
        <w:jc w:val="both"/>
        <w:rPr>
          <w:rFonts w:ascii="Arial" w:hAnsi="Arial" w:cs="Arial"/>
          <w:color w:val="000000" w:themeColor="text1"/>
          <w:sz w:val="20"/>
          <w:szCs w:val="20"/>
        </w:rPr>
      </w:pPr>
    </w:p>
    <w:p w14:paraId="00457037" w14:textId="77777777" w:rsidR="00ED4694" w:rsidRPr="005749A0" w:rsidRDefault="00ED4694" w:rsidP="00ED4694">
      <w:pPr>
        <w:pStyle w:val="Sansinterligne"/>
        <w:jc w:val="both"/>
        <w:rPr>
          <w:rFonts w:ascii="Arial" w:hAnsi="Arial" w:cs="Arial"/>
          <w:color w:val="000000" w:themeColor="text1"/>
          <w:sz w:val="20"/>
          <w:szCs w:val="20"/>
        </w:rPr>
      </w:pPr>
    </w:p>
    <w:p w14:paraId="02EE9EC3" w14:textId="77777777" w:rsidR="00ED4694" w:rsidRDefault="00ED4694" w:rsidP="00ED4694">
      <w:pPr>
        <w:pStyle w:val="Sansinterligne"/>
        <w:jc w:val="both"/>
        <w:rPr>
          <w:rFonts w:ascii="Arial" w:hAnsi="Arial" w:cs="Arial"/>
          <w:color w:val="000000" w:themeColor="text1"/>
          <w:sz w:val="20"/>
          <w:szCs w:val="20"/>
        </w:rPr>
      </w:pPr>
    </w:p>
    <w:p w14:paraId="174D5BD6" w14:textId="77777777" w:rsidR="00ED4694" w:rsidRDefault="00ED4694" w:rsidP="00ED4694">
      <w:pPr>
        <w:pStyle w:val="Sansinterligne"/>
        <w:jc w:val="both"/>
        <w:rPr>
          <w:rFonts w:ascii="Arial" w:hAnsi="Arial" w:cs="Arial"/>
          <w:color w:val="000000" w:themeColor="text1"/>
          <w:sz w:val="20"/>
          <w:szCs w:val="20"/>
        </w:rPr>
      </w:pPr>
    </w:p>
    <w:p w14:paraId="0DC8DD0D" w14:textId="77777777" w:rsidR="00ED4694" w:rsidRDefault="00ED4694" w:rsidP="00ED4694">
      <w:pPr>
        <w:pStyle w:val="Sansinterligne"/>
        <w:jc w:val="both"/>
        <w:rPr>
          <w:rFonts w:ascii="Arial" w:hAnsi="Arial" w:cs="Arial"/>
          <w:color w:val="000000" w:themeColor="text1"/>
          <w:sz w:val="20"/>
          <w:szCs w:val="20"/>
        </w:rPr>
      </w:pPr>
    </w:p>
    <w:p w14:paraId="6DD4F7C6" w14:textId="77777777" w:rsidR="00ED4694" w:rsidRDefault="00ED4694" w:rsidP="00ED4694">
      <w:pPr>
        <w:pStyle w:val="Sansinterligne"/>
        <w:jc w:val="both"/>
        <w:rPr>
          <w:rFonts w:ascii="Arial" w:hAnsi="Arial" w:cs="Arial"/>
          <w:color w:val="000000" w:themeColor="text1"/>
          <w:sz w:val="20"/>
          <w:szCs w:val="20"/>
        </w:rPr>
      </w:pPr>
    </w:p>
    <w:p w14:paraId="1E326A65" w14:textId="77777777" w:rsidR="00ED4694" w:rsidRDefault="00ED4694" w:rsidP="00ED4694">
      <w:pPr>
        <w:pStyle w:val="Sansinterligne"/>
        <w:jc w:val="both"/>
        <w:rPr>
          <w:rFonts w:ascii="Arial" w:hAnsi="Arial" w:cs="Arial"/>
          <w:color w:val="000000" w:themeColor="text1"/>
          <w:sz w:val="20"/>
          <w:szCs w:val="20"/>
        </w:rPr>
      </w:pPr>
    </w:p>
    <w:p w14:paraId="0F285F83" w14:textId="77777777" w:rsidR="00ED4694" w:rsidRDefault="00ED4694" w:rsidP="00ED4694">
      <w:pPr>
        <w:pStyle w:val="Sansinterligne"/>
        <w:jc w:val="both"/>
        <w:rPr>
          <w:rFonts w:ascii="Arial" w:hAnsi="Arial" w:cs="Arial"/>
          <w:color w:val="000000" w:themeColor="text1"/>
          <w:sz w:val="20"/>
          <w:szCs w:val="20"/>
        </w:rPr>
      </w:pPr>
    </w:p>
    <w:p w14:paraId="1AE4EE9F" w14:textId="77777777" w:rsidR="00ED4694" w:rsidRDefault="00ED4694" w:rsidP="00ED4694">
      <w:pPr>
        <w:pStyle w:val="Sansinterligne"/>
        <w:jc w:val="both"/>
        <w:rPr>
          <w:rFonts w:ascii="Arial" w:hAnsi="Arial" w:cs="Arial"/>
          <w:color w:val="000000" w:themeColor="text1"/>
          <w:sz w:val="20"/>
          <w:szCs w:val="20"/>
        </w:rPr>
      </w:pPr>
    </w:p>
    <w:p w14:paraId="5BA30EEB" w14:textId="77777777" w:rsidR="00ED4694" w:rsidRDefault="00ED4694" w:rsidP="00ED4694">
      <w:pPr>
        <w:pStyle w:val="Sansinterligne"/>
        <w:jc w:val="both"/>
        <w:rPr>
          <w:rFonts w:ascii="Arial" w:hAnsi="Arial" w:cs="Arial"/>
          <w:color w:val="000000" w:themeColor="text1"/>
          <w:sz w:val="20"/>
          <w:szCs w:val="20"/>
        </w:rPr>
      </w:pPr>
    </w:p>
    <w:p w14:paraId="19804050" w14:textId="77777777" w:rsidR="00ED4694" w:rsidRDefault="00ED4694" w:rsidP="00ED4694">
      <w:pPr>
        <w:pStyle w:val="Sansinterligne"/>
        <w:jc w:val="both"/>
        <w:rPr>
          <w:rFonts w:ascii="Arial" w:hAnsi="Arial" w:cs="Arial"/>
          <w:color w:val="000000" w:themeColor="text1"/>
          <w:sz w:val="20"/>
          <w:szCs w:val="20"/>
        </w:rPr>
      </w:pPr>
    </w:p>
    <w:p w14:paraId="683008F6" w14:textId="77777777" w:rsidR="00ED4694" w:rsidRDefault="00ED4694" w:rsidP="00ED4694">
      <w:pPr>
        <w:pStyle w:val="Sansinterligne"/>
        <w:jc w:val="both"/>
        <w:rPr>
          <w:rFonts w:ascii="Arial" w:hAnsi="Arial" w:cs="Arial"/>
          <w:color w:val="000000" w:themeColor="text1"/>
          <w:sz w:val="20"/>
          <w:szCs w:val="20"/>
        </w:rPr>
      </w:pPr>
    </w:p>
    <w:p w14:paraId="15D4C5A6" w14:textId="77777777" w:rsidR="00ED4694" w:rsidRDefault="00ED4694" w:rsidP="00ED4694">
      <w:pPr>
        <w:pStyle w:val="Sansinterligne"/>
        <w:jc w:val="both"/>
        <w:rPr>
          <w:rFonts w:ascii="Arial" w:hAnsi="Arial" w:cs="Arial"/>
          <w:color w:val="000000" w:themeColor="text1"/>
          <w:sz w:val="20"/>
          <w:szCs w:val="20"/>
        </w:rPr>
      </w:pPr>
    </w:p>
    <w:p w14:paraId="1EAF2395" w14:textId="77777777" w:rsidR="00ED4694" w:rsidRDefault="00ED4694" w:rsidP="00ED4694">
      <w:pPr>
        <w:pStyle w:val="Sansinterligne"/>
        <w:jc w:val="both"/>
        <w:rPr>
          <w:rFonts w:ascii="Arial" w:hAnsi="Arial" w:cs="Arial"/>
          <w:color w:val="000000" w:themeColor="text1"/>
          <w:sz w:val="20"/>
          <w:szCs w:val="20"/>
        </w:rPr>
      </w:pPr>
    </w:p>
    <w:p w14:paraId="3FF4E066" w14:textId="77777777" w:rsidR="00ED4694" w:rsidRDefault="00ED4694" w:rsidP="00ED4694">
      <w:pPr>
        <w:pStyle w:val="Sansinterligne"/>
        <w:jc w:val="both"/>
        <w:rPr>
          <w:rFonts w:ascii="Arial" w:hAnsi="Arial" w:cs="Arial"/>
          <w:color w:val="000000" w:themeColor="text1"/>
          <w:sz w:val="20"/>
          <w:szCs w:val="20"/>
        </w:rPr>
      </w:pPr>
    </w:p>
    <w:p w14:paraId="305177A8" w14:textId="77777777" w:rsidR="00ED4694" w:rsidRDefault="00ED4694" w:rsidP="00ED4694">
      <w:pPr>
        <w:pStyle w:val="Sansinterligne"/>
        <w:jc w:val="both"/>
        <w:rPr>
          <w:rFonts w:ascii="Arial" w:hAnsi="Arial" w:cs="Arial"/>
          <w:color w:val="000000" w:themeColor="text1"/>
          <w:sz w:val="20"/>
          <w:szCs w:val="20"/>
        </w:rPr>
      </w:pPr>
    </w:p>
    <w:p w14:paraId="40683043" w14:textId="77777777" w:rsidR="00ED4694" w:rsidRPr="005749A0" w:rsidRDefault="00ED4694" w:rsidP="00ED4694">
      <w:pPr>
        <w:pStyle w:val="Sansinterligne"/>
        <w:jc w:val="both"/>
        <w:rPr>
          <w:rFonts w:ascii="Arial" w:hAnsi="Arial" w:cs="Arial"/>
          <w:color w:val="000000" w:themeColor="text1"/>
          <w:sz w:val="20"/>
          <w:szCs w:val="20"/>
        </w:rPr>
      </w:pPr>
    </w:p>
    <w:p w14:paraId="78105812" w14:textId="77777777" w:rsidR="00ED4694" w:rsidRPr="00134BA5" w:rsidRDefault="00ED4694" w:rsidP="00ED4694">
      <w:pPr>
        <w:pStyle w:val="Sansinterligne"/>
        <w:jc w:val="both"/>
        <w:rPr>
          <w:rFonts w:ascii="Arial" w:hAnsi="Arial" w:cs="Arial"/>
          <w:color w:val="000000" w:themeColor="text1"/>
          <w:sz w:val="20"/>
          <w:szCs w:val="20"/>
          <w:u w:val="single"/>
        </w:rPr>
      </w:pPr>
      <w:r w:rsidRPr="00134BA5">
        <w:rPr>
          <w:rFonts w:ascii="Arial" w:hAnsi="Arial" w:cs="Arial"/>
          <w:color w:val="000000" w:themeColor="text1"/>
          <w:sz w:val="20"/>
          <w:szCs w:val="20"/>
          <w:u w:val="single"/>
        </w:rPr>
        <w:t xml:space="preserve">ASG dans le type 1 </w:t>
      </w:r>
    </w:p>
    <w:p w14:paraId="260FB3A9"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Essentielle : suivi de l’évolution des glycémies </w:t>
      </w:r>
    </w:p>
    <w:p w14:paraId="436C1D75" w14:textId="77777777" w:rsidR="00ED4694" w:rsidRPr="00134BA5" w:rsidRDefault="00ED4694" w:rsidP="00ED4694">
      <w:pPr>
        <w:pStyle w:val="Sansinterligne"/>
        <w:numPr>
          <w:ilvl w:val="0"/>
          <w:numId w:val="140"/>
        </w:numPr>
        <w:jc w:val="both"/>
        <w:rPr>
          <w:rFonts w:ascii="Arial" w:hAnsi="Arial" w:cs="Arial"/>
          <w:color w:val="000000" w:themeColor="text1"/>
          <w:sz w:val="20"/>
          <w:szCs w:val="20"/>
        </w:rPr>
      </w:pPr>
      <w:r w:rsidRPr="00134BA5">
        <w:rPr>
          <w:rFonts w:ascii="Arial" w:hAnsi="Arial" w:cs="Arial"/>
          <w:color w:val="000000" w:themeColor="text1"/>
          <w:sz w:val="20"/>
          <w:szCs w:val="20"/>
        </w:rPr>
        <w:t xml:space="preserve">Permet d’adapter les doses d’insuline à chaque injection </w:t>
      </w:r>
    </w:p>
    <w:p w14:paraId="25B2DAC9"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 Plus il y a d’injections, plus il faut se contrôler » </w:t>
      </w:r>
    </w:p>
    <w:p w14:paraId="59801D38"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Permet de limiter les hypoglycémies et de les gérer </w:t>
      </w:r>
    </w:p>
    <w:p w14:paraId="22EDE322"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Le carnet d’autosurveillance est primordial : tout noter </w:t>
      </w:r>
    </w:p>
    <w:p w14:paraId="1B2F5783"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4</w:t>
      </w:r>
      <w:r>
        <w:rPr>
          <w:rFonts w:ascii="Arial" w:hAnsi="Arial" w:cs="Arial"/>
          <w:color w:val="000000" w:themeColor="text1"/>
          <w:sz w:val="20"/>
          <w:szCs w:val="20"/>
        </w:rPr>
        <w:t xml:space="preserve"> </w:t>
      </w:r>
      <w:r w:rsidRPr="005749A0">
        <w:rPr>
          <w:rFonts w:ascii="Arial" w:hAnsi="Arial" w:cs="Arial"/>
          <w:color w:val="000000" w:themeColor="text1"/>
          <w:sz w:val="20"/>
          <w:szCs w:val="20"/>
        </w:rPr>
        <w:t>à</w:t>
      </w:r>
      <w:r>
        <w:rPr>
          <w:rFonts w:ascii="Arial" w:hAnsi="Arial" w:cs="Arial"/>
          <w:color w:val="000000" w:themeColor="text1"/>
          <w:sz w:val="20"/>
          <w:szCs w:val="20"/>
        </w:rPr>
        <w:t xml:space="preserve"> </w:t>
      </w:r>
      <w:r w:rsidRPr="005749A0">
        <w:rPr>
          <w:rFonts w:ascii="Arial" w:hAnsi="Arial" w:cs="Arial"/>
          <w:color w:val="000000" w:themeColor="text1"/>
          <w:sz w:val="20"/>
          <w:szCs w:val="20"/>
        </w:rPr>
        <w:t xml:space="preserve">6/j </w:t>
      </w:r>
    </w:p>
    <w:p w14:paraId="023CECFF"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En moyenne 4/j avec une glycémie nocturne </w:t>
      </w:r>
    </w:p>
    <w:p w14:paraId="765CB326"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D ’où définition d ’objectifs glycémiques pour chaque période </w:t>
      </w:r>
    </w:p>
    <w:p w14:paraId="5D51A1B5" w14:textId="77777777" w:rsidR="00ED4694" w:rsidRDefault="00ED4694" w:rsidP="00ED4694">
      <w:pPr>
        <w:pStyle w:val="Sansinterligne"/>
        <w:jc w:val="both"/>
        <w:rPr>
          <w:rFonts w:ascii="Arial" w:hAnsi="Arial" w:cs="Arial"/>
          <w:color w:val="000000" w:themeColor="text1"/>
          <w:sz w:val="20"/>
          <w:szCs w:val="20"/>
        </w:rPr>
      </w:pPr>
    </w:p>
    <w:p w14:paraId="1FB572B3" w14:textId="77777777" w:rsidR="00ED4694" w:rsidRPr="00134BA5" w:rsidRDefault="00ED4694" w:rsidP="00ED4694">
      <w:pPr>
        <w:pStyle w:val="Sansinterligne"/>
        <w:jc w:val="both"/>
        <w:rPr>
          <w:rFonts w:ascii="Arial" w:hAnsi="Arial" w:cs="Arial"/>
          <w:color w:val="000000" w:themeColor="text1"/>
          <w:sz w:val="20"/>
          <w:szCs w:val="20"/>
          <w:u w:val="single"/>
        </w:rPr>
      </w:pPr>
      <w:r w:rsidRPr="00134BA5">
        <w:rPr>
          <w:rFonts w:ascii="Arial" w:hAnsi="Arial" w:cs="Arial"/>
          <w:color w:val="000000" w:themeColor="text1"/>
          <w:sz w:val="20"/>
          <w:szCs w:val="20"/>
          <w:u w:val="single"/>
        </w:rPr>
        <w:t xml:space="preserve">ASG dans le diabète de l’enfant </w:t>
      </w:r>
    </w:p>
    <w:p w14:paraId="0EFDFD9E"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Objectif : dépister les hypoglycémies, les hyperglycémies, gérer le sport </w:t>
      </w:r>
    </w:p>
    <w:p w14:paraId="40F75FE7" w14:textId="77777777" w:rsidR="00ED4694" w:rsidRPr="00134BA5" w:rsidRDefault="00ED4694" w:rsidP="00ED4694">
      <w:pPr>
        <w:pStyle w:val="Sansinterligne"/>
        <w:numPr>
          <w:ilvl w:val="0"/>
          <w:numId w:val="140"/>
        </w:numPr>
        <w:jc w:val="both"/>
        <w:rPr>
          <w:rFonts w:ascii="Arial" w:hAnsi="Arial" w:cs="Arial"/>
          <w:color w:val="000000" w:themeColor="text1"/>
          <w:sz w:val="20"/>
          <w:szCs w:val="20"/>
        </w:rPr>
      </w:pPr>
      <w:r w:rsidRPr="00134BA5">
        <w:rPr>
          <w:rFonts w:ascii="Arial" w:hAnsi="Arial" w:cs="Arial"/>
          <w:color w:val="000000" w:themeColor="text1"/>
          <w:sz w:val="20"/>
          <w:szCs w:val="20"/>
        </w:rPr>
        <w:t>4</w:t>
      </w:r>
      <w:r>
        <w:rPr>
          <w:rFonts w:ascii="Arial" w:hAnsi="Arial" w:cs="Arial"/>
          <w:color w:val="000000" w:themeColor="text1"/>
          <w:sz w:val="20"/>
          <w:szCs w:val="20"/>
        </w:rPr>
        <w:t xml:space="preserve"> </w:t>
      </w:r>
      <w:r w:rsidRPr="00134BA5">
        <w:rPr>
          <w:rFonts w:ascii="Arial" w:hAnsi="Arial" w:cs="Arial"/>
          <w:color w:val="000000" w:themeColor="text1"/>
          <w:sz w:val="20"/>
          <w:szCs w:val="20"/>
        </w:rPr>
        <w:t>à</w:t>
      </w:r>
      <w:r>
        <w:rPr>
          <w:rFonts w:ascii="Arial" w:hAnsi="Arial" w:cs="Arial"/>
          <w:color w:val="000000" w:themeColor="text1"/>
          <w:sz w:val="20"/>
          <w:szCs w:val="20"/>
        </w:rPr>
        <w:t xml:space="preserve"> </w:t>
      </w:r>
      <w:r w:rsidRPr="00134BA5">
        <w:rPr>
          <w:rFonts w:ascii="Arial" w:hAnsi="Arial" w:cs="Arial"/>
          <w:color w:val="000000" w:themeColor="text1"/>
          <w:sz w:val="20"/>
          <w:szCs w:val="20"/>
        </w:rPr>
        <w:t>5</w:t>
      </w:r>
      <w:r>
        <w:rPr>
          <w:rFonts w:ascii="Arial" w:hAnsi="Arial" w:cs="Arial"/>
          <w:color w:val="000000" w:themeColor="text1"/>
          <w:sz w:val="20"/>
          <w:szCs w:val="20"/>
        </w:rPr>
        <w:t xml:space="preserve"> </w:t>
      </w:r>
      <w:r w:rsidRPr="00134BA5">
        <w:rPr>
          <w:rFonts w:ascii="Arial" w:hAnsi="Arial" w:cs="Arial"/>
          <w:color w:val="000000" w:themeColor="text1"/>
          <w:sz w:val="20"/>
          <w:szCs w:val="20"/>
        </w:rPr>
        <w:t>ASG</w:t>
      </w:r>
      <w:r>
        <w:rPr>
          <w:rFonts w:ascii="Arial" w:hAnsi="Arial" w:cs="Arial"/>
          <w:color w:val="000000" w:themeColor="text1"/>
          <w:sz w:val="20"/>
          <w:szCs w:val="20"/>
        </w:rPr>
        <w:t xml:space="preserve"> </w:t>
      </w:r>
      <w:r w:rsidRPr="00134BA5">
        <w:rPr>
          <w:rFonts w:ascii="Arial" w:hAnsi="Arial" w:cs="Arial"/>
          <w:color w:val="000000" w:themeColor="text1"/>
          <w:sz w:val="20"/>
          <w:szCs w:val="20"/>
        </w:rPr>
        <w:t>par</w:t>
      </w:r>
      <w:r>
        <w:rPr>
          <w:rFonts w:ascii="Arial" w:hAnsi="Arial" w:cs="Arial"/>
          <w:color w:val="000000" w:themeColor="text1"/>
          <w:sz w:val="20"/>
          <w:szCs w:val="20"/>
        </w:rPr>
        <w:t xml:space="preserve"> </w:t>
      </w:r>
      <w:r w:rsidRPr="00134BA5">
        <w:rPr>
          <w:rFonts w:ascii="Arial" w:hAnsi="Arial" w:cs="Arial"/>
          <w:color w:val="000000" w:themeColor="text1"/>
          <w:sz w:val="20"/>
          <w:szCs w:val="20"/>
        </w:rPr>
        <w:t>jour,</w:t>
      </w:r>
      <w:r>
        <w:rPr>
          <w:rFonts w:ascii="Arial" w:hAnsi="Arial" w:cs="Arial"/>
          <w:color w:val="000000" w:themeColor="text1"/>
          <w:sz w:val="20"/>
          <w:szCs w:val="20"/>
        </w:rPr>
        <w:t xml:space="preserve"> </w:t>
      </w:r>
      <w:r w:rsidRPr="00134BA5">
        <w:rPr>
          <w:rFonts w:ascii="Arial" w:hAnsi="Arial" w:cs="Arial"/>
          <w:color w:val="000000" w:themeColor="text1"/>
          <w:sz w:val="20"/>
          <w:szCs w:val="20"/>
        </w:rPr>
        <w:t>dont</w:t>
      </w:r>
      <w:r>
        <w:rPr>
          <w:rFonts w:ascii="Arial" w:hAnsi="Arial" w:cs="Arial"/>
          <w:color w:val="000000" w:themeColor="text1"/>
          <w:sz w:val="20"/>
          <w:szCs w:val="20"/>
        </w:rPr>
        <w:t xml:space="preserve"> </w:t>
      </w:r>
      <w:r w:rsidRPr="00134BA5">
        <w:rPr>
          <w:rFonts w:ascii="Arial" w:hAnsi="Arial" w:cs="Arial"/>
          <w:color w:val="000000" w:themeColor="text1"/>
          <w:sz w:val="20"/>
          <w:szCs w:val="20"/>
        </w:rPr>
        <w:t>1</w:t>
      </w:r>
      <w:r>
        <w:rPr>
          <w:rFonts w:ascii="Arial" w:hAnsi="Arial" w:cs="Arial"/>
          <w:color w:val="000000" w:themeColor="text1"/>
          <w:sz w:val="20"/>
          <w:szCs w:val="20"/>
        </w:rPr>
        <w:t xml:space="preserve"> </w:t>
      </w:r>
      <w:r w:rsidRPr="00134BA5">
        <w:rPr>
          <w:rFonts w:ascii="Arial" w:hAnsi="Arial" w:cs="Arial"/>
          <w:color w:val="000000" w:themeColor="text1"/>
          <w:sz w:val="20"/>
          <w:szCs w:val="20"/>
        </w:rPr>
        <w:t>au</w:t>
      </w:r>
      <w:r>
        <w:rPr>
          <w:rFonts w:ascii="Arial" w:hAnsi="Arial" w:cs="Arial"/>
          <w:color w:val="000000" w:themeColor="text1"/>
          <w:sz w:val="20"/>
          <w:szCs w:val="20"/>
        </w:rPr>
        <w:t xml:space="preserve"> </w:t>
      </w:r>
      <w:r w:rsidRPr="00134BA5">
        <w:rPr>
          <w:rFonts w:ascii="Arial" w:hAnsi="Arial" w:cs="Arial"/>
          <w:color w:val="000000" w:themeColor="text1"/>
          <w:sz w:val="20"/>
          <w:szCs w:val="20"/>
        </w:rPr>
        <w:t xml:space="preserve">coucher </w:t>
      </w:r>
    </w:p>
    <w:p w14:paraId="6D270206" w14:textId="77777777" w:rsidR="00ED4694" w:rsidRPr="005749A0"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Très anxiogène pour les paren</w:t>
      </w:r>
      <w:r>
        <w:rPr>
          <w:rFonts w:ascii="Arial" w:hAnsi="Arial" w:cs="Arial"/>
          <w:color w:val="000000" w:themeColor="text1"/>
          <w:sz w:val="20"/>
          <w:szCs w:val="20"/>
        </w:rPr>
        <w:t>t</w:t>
      </w:r>
      <w:r w:rsidRPr="005749A0">
        <w:rPr>
          <w:rFonts w:ascii="Arial" w:hAnsi="Arial" w:cs="Arial"/>
          <w:color w:val="000000" w:themeColor="text1"/>
          <w:sz w:val="20"/>
          <w:szCs w:val="20"/>
        </w:rPr>
        <w:t xml:space="preserve">s </w:t>
      </w:r>
    </w:p>
    <w:p w14:paraId="0C85899B"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Surtout apprentissage de soi, pour le passage au diabète adulte </w:t>
      </w:r>
    </w:p>
    <w:p w14:paraId="79FCC8A9"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134BA5">
        <w:rPr>
          <w:rFonts w:ascii="Arial" w:hAnsi="Arial" w:cs="Arial"/>
          <w:color w:val="000000" w:themeColor="text1"/>
          <w:sz w:val="20"/>
          <w:szCs w:val="20"/>
        </w:rPr>
        <w:t xml:space="preserve">Importance du choix de l ’autopiqueur </w:t>
      </w:r>
    </w:p>
    <w:p w14:paraId="71AAF4ED" w14:textId="77777777" w:rsidR="00ED4694" w:rsidRPr="00134BA5" w:rsidRDefault="00ED4694" w:rsidP="00ED4694">
      <w:pPr>
        <w:pStyle w:val="Sansinterligne"/>
        <w:numPr>
          <w:ilvl w:val="0"/>
          <w:numId w:val="140"/>
        </w:numPr>
        <w:jc w:val="both"/>
        <w:rPr>
          <w:rFonts w:ascii="Arial" w:hAnsi="Arial" w:cs="Arial"/>
          <w:color w:val="000000" w:themeColor="text1"/>
          <w:sz w:val="20"/>
          <w:szCs w:val="20"/>
        </w:rPr>
      </w:pPr>
      <w:r w:rsidRPr="00134BA5">
        <w:rPr>
          <w:rFonts w:ascii="Arial" w:hAnsi="Arial" w:cs="Arial"/>
          <w:color w:val="000000" w:themeColor="text1"/>
          <w:sz w:val="20"/>
          <w:szCs w:val="20"/>
        </w:rPr>
        <w:t xml:space="preserve">Attention aux faux carnets chez l’adolescent !!! </w:t>
      </w:r>
    </w:p>
    <w:p w14:paraId="468319EA" w14:textId="77777777" w:rsidR="00ED4694" w:rsidRDefault="00ED4694" w:rsidP="00ED4694">
      <w:pPr>
        <w:pStyle w:val="Sansinterligne"/>
        <w:jc w:val="both"/>
        <w:rPr>
          <w:rFonts w:ascii="Arial" w:hAnsi="Arial" w:cs="Arial"/>
          <w:color w:val="000000" w:themeColor="text1"/>
          <w:sz w:val="20"/>
          <w:szCs w:val="20"/>
        </w:rPr>
      </w:pPr>
    </w:p>
    <w:p w14:paraId="2E85FC8D" w14:textId="77777777" w:rsidR="00ED4694" w:rsidRDefault="00ED4694" w:rsidP="00ED4694">
      <w:pPr>
        <w:pStyle w:val="Sansinterligne"/>
        <w:jc w:val="both"/>
        <w:rPr>
          <w:rFonts w:ascii="Arial" w:hAnsi="Arial" w:cs="Arial"/>
          <w:color w:val="000000" w:themeColor="text1"/>
          <w:sz w:val="20"/>
          <w:szCs w:val="20"/>
        </w:rPr>
      </w:pPr>
      <w:r w:rsidRPr="00134BA5">
        <w:rPr>
          <w:rFonts w:ascii="Arial" w:hAnsi="Arial" w:cs="Arial"/>
          <w:color w:val="000000" w:themeColor="text1"/>
          <w:sz w:val="20"/>
          <w:szCs w:val="20"/>
          <w:u w:val="single"/>
        </w:rPr>
        <w:t>Suivi</w:t>
      </w:r>
      <w:r>
        <w:rPr>
          <w:rFonts w:ascii="Arial" w:hAnsi="Arial" w:cs="Arial"/>
          <w:color w:val="000000" w:themeColor="text1"/>
          <w:sz w:val="20"/>
          <w:szCs w:val="20"/>
        </w:rPr>
        <w:t> : HAS, UELC, Insuffisance hépatique : que se passe-t-il ?</w:t>
      </w:r>
    </w:p>
    <w:p w14:paraId="65367F31" w14:textId="77777777" w:rsidR="00ED4694" w:rsidRDefault="00ED4694" w:rsidP="00ED4694">
      <w:pPr>
        <w:pStyle w:val="Sansinterligne"/>
        <w:jc w:val="both"/>
        <w:rPr>
          <w:rFonts w:ascii="Arial" w:hAnsi="Arial" w:cs="Arial"/>
          <w:color w:val="000000" w:themeColor="text1"/>
          <w:sz w:val="20"/>
          <w:szCs w:val="20"/>
        </w:rPr>
      </w:pPr>
    </w:p>
    <w:p w14:paraId="76BA700F" w14:textId="77777777" w:rsidR="00ED4694" w:rsidRPr="00134BA5" w:rsidRDefault="00ED4694" w:rsidP="00ED4694">
      <w:pPr>
        <w:pStyle w:val="Sansinterligne"/>
        <w:numPr>
          <w:ilvl w:val="0"/>
          <w:numId w:val="192"/>
        </w:numPr>
        <w:jc w:val="both"/>
        <w:rPr>
          <w:rFonts w:ascii="Arial" w:hAnsi="Arial" w:cs="Arial"/>
          <w:b/>
          <w:bCs/>
          <w:color w:val="00B0F0"/>
          <w:sz w:val="20"/>
          <w:szCs w:val="20"/>
          <w:u w:val="single"/>
        </w:rPr>
      </w:pPr>
      <w:r w:rsidRPr="00134BA5">
        <w:rPr>
          <w:rFonts w:ascii="Arial" w:hAnsi="Arial" w:cs="Arial"/>
          <w:b/>
          <w:bCs/>
          <w:color w:val="00B0F0"/>
          <w:sz w:val="20"/>
          <w:szCs w:val="20"/>
          <w:u w:val="single"/>
        </w:rPr>
        <w:t xml:space="preserve">Campagne d’information </w:t>
      </w:r>
    </w:p>
    <w:p w14:paraId="6969F9EA" w14:textId="77777777" w:rsidR="00ED4694" w:rsidRPr="005749A0" w:rsidRDefault="00ED4694" w:rsidP="00ED4694">
      <w:pPr>
        <w:pStyle w:val="Sansinterligne"/>
        <w:jc w:val="both"/>
        <w:rPr>
          <w:rFonts w:ascii="Arial" w:hAnsi="Arial" w:cs="Arial"/>
          <w:color w:val="000000" w:themeColor="text1"/>
          <w:sz w:val="20"/>
          <w:szCs w:val="20"/>
        </w:rPr>
      </w:pPr>
    </w:p>
    <w:p w14:paraId="21A579A0" w14:textId="77777777" w:rsidR="00ED4694" w:rsidRPr="00134BA5" w:rsidRDefault="00ED4694" w:rsidP="00ED4694">
      <w:pPr>
        <w:pStyle w:val="Sansinterligne"/>
        <w:jc w:val="both"/>
        <w:rPr>
          <w:rFonts w:ascii="Arial" w:hAnsi="Arial" w:cs="Arial"/>
          <w:color w:val="000000" w:themeColor="text1"/>
          <w:sz w:val="20"/>
          <w:szCs w:val="20"/>
          <w:u w:val="single"/>
        </w:rPr>
      </w:pPr>
      <w:r w:rsidRPr="00134BA5">
        <w:rPr>
          <w:rFonts w:ascii="Arial" w:hAnsi="Arial" w:cs="Arial"/>
          <w:color w:val="000000" w:themeColor="text1"/>
          <w:sz w:val="20"/>
          <w:szCs w:val="20"/>
          <w:u w:val="single"/>
        </w:rPr>
        <w:t xml:space="preserve">Aide au diagnostic de diabète </w:t>
      </w:r>
    </w:p>
    <w:p w14:paraId="6437AD04" w14:textId="77777777" w:rsidR="00ED4694" w:rsidRPr="00134BA5" w:rsidRDefault="00ED4694" w:rsidP="00ED4694">
      <w:pPr>
        <w:pStyle w:val="Sansinterligne"/>
        <w:jc w:val="both"/>
        <w:rPr>
          <w:rFonts w:ascii="Arial" w:hAnsi="Arial" w:cs="Arial"/>
          <w:color w:val="000000" w:themeColor="text1"/>
          <w:sz w:val="20"/>
          <w:szCs w:val="20"/>
        </w:rPr>
      </w:pPr>
      <w:r w:rsidRPr="00134BA5">
        <w:rPr>
          <w:rFonts w:ascii="Arial" w:hAnsi="Arial" w:cs="Arial"/>
          <w:color w:val="000000" w:themeColor="text1"/>
          <w:sz w:val="20"/>
          <w:szCs w:val="20"/>
        </w:rPr>
        <w:t xml:space="preserve">Les pharmaciens : Diffusion des messages via l’ordre des pharmaciens, les groupements de pharmacies, les syndicats, les répartiteurs, les laboratoires pharmaceutiques...(presse spécialisée, magazine, site internet...) </w:t>
      </w:r>
    </w:p>
    <w:p w14:paraId="46F54DA4" w14:textId="77777777" w:rsidR="00ED4694" w:rsidRPr="005749A0" w:rsidRDefault="00ED4694" w:rsidP="00ED4694">
      <w:pPr>
        <w:pStyle w:val="Sansinterligne"/>
        <w:jc w:val="both"/>
        <w:rPr>
          <w:rFonts w:ascii="Arial" w:hAnsi="Arial" w:cs="Arial"/>
          <w:color w:val="000000" w:themeColor="text1"/>
          <w:sz w:val="20"/>
          <w:szCs w:val="20"/>
        </w:rPr>
      </w:pPr>
      <w:r w:rsidRPr="00134BA5">
        <w:rPr>
          <w:rFonts w:ascii="Arial" w:hAnsi="Arial" w:cs="Arial"/>
          <w:color w:val="000000" w:themeColor="text1"/>
          <w:sz w:val="20"/>
          <w:szCs w:val="20"/>
        </w:rPr>
        <w:t xml:space="preserve">Le grand public : Affichage dans les pharmacies, cabinets médicaux, services hospitaliers, écoles, crèches, mairies, collectivités territoriales... </w:t>
      </w:r>
      <w:r w:rsidRPr="005749A0">
        <w:rPr>
          <w:rFonts w:ascii="Arial" w:hAnsi="Arial" w:cs="Arial"/>
          <w:color w:val="000000" w:themeColor="text1"/>
          <w:sz w:val="20"/>
          <w:szCs w:val="20"/>
        </w:rPr>
        <w:t xml:space="preserve">Diffusion de messages via la radio, TV, presse grand public, affichages publiques numériques, lettre d’informations des partenaires (mutuelles, assurances, banques...) </w:t>
      </w:r>
    </w:p>
    <w:p w14:paraId="4BB06897" w14:textId="77777777" w:rsidR="00ED4694" w:rsidRPr="005749A0" w:rsidRDefault="00ED4694" w:rsidP="00ED4694">
      <w:pPr>
        <w:pStyle w:val="Sansinterligne"/>
        <w:jc w:val="both"/>
        <w:rPr>
          <w:rFonts w:ascii="Arial" w:hAnsi="Arial" w:cs="Arial"/>
          <w:color w:val="000000" w:themeColor="text1"/>
          <w:sz w:val="20"/>
          <w:szCs w:val="20"/>
        </w:rPr>
      </w:pPr>
    </w:p>
    <w:p w14:paraId="49A944CB" w14:textId="77777777" w:rsidR="00ED4694" w:rsidRPr="00134BA5" w:rsidRDefault="00ED4694" w:rsidP="00ED4694">
      <w:pPr>
        <w:pStyle w:val="Sansinterligne"/>
        <w:jc w:val="both"/>
        <w:rPr>
          <w:rFonts w:ascii="Arial" w:hAnsi="Arial" w:cs="Arial"/>
          <w:color w:val="000000" w:themeColor="text1"/>
          <w:sz w:val="20"/>
          <w:szCs w:val="20"/>
          <w:u w:val="single"/>
        </w:rPr>
      </w:pPr>
      <w:r w:rsidRPr="00134BA5">
        <w:rPr>
          <w:rFonts w:ascii="Arial" w:hAnsi="Arial" w:cs="Arial"/>
          <w:color w:val="000000" w:themeColor="text1"/>
          <w:sz w:val="20"/>
          <w:szCs w:val="20"/>
          <w:u w:val="single"/>
        </w:rPr>
        <w:t xml:space="preserve">Circonstances de diagnostic du diabète chez les enfants de moins de 3 ans </w:t>
      </w:r>
    </w:p>
    <w:p w14:paraId="7DC0F4B6"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58 % des enfants ont eu un diagnostic erroné</w:t>
      </w:r>
      <w:r>
        <w:rPr>
          <w:rFonts w:ascii="Arial" w:hAnsi="Arial" w:cs="Arial"/>
          <w:color w:val="000000" w:themeColor="text1"/>
          <w:sz w:val="20"/>
          <w:szCs w:val="20"/>
        </w:rPr>
        <w:t xml:space="preserve"> : </w:t>
      </w:r>
      <w:r w:rsidRPr="005749A0">
        <w:rPr>
          <w:rFonts w:ascii="Arial" w:hAnsi="Arial" w:cs="Arial"/>
          <w:color w:val="000000" w:themeColor="text1"/>
          <w:sz w:val="20"/>
          <w:szCs w:val="20"/>
        </w:rPr>
        <w:t xml:space="preserve">Gastroentérites, infections broncho-pulmonaires, </w:t>
      </w:r>
      <w:r w:rsidRPr="00134BA5">
        <w:rPr>
          <w:rFonts w:ascii="Arial" w:hAnsi="Arial" w:cs="Arial"/>
          <w:color w:val="000000" w:themeColor="text1"/>
          <w:sz w:val="20"/>
          <w:szCs w:val="20"/>
        </w:rPr>
        <w:t xml:space="preserve">infections ORL, éruption cutané, infection urinaire </w:t>
      </w:r>
    </w:p>
    <w:p w14:paraId="6E78E991" w14:textId="77777777" w:rsidR="00ED4694" w:rsidRPr="00134BA5" w:rsidRDefault="00ED4694" w:rsidP="00ED4694">
      <w:pPr>
        <w:pStyle w:val="Sansinterligne"/>
        <w:numPr>
          <w:ilvl w:val="0"/>
          <w:numId w:val="140"/>
        </w:numPr>
        <w:jc w:val="both"/>
        <w:rPr>
          <w:rFonts w:ascii="Arial" w:hAnsi="Arial" w:cs="Arial"/>
          <w:color w:val="000000" w:themeColor="text1"/>
          <w:sz w:val="20"/>
          <w:szCs w:val="20"/>
        </w:rPr>
      </w:pPr>
      <w:r w:rsidRPr="00134BA5">
        <w:rPr>
          <w:rFonts w:ascii="Arial" w:hAnsi="Arial" w:cs="Arial"/>
          <w:color w:val="000000" w:themeColor="text1"/>
          <w:sz w:val="20"/>
          <w:szCs w:val="20"/>
        </w:rPr>
        <w:t>Durée courte de la symptomatologie</w:t>
      </w:r>
      <w:r>
        <w:rPr>
          <w:rFonts w:ascii="Arial" w:hAnsi="Arial" w:cs="Arial"/>
          <w:color w:val="000000" w:themeColor="text1"/>
          <w:sz w:val="20"/>
          <w:szCs w:val="20"/>
        </w:rPr>
        <w:t> :</w:t>
      </w:r>
      <w:r w:rsidRPr="00134BA5">
        <w:rPr>
          <w:rFonts w:ascii="Arial" w:hAnsi="Arial" w:cs="Arial"/>
          <w:color w:val="000000" w:themeColor="text1"/>
          <w:sz w:val="20"/>
          <w:szCs w:val="20"/>
        </w:rPr>
        <w:t xml:space="preserve"> 12 jours en moyenne</w:t>
      </w:r>
      <w:r>
        <w:rPr>
          <w:rFonts w:ascii="Arial" w:hAnsi="Arial" w:cs="Arial"/>
          <w:color w:val="000000" w:themeColor="text1"/>
          <w:sz w:val="20"/>
          <w:szCs w:val="20"/>
        </w:rPr>
        <w:t>,</w:t>
      </w:r>
      <w:r w:rsidRPr="00134BA5">
        <w:rPr>
          <w:rFonts w:ascii="Arial" w:hAnsi="Arial" w:cs="Arial"/>
          <w:color w:val="000000" w:themeColor="text1"/>
          <w:sz w:val="20"/>
          <w:szCs w:val="20"/>
        </w:rPr>
        <w:t xml:space="preserve"> 67% des patients en acido-cétose </w:t>
      </w:r>
    </w:p>
    <w:p w14:paraId="2FA55ED5" w14:textId="77777777" w:rsidR="00ED4694" w:rsidRPr="005749A0" w:rsidRDefault="00ED4694" w:rsidP="00ED4694">
      <w:pPr>
        <w:pStyle w:val="Sansinterligne"/>
        <w:jc w:val="both"/>
        <w:rPr>
          <w:rFonts w:ascii="Arial" w:hAnsi="Arial" w:cs="Arial"/>
          <w:color w:val="000000" w:themeColor="text1"/>
          <w:sz w:val="20"/>
          <w:szCs w:val="20"/>
        </w:rPr>
      </w:pPr>
    </w:p>
    <w:p w14:paraId="7633CE4B" w14:textId="77777777" w:rsidR="00ED4694" w:rsidRPr="00802A84" w:rsidRDefault="00ED4694" w:rsidP="00ED4694">
      <w:pPr>
        <w:pStyle w:val="Sansinterligne"/>
        <w:jc w:val="both"/>
        <w:rPr>
          <w:rFonts w:ascii="Arial" w:hAnsi="Arial" w:cs="Arial"/>
          <w:color w:val="000000" w:themeColor="text1"/>
          <w:sz w:val="20"/>
          <w:szCs w:val="20"/>
          <w:u w:val="single"/>
        </w:rPr>
      </w:pPr>
      <w:r w:rsidRPr="00802A84">
        <w:rPr>
          <w:rFonts w:ascii="Arial" w:hAnsi="Arial" w:cs="Arial"/>
          <w:color w:val="000000" w:themeColor="text1"/>
          <w:sz w:val="20"/>
          <w:szCs w:val="20"/>
          <w:u w:val="single"/>
        </w:rPr>
        <w:t xml:space="preserve">Ateliers matériels du diabète </w:t>
      </w:r>
    </w:p>
    <w:p w14:paraId="3C7E06F0"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749A0">
        <w:rPr>
          <w:rFonts w:ascii="Arial" w:hAnsi="Arial" w:cs="Arial"/>
          <w:color w:val="000000" w:themeColor="text1"/>
          <w:sz w:val="20"/>
          <w:szCs w:val="20"/>
        </w:rPr>
        <w:t xml:space="preserve">Lecteurs de glycémie </w:t>
      </w:r>
    </w:p>
    <w:p w14:paraId="49DCEA0C"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802A84">
        <w:rPr>
          <w:rFonts w:ascii="Arial" w:hAnsi="Arial" w:cs="Arial"/>
          <w:color w:val="000000" w:themeColor="text1"/>
          <w:sz w:val="20"/>
          <w:szCs w:val="20"/>
        </w:rPr>
        <w:t xml:space="preserve">Maniement des stylos </w:t>
      </w:r>
    </w:p>
    <w:p w14:paraId="3B0BA56D" w14:textId="77777777" w:rsidR="00ED4694" w:rsidRPr="00802A84" w:rsidRDefault="00ED4694" w:rsidP="00ED4694">
      <w:pPr>
        <w:pStyle w:val="Sansinterligne"/>
        <w:numPr>
          <w:ilvl w:val="0"/>
          <w:numId w:val="140"/>
        </w:numPr>
        <w:jc w:val="both"/>
        <w:rPr>
          <w:rFonts w:ascii="Arial" w:hAnsi="Arial" w:cs="Arial"/>
          <w:color w:val="000000" w:themeColor="text1"/>
          <w:sz w:val="20"/>
          <w:szCs w:val="20"/>
        </w:rPr>
      </w:pPr>
      <w:r w:rsidRPr="00802A84">
        <w:rPr>
          <w:rFonts w:ascii="Arial" w:hAnsi="Arial" w:cs="Arial"/>
          <w:color w:val="000000" w:themeColor="text1"/>
          <w:sz w:val="20"/>
          <w:szCs w:val="20"/>
        </w:rPr>
        <w:t>Outils d’éducation</w:t>
      </w:r>
      <w:r>
        <w:rPr>
          <w:rFonts w:ascii="Arial" w:hAnsi="Arial" w:cs="Arial"/>
          <w:color w:val="000000" w:themeColor="text1"/>
          <w:sz w:val="20"/>
          <w:szCs w:val="20"/>
        </w:rPr>
        <w:t> :</w:t>
      </w:r>
      <w:r w:rsidRPr="00802A84">
        <w:rPr>
          <w:rFonts w:ascii="Arial" w:hAnsi="Arial" w:cs="Arial"/>
          <w:color w:val="000000" w:themeColor="text1"/>
          <w:sz w:val="20"/>
          <w:szCs w:val="20"/>
        </w:rPr>
        <w:t xml:space="preserve"> Conversation maps </w:t>
      </w:r>
    </w:p>
    <w:p w14:paraId="48D622FC" w14:textId="77777777" w:rsidR="00ED4694" w:rsidRPr="005749A0" w:rsidRDefault="00ED4694" w:rsidP="00ED4694">
      <w:pPr>
        <w:pStyle w:val="Sansinterligne"/>
        <w:jc w:val="both"/>
        <w:rPr>
          <w:rFonts w:ascii="Arial" w:hAnsi="Arial" w:cs="Arial"/>
          <w:color w:val="000000" w:themeColor="text1"/>
          <w:sz w:val="20"/>
          <w:szCs w:val="20"/>
        </w:rPr>
      </w:pPr>
    </w:p>
    <w:p w14:paraId="5A08F5F6" w14:textId="77777777" w:rsidR="00ED4694" w:rsidRDefault="00ED4694" w:rsidP="00ED4694">
      <w:pPr>
        <w:pStyle w:val="Sansinterligne"/>
        <w:jc w:val="center"/>
        <w:rPr>
          <w:rFonts w:ascii="Arial" w:hAnsi="Arial" w:cs="Arial"/>
          <w:color w:val="000000" w:themeColor="text1"/>
          <w:sz w:val="20"/>
          <w:szCs w:val="20"/>
        </w:rPr>
      </w:pPr>
    </w:p>
    <w:p w14:paraId="24D0C519" w14:textId="77777777" w:rsidR="00ED4694" w:rsidRDefault="00ED4694" w:rsidP="00ED4694">
      <w:pPr>
        <w:pStyle w:val="Sansinterligne"/>
        <w:jc w:val="center"/>
        <w:rPr>
          <w:rFonts w:ascii="Arial" w:hAnsi="Arial" w:cs="Arial"/>
          <w:color w:val="000000" w:themeColor="text1"/>
          <w:sz w:val="20"/>
          <w:szCs w:val="20"/>
        </w:rPr>
      </w:pPr>
    </w:p>
    <w:p w14:paraId="782604AE" w14:textId="77777777" w:rsidR="00ED4694" w:rsidRDefault="00ED4694" w:rsidP="00ED4694">
      <w:pPr>
        <w:pStyle w:val="Sansinterligne"/>
        <w:jc w:val="center"/>
        <w:rPr>
          <w:rFonts w:ascii="Arial" w:hAnsi="Arial" w:cs="Arial"/>
          <w:color w:val="000000" w:themeColor="text1"/>
          <w:sz w:val="20"/>
          <w:szCs w:val="20"/>
        </w:rPr>
      </w:pPr>
    </w:p>
    <w:p w14:paraId="658E74AE" w14:textId="77777777" w:rsidR="00ED4694" w:rsidRPr="005749A0" w:rsidRDefault="00ED4694" w:rsidP="00ED4694">
      <w:pPr>
        <w:pStyle w:val="Sansinterligne"/>
        <w:jc w:val="center"/>
        <w:rPr>
          <w:rFonts w:ascii="Arial" w:hAnsi="Arial" w:cs="Arial"/>
          <w:color w:val="000000" w:themeColor="text1"/>
          <w:sz w:val="20"/>
          <w:szCs w:val="20"/>
        </w:rPr>
      </w:pPr>
      <w:r w:rsidRPr="005749A0">
        <w:rPr>
          <w:rFonts w:ascii="Arial" w:hAnsi="Arial" w:cs="Arial"/>
          <w:color w:val="000000" w:themeColor="text1"/>
          <w:sz w:val="20"/>
          <w:szCs w:val="20"/>
        </w:rPr>
        <w:fldChar w:fldCharType="begin"/>
      </w:r>
      <w:r w:rsidRPr="005749A0">
        <w:rPr>
          <w:rFonts w:ascii="Arial" w:hAnsi="Arial" w:cs="Arial"/>
          <w:color w:val="000000" w:themeColor="text1"/>
          <w:sz w:val="20"/>
          <w:szCs w:val="20"/>
        </w:rPr>
        <w:instrText xml:space="preserve"> INCLUDEPICTURE "/Users/alienorprudhomme/Library/Group Containers/UBF8T346G9.ms/WebArchiveCopyPasteTempFiles/com.microsoft.Word/page98image425431808" \* MERGEFORMATINET </w:instrText>
      </w:r>
      <w:r w:rsidRPr="005749A0">
        <w:rPr>
          <w:rFonts w:ascii="Arial" w:hAnsi="Arial" w:cs="Arial"/>
          <w:color w:val="000000" w:themeColor="text1"/>
          <w:sz w:val="20"/>
          <w:szCs w:val="20"/>
        </w:rPr>
        <w:fldChar w:fldCharType="separate"/>
      </w:r>
      <w:r w:rsidRPr="005749A0">
        <w:rPr>
          <w:rFonts w:ascii="Arial" w:hAnsi="Arial" w:cs="Arial"/>
          <w:color w:val="000000" w:themeColor="text1"/>
          <w:sz w:val="20"/>
          <w:szCs w:val="20"/>
        </w:rPr>
        <w:fldChar w:fldCharType="end"/>
      </w:r>
    </w:p>
    <w:p w14:paraId="251F1F97" w14:textId="77777777" w:rsidR="00ED4694" w:rsidRDefault="00ED4694" w:rsidP="00ED4694">
      <w:pPr>
        <w:pStyle w:val="Sansinterligne"/>
        <w:jc w:val="both"/>
        <w:rPr>
          <w:rFonts w:ascii="Arial" w:hAnsi="Arial" w:cs="Arial"/>
          <w:color w:val="000000" w:themeColor="text1"/>
          <w:sz w:val="20"/>
          <w:szCs w:val="20"/>
          <w:lang w:eastAsia="fr-FR"/>
        </w:rPr>
      </w:pPr>
    </w:p>
    <w:p w14:paraId="360B984E" w14:textId="77777777" w:rsidR="00ED4694" w:rsidRDefault="00ED4694" w:rsidP="00ED4694">
      <w:pPr>
        <w:pStyle w:val="Sansinterligne"/>
        <w:jc w:val="both"/>
        <w:rPr>
          <w:rFonts w:ascii="Arial" w:hAnsi="Arial" w:cs="Arial"/>
          <w:color w:val="000000" w:themeColor="text1"/>
          <w:sz w:val="20"/>
          <w:szCs w:val="20"/>
          <w:lang w:eastAsia="fr-FR"/>
        </w:rPr>
      </w:pPr>
    </w:p>
    <w:p w14:paraId="75DEC7DE" w14:textId="77777777" w:rsidR="00ED4694" w:rsidRDefault="00ED4694" w:rsidP="00ED4694">
      <w:pPr>
        <w:pStyle w:val="Sansinterligne"/>
        <w:jc w:val="both"/>
        <w:rPr>
          <w:rFonts w:ascii="Arial" w:hAnsi="Arial" w:cs="Arial"/>
          <w:color w:val="000000" w:themeColor="text1"/>
          <w:sz w:val="20"/>
          <w:szCs w:val="20"/>
          <w:lang w:eastAsia="fr-FR"/>
        </w:rPr>
      </w:pPr>
    </w:p>
    <w:p w14:paraId="7EA68030" w14:textId="77777777" w:rsidR="00ED4694" w:rsidRDefault="00ED4694" w:rsidP="00ED4694">
      <w:pPr>
        <w:pStyle w:val="Sansinterligne"/>
        <w:jc w:val="both"/>
        <w:rPr>
          <w:rFonts w:ascii="Arial" w:hAnsi="Arial" w:cs="Arial"/>
          <w:color w:val="000000" w:themeColor="text1"/>
          <w:sz w:val="20"/>
          <w:szCs w:val="20"/>
          <w:lang w:eastAsia="fr-FR"/>
        </w:rPr>
      </w:pPr>
    </w:p>
    <w:p w14:paraId="5490AB0C" w14:textId="77777777" w:rsidR="00ED4694" w:rsidRDefault="00ED4694" w:rsidP="00ED4694">
      <w:pPr>
        <w:pStyle w:val="Sansinterligne"/>
        <w:jc w:val="both"/>
        <w:rPr>
          <w:rFonts w:ascii="Arial" w:hAnsi="Arial" w:cs="Arial"/>
          <w:color w:val="000000" w:themeColor="text1"/>
          <w:sz w:val="20"/>
          <w:szCs w:val="20"/>
          <w:lang w:eastAsia="fr-FR"/>
        </w:rPr>
      </w:pPr>
    </w:p>
    <w:p w14:paraId="4CFEBDB5" w14:textId="77777777" w:rsidR="00ED4694" w:rsidRPr="007C0624" w:rsidRDefault="00ED4694" w:rsidP="00ED4694">
      <w:pPr>
        <w:pStyle w:val="Sansinterligne"/>
        <w:jc w:val="both"/>
        <w:rPr>
          <w:rFonts w:ascii="Arial" w:hAnsi="Arial" w:cs="Arial"/>
          <w:color w:val="000000" w:themeColor="text1"/>
          <w:sz w:val="2"/>
          <w:szCs w:val="2"/>
          <w:lang w:eastAsia="fr-FR"/>
        </w:rPr>
      </w:pPr>
    </w:p>
    <w:p w14:paraId="63C09421" w14:textId="77777777" w:rsidR="00ED4694" w:rsidRDefault="00ED4694" w:rsidP="00ED4694">
      <w:pPr>
        <w:pStyle w:val="Sansinterligne"/>
        <w:jc w:val="both"/>
        <w:rPr>
          <w:rFonts w:ascii="Arial" w:hAnsi="Arial" w:cs="Arial"/>
          <w:b/>
          <w:bCs/>
          <w:color w:val="000000" w:themeColor="text1"/>
          <w:sz w:val="20"/>
          <w:szCs w:val="20"/>
          <w:u w:val="single"/>
          <w:lang w:eastAsia="fr-FR"/>
        </w:rPr>
      </w:pPr>
      <w:r w:rsidRPr="003D03A1">
        <w:rPr>
          <w:rFonts w:ascii="Arial" w:hAnsi="Arial" w:cs="Arial"/>
          <w:b/>
          <w:bCs/>
          <w:color w:val="000000" w:themeColor="text1"/>
          <w:sz w:val="20"/>
          <w:szCs w:val="20"/>
          <w:highlight w:val="yellow"/>
          <w:u w:val="single"/>
          <w:lang w:eastAsia="fr-FR"/>
        </w:rPr>
        <w:lastRenderedPageBreak/>
        <w:t>CM1</w:t>
      </w:r>
      <w:r w:rsidRPr="002D593D">
        <w:rPr>
          <w:rFonts w:ascii="Arial" w:hAnsi="Arial" w:cs="Arial"/>
          <w:b/>
          <w:bCs/>
          <w:color w:val="000000" w:themeColor="text1"/>
          <w:sz w:val="20"/>
          <w:szCs w:val="20"/>
          <w:highlight w:val="yellow"/>
          <w:u w:val="single"/>
          <w:lang w:eastAsia="fr-FR"/>
        </w:rPr>
        <w:t>4</w:t>
      </w:r>
      <w:r>
        <w:rPr>
          <w:rFonts w:ascii="Arial" w:hAnsi="Arial" w:cs="Arial"/>
          <w:b/>
          <w:bCs/>
          <w:color w:val="000000" w:themeColor="text1"/>
          <w:sz w:val="20"/>
          <w:szCs w:val="20"/>
          <w:u w:val="single"/>
          <w:lang w:eastAsia="fr-FR"/>
        </w:rPr>
        <w:t xml:space="preserve"> – Antidiabétiques du traitement du diabète de type 2 : </w:t>
      </w:r>
    </w:p>
    <w:p w14:paraId="6DFFABD9" w14:textId="77777777" w:rsidR="00ED4694" w:rsidRDefault="00ED4694" w:rsidP="00ED4694">
      <w:pPr>
        <w:pStyle w:val="Sansinterligne"/>
        <w:jc w:val="both"/>
        <w:rPr>
          <w:rFonts w:ascii="Arial" w:hAnsi="Arial" w:cs="Arial"/>
          <w:b/>
          <w:bCs/>
          <w:color w:val="000000" w:themeColor="text1"/>
          <w:sz w:val="20"/>
          <w:szCs w:val="20"/>
          <w:u w:val="single"/>
          <w:lang w:eastAsia="fr-FR"/>
        </w:rPr>
      </w:pPr>
    </w:p>
    <w:p w14:paraId="04709953" w14:textId="77777777" w:rsidR="00ED4694" w:rsidRPr="00CC6D90" w:rsidRDefault="00ED4694" w:rsidP="00ED4694">
      <w:pPr>
        <w:pStyle w:val="Sansinterligne"/>
        <w:numPr>
          <w:ilvl w:val="0"/>
          <w:numId w:val="208"/>
        </w:numPr>
        <w:jc w:val="both"/>
        <w:rPr>
          <w:rFonts w:ascii="Arial" w:hAnsi="Arial" w:cs="Arial"/>
          <w:b/>
          <w:bCs/>
          <w:color w:val="00B0F0"/>
          <w:sz w:val="20"/>
          <w:szCs w:val="20"/>
          <w:u w:val="single"/>
          <w:lang w:eastAsia="fr-FR"/>
        </w:rPr>
      </w:pPr>
      <w:r w:rsidRPr="003D03A1">
        <w:rPr>
          <w:rFonts w:ascii="Arial" w:hAnsi="Arial" w:cs="Arial"/>
          <w:b/>
          <w:bCs/>
          <w:color w:val="00B0F0"/>
          <w:sz w:val="20"/>
          <w:szCs w:val="20"/>
          <w:u w:val="single"/>
        </w:rPr>
        <w:t>Introduction</w:t>
      </w:r>
    </w:p>
    <w:p w14:paraId="6EB6B16F" w14:textId="77777777" w:rsidR="00ED4694" w:rsidRDefault="00ED4694" w:rsidP="00ED4694">
      <w:pPr>
        <w:pStyle w:val="Sansinterligne"/>
        <w:rPr>
          <w:rFonts w:ascii="Arial" w:hAnsi="Arial" w:cs="Arial"/>
          <w:sz w:val="20"/>
          <w:szCs w:val="20"/>
        </w:rPr>
      </w:pPr>
      <w:r w:rsidRPr="00CC6D90">
        <w:rPr>
          <w:rFonts w:ascii="Arial" w:hAnsi="Arial" w:cs="Arial"/>
          <w:sz w:val="20"/>
          <w:szCs w:val="20"/>
          <w:u w:val="single"/>
        </w:rPr>
        <w:t>Diabète</w:t>
      </w:r>
      <w:r w:rsidRPr="003D03A1">
        <w:rPr>
          <w:rFonts w:ascii="Arial" w:hAnsi="Arial" w:cs="Arial"/>
          <w:sz w:val="20"/>
          <w:szCs w:val="20"/>
        </w:rPr>
        <w:t> : Pathologie chronique caractérisée par une hyperglycémie chronique. Production insuffisante d’insuline par le pancréas et/ou réceptivité insuffisante des tissus à l’insuline = insulino-résistance</w:t>
      </w:r>
      <w:r>
        <w:rPr>
          <w:rFonts w:ascii="Arial" w:hAnsi="Arial" w:cs="Arial"/>
          <w:sz w:val="20"/>
          <w:szCs w:val="20"/>
        </w:rPr>
        <w:t xml:space="preserve">. </w:t>
      </w:r>
    </w:p>
    <w:p w14:paraId="71C1D693" w14:textId="77777777" w:rsidR="00ED4694" w:rsidRDefault="00ED4694" w:rsidP="00ED4694">
      <w:pPr>
        <w:pStyle w:val="Sansinterligne"/>
        <w:numPr>
          <w:ilvl w:val="0"/>
          <w:numId w:val="140"/>
        </w:numPr>
        <w:rPr>
          <w:rFonts w:ascii="Arial" w:hAnsi="Arial" w:cs="Arial"/>
          <w:sz w:val="20"/>
          <w:szCs w:val="20"/>
        </w:rPr>
      </w:pPr>
      <w:r>
        <w:rPr>
          <w:rFonts w:ascii="Arial" w:hAnsi="Arial" w:cs="Arial"/>
          <w:sz w:val="20"/>
          <w:szCs w:val="20"/>
        </w:rPr>
        <w:t>DT1 : insulino-dépendant</w:t>
      </w:r>
    </w:p>
    <w:p w14:paraId="3451AAEE" w14:textId="77777777" w:rsidR="00ED4694" w:rsidRDefault="00ED4694" w:rsidP="00ED4694">
      <w:pPr>
        <w:pStyle w:val="Sansinterligne"/>
        <w:numPr>
          <w:ilvl w:val="0"/>
          <w:numId w:val="140"/>
        </w:numPr>
        <w:rPr>
          <w:rFonts w:ascii="Arial" w:hAnsi="Arial" w:cs="Arial"/>
          <w:sz w:val="20"/>
          <w:szCs w:val="20"/>
        </w:rPr>
      </w:pPr>
      <w:r>
        <w:rPr>
          <w:rFonts w:ascii="Arial" w:hAnsi="Arial" w:cs="Arial"/>
          <w:sz w:val="20"/>
          <w:szCs w:val="20"/>
        </w:rPr>
        <w:t xml:space="preserve">DT2 : non insulino-dépendant </w:t>
      </w:r>
    </w:p>
    <w:p w14:paraId="3C174B19" w14:textId="77777777" w:rsidR="00ED4694" w:rsidRDefault="00ED4694" w:rsidP="00ED4694">
      <w:pPr>
        <w:pStyle w:val="Sansinterligne"/>
        <w:jc w:val="both"/>
        <w:rPr>
          <w:rFonts w:ascii="Arial" w:hAnsi="Arial" w:cs="Arial"/>
          <w:sz w:val="20"/>
          <w:szCs w:val="20"/>
          <w:u w:val="single"/>
        </w:rPr>
      </w:pPr>
    </w:p>
    <w:p w14:paraId="64A8C15E" w14:textId="77777777" w:rsidR="00ED4694" w:rsidRPr="003D03A1" w:rsidRDefault="00ED4694" w:rsidP="00ED4694">
      <w:pPr>
        <w:pStyle w:val="Sansinterligne"/>
        <w:jc w:val="both"/>
        <w:rPr>
          <w:rFonts w:ascii="Arial" w:hAnsi="Arial" w:cs="Arial"/>
          <w:sz w:val="20"/>
          <w:szCs w:val="20"/>
        </w:rPr>
      </w:pPr>
      <w:r w:rsidRPr="00CC6D90">
        <w:rPr>
          <w:rFonts w:ascii="Arial" w:hAnsi="Arial" w:cs="Arial"/>
          <w:sz w:val="20"/>
          <w:szCs w:val="20"/>
          <w:u w:val="single"/>
        </w:rPr>
        <w:t>Conséquences du diabète</w:t>
      </w:r>
      <w:r>
        <w:rPr>
          <w:rFonts w:ascii="Arial" w:hAnsi="Arial" w:cs="Arial"/>
          <w:sz w:val="20"/>
          <w:szCs w:val="20"/>
        </w:rPr>
        <w:t xml:space="preserve"> : </w:t>
      </w:r>
      <w:r w:rsidRPr="003D03A1">
        <w:rPr>
          <w:rFonts w:ascii="Arial" w:hAnsi="Arial" w:cs="Arial"/>
          <w:sz w:val="20"/>
          <w:szCs w:val="20"/>
        </w:rPr>
        <w:t>Atteintes de la paroi des vaisseaux : microangiopathies et macroangiopathies</w:t>
      </w:r>
      <w:r>
        <w:rPr>
          <w:rFonts w:ascii="Arial" w:hAnsi="Arial" w:cs="Arial"/>
          <w:sz w:val="20"/>
          <w:szCs w:val="20"/>
        </w:rPr>
        <w:t xml:space="preserve">. </w:t>
      </w:r>
      <w:r w:rsidRPr="003D03A1">
        <w:rPr>
          <w:rFonts w:ascii="Arial" w:hAnsi="Arial" w:cs="Arial"/>
          <w:sz w:val="20"/>
          <w:szCs w:val="20"/>
        </w:rPr>
        <w:t xml:space="preserve">Organes cibles : </w:t>
      </w:r>
    </w:p>
    <w:p w14:paraId="390F1156"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Œil : rétinopathie </w:t>
      </w:r>
      <w:r w:rsidRPr="003D03A1">
        <w:rPr>
          <w:rFonts w:ascii="Arial" w:hAnsi="Arial" w:cs="Arial"/>
          <w:sz w:val="20"/>
          <w:szCs w:val="20"/>
        </w:rPr>
        <w:sym w:font="Symbol" w:char="F0DE"/>
      </w:r>
      <w:r w:rsidRPr="003D03A1">
        <w:rPr>
          <w:rFonts w:ascii="Arial" w:hAnsi="Arial" w:cs="Arial"/>
          <w:sz w:val="20"/>
          <w:szCs w:val="20"/>
        </w:rPr>
        <w:t xml:space="preserve"> cécité </w:t>
      </w:r>
    </w:p>
    <w:p w14:paraId="1218D016"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noProof/>
          <w:sz w:val="20"/>
          <w:szCs w:val="20"/>
        </w:rPr>
        <w:drawing>
          <wp:anchor distT="0" distB="0" distL="114300" distR="114300" simplePos="0" relativeHeight="251753472" behindDoc="1" locked="0" layoutInCell="1" allowOverlap="1" wp14:anchorId="157663D4" wp14:editId="79E0715D">
            <wp:simplePos x="0" y="0"/>
            <wp:positionH relativeFrom="column">
              <wp:posOffset>4584523</wp:posOffset>
            </wp:positionH>
            <wp:positionV relativeFrom="paragraph">
              <wp:posOffset>135137</wp:posOffset>
            </wp:positionV>
            <wp:extent cx="2167890" cy="2050415"/>
            <wp:effectExtent l="0" t="0" r="3810" b="0"/>
            <wp:wrapTight wrapText="bothSides">
              <wp:wrapPolygon edited="0">
                <wp:start x="0" y="0"/>
                <wp:lineTo x="0" y="21406"/>
                <wp:lineTo x="21511" y="21406"/>
                <wp:lineTo x="21511" y="0"/>
                <wp:lineTo x="0" y="0"/>
              </wp:wrapPolygon>
            </wp:wrapTight>
            <wp:docPr id="664567218" name="Image 107" descr="page7image149303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7image149303006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67890" cy="2050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3A1">
        <w:rPr>
          <w:rFonts w:ascii="Arial" w:hAnsi="Arial" w:cs="Arial"/>
          <w:sz w:val="20"/>
          <w:szCs w:val="20"/>
        </w:rPr>
        <w:t xml:space="preserve">-  Rein : néphropathie </w:t>
      </w:r>
      <w:r w:rsidRPr="003D03A1">
        <w:rPr>
          <w:rFonts w:ascii="Arial" w:hAnsi="Arial" w:cs="Arial"/>
          <w:sz w:val="20"/>
          <w:szCs w:val="20"/>
        </w:rPr>
        <w:sym w:font="Symbol" w:char="F0DE"/>
      </w:r>
      <w:r w:rsidRPr="003D03A1">
        <w:rPr>
          <w:rFonts w:ascii="Arial" w:hAnsi="Arial" w:cs="Arial"/>
          <w:sz w:val="20"/>
          <w:szCs w:val="20"/>
        </w:rPr>
        <w:t xml:space="preserve"> insuffisance rénale </w:t>
      </w:r>
    </w:p>
    <w:p w14:paraId="5CF3862D"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Nerfs : neuropathie périphérique </w:t>
      </w:r>
      <w:r w:rsidRPr="003D03A1">
        <w:rPr>
          <w:rFonts w:ascii="Arial" w:hAnsi="Arial" w:cs="Arial"/>
          <w:sz w:val="20"/>
          <w:szCs w:val="20"/>
        </w:rPr>
        <w:sym w:font="Symbol" w:char="F0DE"/>
      </w:r>
      <w:r w:rsidRPr="003D03A1">
        <w:rPr>
          <w:rFonts w:ascii="Arial" w:hAnsi="Arial" w:cs="Arial"/>
          <w:sz w:val="20"/>
          <w:szCs w:val="20"/>
        </w:rPr>
        <w:t xml:space="preserve"> fourmillements, perte de sensibilité </w:t>
      </w:r>
    </w:p>
    <w:p w14:paraId="056F504E" w14:textId="77777777" w:rsidR="00ED4694" w:rsidRDefault="00ED4694" w:rsidP="00ED4694">
      <w:pPr>
        <w:pStyle w:val="Sansinterligne"/>
        <w:jc w:val="both"/>
        <w:rPr>
          <w:rFonts w:ascii="Arial" w:hAnsi="Arial" w:cs="Arial"/>
          <w:sz w:val="20"/>
          <w:szCs w:val="20"/>
        </w:rPr>
      </w:pPr>
      <w:r w:rsidRPr="003D03A1">
        <w:rPr>
          <w:rFonts w:ascii="Arial" w:hAnsi="Arial" w:cs="Arial"/>
          <w:sz w:val="20"/>
          <w:szCs w:val="20"/>
        </w:rPr>
        <w:t xml:space="preserve">-  Système cardiovasculaire : athérosclérose </w:t>
      </w:r>
      <w:r w:rsidRPr="003D03A1">
        <w:rPr>
          <w:rFonts w:ascii="Arial" w:hAnsi="Arial" w:cs="Arial"/>
          <w:sz w:val="20"/>
          <w:szCs w:val="20"/>
        </w:rPr>
        <w:sym w:font="Symbol" w:char="F0DE"/>
      </w:r>
      <w:r w:rsidRPr="003D03A1">
        <w:rPr>
          <w:rFonts w:ascii="Arial" w:hAnsi="Arial" w:cs="Arial"/>
          <w:sz w:val="20"/>
          <w:szCs w:val="20"/>
        </w:rPr>
        <w:t xml:space="preserve"> infarctus du myocarde, AVC </w:t>
      </w:r>
    </w:p>
    <w:p w14:paraId="1A687FA7" w14:textId="77777777" w:rsidR="00ED4694" w:rsidRDefault="00ED4694" w:rsidP="00ED4694">
      <w:pPr>
        <w:pStyle w:val="Sansinterligne"/>
        <w:jc w:val="both"/>
        <w:rPr>
          <w:rFonts w:ascii="Arial" w:hAnsi="Arial" w:cs="Arial"/>
          <w:sz w:val="20"/>
          <w:szCs w:val="20"/>
        </w:rPr>
      </w:pPr>
    </w:p>
    <w:p w14:paraId="35F5EFCD" w14:textId="77777777" w:rsidR="00ED4694" w:rsidRDefault="00ED4694" w:rsidP="00ED4694">
      <w:pPr>
        <w:pStyle w:val="Sansinterligne"/>
        <w:jc w:val="both"/>
        <w:rPr>
          <w:rFonts w:ascii="Arial" w:hAnsi="Arial" w:cs="Arial"/>
          <w:sz w:val="20"/>
          <w:szCs w:val="20"/>
        </w:rPr>
      </w:pPr>
      <w:r w:rsidRPr="00CC6D90">
        <w:rPr>
          <w:rFonts w:ascii="Arial" w:hAnsi="Arial" w:cs="Arial"/>
          <w:sz w:val="20"/>
          <w:szCs w:val="20"/>
          <w:u w:val="single"/>
        </w:rPr>
        <w:t>Traitements</w:t>
      </w:r>
      <w:r>
        <w:rPr>
          <w:rFonts w:ascii="Arial" w:hAnsi="Arial" w:cs="Arial"/>
          <w:sz w:val="20"/>
          <w:szCs w:val="20"/>
        </w:rPr>
        <w:t xml:space="preserve"> : </w:t>
      </w:r>
    </w:p>
    <w:p w14:paraId="36FD65E9" w14:textId="77777777" w:rsidR="00ED4694" w:rsidRDefault="00ED4694" w:rsidP="00ED4694">
      <w:pPr>
        <w:pStyle w:val="Sansinterligne"/>
        <w:numPr>
          <w:ilvl w:val="0"/>
          <w:numId w:val="140"/>
        </w:numPr>
        <w:jc w:val="both"/>
        <w:rPr>
          <w:rFonts w:ascii="Arial" w:hAnsi="Arial" w:cs="Arial"/>
          <w:sz w:val="20"/>
          <w:szCs w:val="20"/>
        </w:rPr>
      </w:pPr>
      <w:r>
        <w:rPr>
          <w:rFonts w:ascii="Arial" w:hAnsi="Arial" w:cs="Arial"/>
          <w:sz w:val="20"/>
          <w:szCs w:val="20"/>
        </w:rPr>
        <w:t>DT1 : Insuline</w:t>
      </w:r>
    </w:p>
    <w:p w14:paraId="323B7EB3" w14:textId="77777777" w:rsidR="00ED4694" w:rsidRPr="003D03A1" w:rsidRDefault="00ED4694" w:rsidP="00ED4694">
      <w:pPr>
        <w:pStyle w:val="Sansinterligne"/>
        <w:numPr>
          <w:ilvl w:val="0"/>
          <w:numId w:val="140"/>
        </w:numPr>
        <w:jc w:val="both"/>
        <w:rPr>
          <w:rFonts w:ascii="Arial" w:hAnsi="Arial" w:cs="Arial"/>
          <w:sz w:val="20"/>
          <w:szCs w:val="20"/>
        </w:rPr>
      </w:pPr>
      <w:r>
        <w:rPr>
          <w:rFonts w:ascii="Arial" w:hAnsi="Arial" w:cs="Arial"/>
          <w:sz w:val="20"/>
          <w:szCs w:val="20"/>
        </w:rPr>
        <w:t xml:space="preserve">DT2 : Mesures hygiéno-diététiques, antidiabétiques, insuline </w:t>
      </w:r>
    </w:p>
    <w:p w14:paraId="2F7877D0" w14:textId="77777777" w:rsidR="00ED4694" w:rsidRPr="003D03A1" w:rsidRDefault="00ED4694" w:rsidP="00ED4694">
      <w:pPr>
        <w:pStyle w:val="Sansinterligne"/>
        <w:jc w:val="both"/>
        <w:rPr>
          <w:rFonts w:ascii="Arial" w:hAnsi="Arial" w:cs="Arial"/>
          <w:b/>
          <w:bCs/>
          <w:color w:val="00B0F0"/>
          <w:sz w:val="20"/>
          <w:szCs w:val="20"/>
          <w:u w:val="single"/>
          <w:lang w:eastAsia="fr-FR"/>
        </w:rPr>
      </w:pPr>
    </w:p>
    <w:p w14:paraId="3B9937C9" w14:textId="77777777" w:rsidR="00ED4694" w:rsidRPr="003A426E" w:rsidRDefault="00ED4694" w:rsidP="00ED4694">
      <w:pPr>
        <w:pStyle w:val="Sansinterligne"/>
        <w:numPr>
          <w:ilvl w:val="0"/>
          <w:numId w:val="208"/>
        </w:numPr>
        <w:jc w:val="both"/>
        <w:rPr>
          <w:rFonts w:ascii="Arial" w:hAnsi="Arial" w:cs="Arial"/>
          <w:b/>
          <w:bCs/>
          <w:color w:val="00B0F0"/>
          <w:sz w:val="20"/>
          <w:szCs w:val="20"/>
          <w:u w:val="single"/>
          <w:lang w:eastAsia="fr-FR"/>
        </w:rPr>
      </w:pPr>
      <w:r w:rsidRPr="003D03A1">
        <w:rPr>
          <w:rFonts w:ascii="Arial" w:hAnsi="Arial" w:cs="Arial"/>
          <w:b/>
          <w:bCs/>
          <w:color w:val="00B0F0"/>
          <w:sz w:val="20"/>
          <w:szCs w:val="20"/>
          <w:u w:val="single"/>
        </w:rPr>
        <w:t>Metformine (biguanide</w:t>
      </w:r>
      <w:r>
        <w:rPr>
          <w:rFonts w:ascii="Arial" w:hAnsi="Arial" w:cs="Arial"/>
          <w:b/>
          <w:bCs/>
          <w:color w:val="00B0F0"/>
          <w:sz w:val="20"/>
          <w:szCs w:val="20"/>
          <w:u w:val="single"/>
        </w:rPr>
        <w:t>)</w:t>
      </w:r>
    </w:p>
    <w:p w14:paraId="7FFDEFF5" w14:textId="77777777" w:rsidR="00ED4694" w:rsidRDefault="00ED4694" w:rsidP="00ED4694">
      <w:pPr>
        <w:pStyle w:val="Sansinterligne"/>
        <w:jc w:val="both"/>
        <w:rPr>
          <w:rFonts w:ascii="Arial" w:hAnsi="Arial" w:cs="Arial"/>
          <w:sz w:val="20"/>
          <w:szCs w:val="20"/>
        </w:rPr>
      </w:pPr>
      <w:r w:rsidRPr="003A426E">
        <w:rPr>
          <w:rFonts w:ascii="Arial" w:hAnsi="Arial" w:cs="Arial"/>
          <w:sz w:val="20"/>
          <w:szCs w:val="20"/>
          <w:u w:val="single"/>
        </w:rPr>
        <w:t>Metformine (GLUCOPHAGE®, STAGID®), voie orale</w:t>
      </w:r>
      <w:r>
        <w:rPr>
          <w:rFonts w:ascii="Arial" w:hAnsi="Arial" w:cs="Arial"/>
          <w:sz w:val="20"/>
          <w:szCs w:val="20"/>
        </w:rPr>
        <w:t xml:space="preserve"> :  </w:t>
      </w:r>
    </w:p>
    <w:p w14:paraId="4BEB9751" w14:textId="77777777" w:rsidR="00ED4694" w:rsidRDefault="00ED4694" w:rsidP="00ED4694">
      <w:pPr>
        <w:pStyle w:val="Sansinterligne"/>
        <w:numPr>
          <w:ilvl w:val="0"/>
          <w:numId w:val="140"/>
        </w:numPr>
        <w:jc w:val="both"/>
        <w:rPr>
          <w:rFonts w:ascii="Arial" w:hAnsi="Arial" w:cs="Arial"/>
          <w:sz w:val="20"/>
          <w:szCs w:val="20"/>
        </w:rPr>
      </w:pPr>
      <w:r w:rsidRPr="003D03A1">
        <w:rPr>
          <w:rFonts w:ascii="Arial" w:hAnsi="Arial" w:cs="Arial"/>
          <w:sz w:val="20"/>
          <w:szCs w:val="20"/>
        </w:rPr>
        <w:t>Mécanisme d’action mal connu</w:t>
      </w:r>
    </w:p>
    <w:p w14:paraId="2818EE72" w14:textId="77777777" w:rsidR="00ED4694" w:rsidRPr="009F1097" w:rsidRDefault="00ED4694" w:rsidP="00ED4694">
      <w:pPr>
        <w:pStyle w:val="Sansinterligne"/>
        <w:numPr>
          <w:ilvl w:val="0"/>
          <w:numId w:val="140"/>
        </w:numPr>
        <w:jc w:val="both"/>
        <w:rPr>
          <w:rFonts w:ascii="Arial" w:hAnsi="Arial" w:cs="Arial"/>
          <w:sz w:val="20"/>
          <w:szCs w:val="20"/>
        </w:rPr>
      </w:pPr>
      <w:r w:rsidRPr="003D03A1">
        <w:rPr>
          <w:rFonts w:ascii="Arial" w:hAnsi="Arial" w:cs="Arial"/>
          <w:sz w:val="20"/>
          <w:szCs w:val="20"/>
        </w:rPr>
        <w:t>Activation de la protéine kinase activée par l’AMP = AMPK (ubiquitaire)</w:t>
      </w:r>
      <w:r>
        <w:rPr>
          <w:rFonts w:ascii="Arial" w:hAnsi="Arial" w:cs="Arial"/>
          <w:sz w:val="20"/>
          <w:szCs w:val="20"/>
        </w:rPr>
        <w:t xml:space="preserve">, notamment au </w:t>
      </w:r>
      <w:r w:rsidRPr="009F1097">
        <w:rPr>
          <w:rFonts w:ascii="Arial" w:hAnsi="Arial" w:cs="Arial"/>
          <w:sz w:val="20"/>
          <w:szCs w:val="20"/>
        </w:rPr>
        <w:t xml:space="preserve">niveau du foie et du muscle squelettique </w:t>
      </w:r>
    </w:p>
    <w:p w14:paraId="5F805418"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fldChar w:fldCharType="begin"/>
      </w:r>
      <w:r w:rsidRPr="003D03A1">
        <w:rPr>
          <w:rFonts w:ascii="Arial" w:hAnsi="Arial" w:cs="Arial"/>
          <w:sz w:val="20"/>
          <w:szCs w:val="20"/>
        </w:rPr>
        <w:instrText xml:space="preserve"> INCLUDEPICTURE "/Users/alienorprudhomme/Library/Group Containers/UBF8T346G9.ms/WebArchiveCopyPasteTempFiles/com.microsoft.Word/page7image1493030064" \* MERGEFORMATINET </w:instrText>
      </w:r>
      <w:r w:rsidRPr="003D03A1">
        <w:rPr>
          <w:rFonts w:ascii="Arial" w:hAnsi="Arial" w:cs="Arial"/>
          <w:sz w:val="20"/>
          <w:szCs w:val="20"/>
        </w:rPr>
        <w:fldChar w:fldCharType="separate"/>
      </w:r>
      <w:r w:rsidRPr="003D03A1">
        <w:rPr>
          <w:rFonts w:ascii="Arial" w:hAnsi="Arial" w:cs="Arial"/>
          <w:sz w:val="20"/>
          <w:szCs w:val="20"/>
        </w:rPr>
        <w:fldChar w:fldCharType="end"/>
      </w:r>
    </w:p>
    <w:p w14:paraId="5926FDE6"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AMPK = régulateur majeur de l’homéostasie énergétique </w:t>
      </w:r>
    </w:p>
    <w:p w14:paraId="47E750F2" w14:textId="77777777" w:rsidR="00ED4694" w:rsidRDefault="00ED4694" w:rsidP="00ED4694">
      <w:pPr>
        <w:pStyle w:val="Sansinterligne"/>
        <w:jc w:val="both"/>
        <w:rPr>
          <w:rFonts w:ascii="Arial" w:hAnsi="Arial" w:cs="Arial"/>
          <w:sz w:val="20"/>
          <w:szCs w:val="20"/>
        </w:rPr>
      </w:pPr>
      <w:r w:rsidRPr="009F1097">
        <w:rPr>
          <w:rFonts w:ascii="Arial" w:hAnsi="Arial" w:cs="Arial"/>
          <w:sz w:val="20"/>
          <w:szCs w:val="20"/>
          <w:u w:val="single"/>
        </w:rPr>
        <w:t>Hypothèse</w:t>
      </w:r>
      <w:r>
        <w:rPr>
          <w:rFonts w:ascii="Arial" w:hAnsi="Arial" w:cs="Arial"/>
          <w:sz w:val="20"/>
          <w:szCs w:val="20"/>
        </w:rPr>
        <w:t xml:space="preserve"> : </w:t>
      </w:r>
      <w:r w:rsidRPr="003D03A1">
        <w:rPr>
          <w:rFonts w:ascii="Arial" w:hAnsi="Arial" w:cs="Arial"/>
          <w:sz w:val="20"/>
          <w:szCs w:val="20"/>
        </w:rPr>
        <w:t xml:space="preserve"> </w:t>
      </w:r>
    </w:p>
    <w:p w14:paraId="10193F70" w14:textId="77777777" w:rsidR="00ED4694" w:rsidRDefault="00ED4694" w:rsidP="00ED4694">
      <w:pPr>
        <w:pStyle w:val="Sansinterligne"/>
        <w:jc w:val="both"/>
        <w:rPr>
          <w:rFonts w:ascii="Arial" w:hAnsi="Arial" w:cs="Arial"/>
          <w:sz w:val="20"/>
          <w:szCs w:val="20"/>
        </w:rPr>
      </w:pPr>
      <w:r w:rsidRPr="003D03A1">
        <w:rPr>
          <w:rFonts w:ascii="Arial" w:hAnsi="Arial" w:cs="Arial"/>
          <w:sz w:val="20"/>
          <w:szCs w:val="20"/>
        </w:rPr>
        <w:t>Inhibition complexe I chaîne respiratoire mitochondria</w:t>
      </w:r>
      <w:r>
        <w:rPr>
          <w:rFonts w:ascii="Arial" w:hAnsi="Arial" w:cs="Arial"/>
          <w:sz w:val="20"/>
          <w:szCs w:val="20"/>
        </w:rPr>
        <w:t xml:space="preserve">le </w:t>
      </w:r>
      <w:r w:rsidRPr="003D03A1">
        <w:rPr>
          <w:rFonts w:ascii="Arial" w:hAnsi="Arial" w:cs="Arial"/>
          <w:sz w:val="20"/>
          <w:szCs w:val="20"/>
        </w:rPr>
        <w:sym w:font="Symbol" w:char="F0DE"/>
      </w:r>
      <w:r w:rsidRPr="003D03A1">
        <w:rPr>
          <w:rFonts w:ascii="Arial" w:hAnsi="Arial" w:cs="Arial"/>
          <w:sz w:val="20"/>
          <w:szCs w:val="20"/>
        </w:rPr>
        <w:t xml:space="preserve"> ↑</w:t>
      </w:r>
      <w:r>
        <w:rPr>
          <w:rFonts w:ascii="Arial" w:hAnsi="Arial" w:cs="Arial"/>
          <w:sz w:val="20"/>
          <w:szCs w:val="20"/>
        </w:rPr>
        <w:t xml:space="preserve"> </w:t>
      </w:r>
      <w:r w:rsidRPr="003D03A1">
        <w:rPr>
          <w:rFonts w:ascii="Arial" w:hAnsi="Arial" w:cs="Arial"/>
          <w:sz w:val="20"/>
          <w:szCs w:val="20"/>
        </w:rPr>
        <w:t xml:space="preserve">ratio AMP/ATP </w:t>
      </w:r>
      <w:r w:rsidRPr="003D03A1">
        <w:rPr>
          <w:rFonts w:ascii="Arial" w:hAnsi="Arial" w:cs="Arial"/>
          <w:i/>
          <w:iCs/>
          <w:sz w:val="20"/>
          <w:szCs w:val="20"/>
        </w:rPr>
        <w:t xml:space="preserve">(↓ ratio ATP/AMP) </w:t>
      </w:r>
      <w:r w:rsidRPr="003D03A1">
        <w:rPr>
          <w:rFonts w:ascii="Arial" w:hAnsi="Arial" w:cs="Arial"/>
          <w:sz w:val="20"/>
          <w:szCs w:val="20"/>
        </w:rPr>
        <w:sym w:font="Symbol" w:char="F0DE"/>
      </w:r>
      <w:r w:rsidRPr="003D03A1">
        <w:rPr>
          <w:rFonts w:ascii="Arial" w:hAnsi="Arial" w:cs="Arial"/>
          <w:sz w:val="20"/>
          <w:szCs w:val="20"/>
        </w:rPr>
        <w:t xml:space="preserve"> activation AMPK </w:t>
      </w:r>
    </w:p>
    <w:p w14:paraId="33A37844" w14:textId="77777777" w:rsidR="00ED4694" w:rsidRDefault="00ED4694" w:rsidP="00ED4694">
      <w:pPr>
        <w:pStyle w:val="Sansinterligne"/>
        <w:jc w:val="both"/>
        <w:rPr>
          <w:rFonts w:ascii="Arial" w:hAnsi="Arial" w:cs="Arial"/>
          <w:sz w:val="20"/>
          <w:szCs w:val="20"/>
        </w:rPr>
      </w:pPr>
    </w:p>
    <w:p w14:paraId="2149949C" w14:textId="77777777" w:rsidR="00ED4694" w:rsidRPr="003D03A1" w:rsidRDefault="00ED4694" w:rsidP="00ED4694">
      <w:pPr>
        <w:pStyle w:val="Sansinterligne"/>
        <w:jc w:val="both"/>
        <w:rPr>
          <w:rFonts w:ascii="Arial" w:hAnsi="Arial" w:cs="Arial"/>
          <w:sz w:val="20"/>
          <w:szCs w:val="20"/>
        </w:rPr>
      </w:pPr>
      <w:r w:rsidRPr="003A426E">
        <w:rPr>
          <w:rFonts w:ascii="Arial" w:hAnsi="Arial" w:cs="Arial"/>
          <w:sz w:val="20"/>
          <w:szCs w:val="20"/>
          <w:u w:val="single"/>
        </w:rPr>
        <w:t>Foie</w:t>
      </w:r>
      <w:r w:rsidRPr="003D03A1">
        <w:rPr>
          <w:rFonts w:ascii="Arial" w:hAnsi="Arial" w:cs="Arial"/>
          <w:sz w:val="20"/>
          <w:szCs w:val="20"/>
        </w:rPr>
        <w:t xml:space="preserve"> : ↓ néoglucogenèse et glycogénolyse = ↓ production glucose </w:t>
      </w:r>
    </w:p>
    <w:p w14:paraId="1ED6D83A" w14:textId="77777777" w:rsidR="00ED4694" w:rsidRPr="003D03A1" w:rsidRDefault="00ED4694" w:rsidP="00ED4694">
      <w:pPr>
        <w:pStyle w:val="Sansinterligne"/>
        <w:jc w:val="both"/>
        <w:rPr>
          <w:rFonts w:ascii="Arial" w:hAnsi="Arial" w:cs="Arial"/>
          <w:sz w:val="20"/>
          <w:szCs w:val="20"/>
        </w:rPr>
      </w:pPr>
      <w:r w:rsidRPr="003A426E">
        <w:rPr>
          <w:rFonts w:ascii="Arial" w:hAnsi="Arial" w:cs="Arial"/>
          <w:sz w:val="20"/>
          <w:szCs w:val="20"/>
          <w:u w:val="single"/>
        </w:rPr>
        <w:t>Muscle squelettique</w:t>
      </w:r>
      <w:r w:rsidRPr="003D03A1">
        <w:rPr>
          <w:rFonts w:ascii="Arial" w:hAnsi="Arial" w:cs="Arial"/>
          <w:sz w:val="20"/>
          <w:szCs w:val="20"/>
        </w:rPr>
        <w:t xml:space="preserve"> : ↑ captation et utilisation cellulaire du glucose = ↓ insulinorésistance </w:t>
      </w:r>
    </w:p>
    <w:p w14:paraId="3331DB59" w14:textId="77777777" w:rsidR="00ED4694" w:rsidRPr="003D03A1" w:rsidRDefault="00ED4694" w:rsidP="00ED4694">
      <w:pPr>
        <w:pStyle w:val="Sansinterligne"/>
        <w:jc w:val="both"/>
        <w:rPr>
          <w:rFonts w:ascii="Arial" w:hAnsi="Arial" w:cs="Arial"/>
          <w:sz w:val="20"/>
          <w:szCs w:val="20"/>
        </w:rPr>
      </w:pPr>
      <w:r w:rsidRPr="003A426E">
        <w:rPr>
          <w:rFonts w:ascii="Arial" w:hAnsi="Arial" w:cs="Arial"/>
          <w:sz w:val="20"/>
          <w:szCs w:val="20"/>
          <w:u w:val="single"/>
        </w:rPr>
        <w:t>Intestin</w:t>
      </w:r>
      <w:r w:rsidRPr="003D03A1">
        <w:rPr>
          <w:rFonts w:ascii="Arial" w:hAnsi="Arial" w:cs="Arial"/>
          <w:sz w:val="20"/>
          <w:szCs w:val="20"/>
        </w:rPr>
        <w:t xml:space="preserve"> : ↓ absorption des glucides </w:t>
      </w:r>
      <w:r>
        <w:rPr>
          <w:rFonts w:ascii="Arial" w:hAnsi="Arial" w:cs="Arial"/>
          <w:sz w:val="20"/>
          <w:szCs w:val="20"/>
        </w:rPr>
        <w:t xml:space="preserve">= </w:t>
      </w:r>
      <w:r w:rsidRPr="003D03A1">
        <w:rPr>
          <w:rFonts w:ascii="Arial" w:hAnsi="Arial" w:cs="Arial"/>
          <w:sz w:val="20"/>
          <w:szCs w:val="20"/>
        </w:rPr>
        <w:t xml:space="preserve">Action anti-hyperglycémiante </w:t>
      </w:r>
      <w:r>
        <w:rPr>
          <w:rFonts w:ascii="Arial" w:hAnsi="Arial" w:cs="Arial"/>
          <w:sz w:val="20"/>
          <w:szCs w:val="20"/>
        </w:rPr>
        <w:t>+</w:t>
      </w:r>
      <w:r w:rsidRPr="003D03A1">
        <w:rPr>
          <w:rFonts w:ascii="Arial" w:hAnsi="Arial" w:cs="Arial"/>
          <w:sz w:val="20"/>
          <w:szCs w:val="20"/>
        </w:rPr>
        <w:t xml:space="preserve"> Potentialisateur de l’effet de l’insuline </w:t>
      </w:r>
    </w:p>
    <w:p w14:paraId="1AB8BA9A" w14:textId="77777777" w:rsidR="00ED4694" w:rsidRDefault="00ED4694" w:rsidP="00ED4694">
      <w:pPr>
        <w:pStyle w:val="Sansinterligne"/>
        <w:jc w:val="both"/>
        <w:rPr>
          <w:rFonts w:ascii="Arial" w:hAnsi="Arial" w:cs="Arial"/>
          <w:sz w:val="20"/>
          <w:szCs w:val="20"/>
        </w:rPr>
      </w:pPr>
    </w:p>
    <w:p w14:paraId="3BDB748C" w14:textId="77777777" w:rsidR="00ED4694" w:rsidRPr="003D03A1" w:rsidRDefault="00ED4694" w:rsidP="00ED4694">
      <w:pPr>
        <w:pStyle w:val="Sansinterligne"/>
        <w:jc w:val="both"/>
        <w:rPr>
          <w:rFonts w:ascii="Arial" w:hAnsi="Arial" w:cs="Arial"/>
          <w:sz w:val="20"/>
          <w:szCs w:val="20"/>
        </w:rPr>
      </w:pPr>
      <w:r>
        <w:rPr>
          <w:rFonts w:ascii="Arial" w:hAnsi="Arial" w:cs="Arial"/>
          <w:sz w:val="20"/>
          <w:szCs w:val="20"/>
        </w:rPr>
        <w:t>Metformine : 1</w:t>
      </w:r>
      <w:r w:rsidRPr="003A426E">
        <w:rPr>
          <w:rFonts w:ascii="Arial" w:hAnsi="Arial" w:cs="Arial"/>
          <w:sz w:val="20"/>
          <w:szCs w:val="20"/>
          <w:vertAlign w:val="superscript"/>
        </w:rPr>
        <w:t>ère</w:t>
      </w:r>
      <w:r>
        <w:rPr>
          <w:rFonts w:ascii="Arial" w:hAnsi="Arial" w:cs="Arial"/>
          <w:sz w:val="20"/>
          <w:szCs w:val="20"/>
        </w:rPr>
        <w:t xml:space="preserve"> </w:t>
      </w:r>
      <w:r w:rsidRPr="003D03A1">
        <w:rPr>
          <w:rFonts w:ascii="Arial" w:hAnsi="Arial" w:cs="Arial"/>
          <w:sz w:val="20"/>
          <w:szCs w:val="20"/>
        </w:rPr>
        <w:t xml:space="preserve">intention </w:t>
      </w:r>
      <w:r>
        <w:rPr>
          <w:rFonts w:ascii="Arial" w:hAnsi="Arial" w:cs="Arial"/>
          <w:sz w:val="20"/>
          <w:szCs w:val="20"/>
        </w:rPr>
        <w:t>du DT2</w:t>
      </w:r>
    </w:p>
    <w:p w14:paraId="6D12E716"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w:t>
      </w:r>
      <w:r w:rsidRPr="003D03A1">
        <w:rPr>
          <w:rFonts w:ascii="Arial" w:hAnsi="Arial" w:cs="Arial"/>
          <w:i/>
          <w:iCs/>
          <w:sz w:val="20"/>
          <w:szCs w:val="20"/>
        </w:rPr>
        <w:t>Ne provoque pas d’hypoglycémie</w:t>
      </w:r>
      <w:r>
        <w:rPr>
          <w:rFonts w:ascii="Arial" w:hAnsi="Arial" w:cs="Arial"/>
          <w:i/>
          <w:iCs/>
          <w:sz w:val="20"/>
          <w:szCs w:val="20"/>
        </w:rPr>
        <w:t xml:space="preserve">, </w:t>
      </w:r>
      <w:r w:rsidRPr="003D03A1">
        <w:rPr>
          <w:rFonts w:ascii="Arial" w:hAnsi="Arial" w:cs="Arial"/>
          <w:i/>
          <w:iCs/>
          <w:sz w:val="20"/>
          <w:szCs w:val="20"/>
        </w:rPr>
        <w:t>N’entraîne pas de prise de poids</w:t>
      </w:r>
      <w:r>
        <w:rPr>
          <w:rFonts w:ascii="Arial" w:hAnsi="Arial" w:cs="Arial"/>
          <w:i/>
          <w:iCs/>
          <w:sz w:val="20"/>
          <w:szCs w:val="20"/>
        </w:rPr>
        <w:t>, élimi</w:t>
      </w:r>
      <w:r w:rsidRPr="003D03A1">
        <w:rPr>
          <w:rFonts w:ascii="Arial" w:hAnsi="Arial" w:cs="Arial"/>
          <w:sz w:val="20"/>
          <w:szCs w:val="20"/>
        </w:rPr>
        <w:t xml:space="preserve">nation urinaire sous forme inchangée </w:t>
      </w:r>
    </w:p>
    <w:p w14:paraId="09383B18" w14:textId="77777777" w:rsidR="00ED4694" w:rsidRDefault="00ED4694" w:rsidP="00ED4694">
      <w:pPr>
        <w:pStyle w:val="Sansinterligne"/>
        <w:jc w:val="both"/>
        <w:rPr>
          <w:rFonts w:ascii="Arial" w:hAnsi="Arial" w:cs="Arial"/>
          <w:sz w:val="20"/>
          <w:szCs w:val="20"/>
          <w:u w:val="single"/>
        </w:rPr>
      </w:pPr>
    </w:p>
    <w:p w14:paraId="4D3FC42F" w14:textId="77777777" w:rsidR="00ED4694" w:rsidRPr="003A426E" w:rsidRDefault="00ED4694" w:rsidP="00ED4694">
      <w:pPr>
        <w:pStyle w:val="Sansinterligne"/>
        <w:jc w:val="both"/>
        <w:rPr>
          <w:rFonts w:ascii="Arial" w:hAnsi="Arial" w:cs="Arial"/>
          <w:sz w:val="20"/>
          <w:szCs w:val="20"/>
          <w:u w:val="single"/>
        </w:rPr>
      </w:pPr>
      <w:r w:rsidRPr="003A426E">
        <w:rPr>
          <w:rFonts w:ascii="Arial" w:hAnsi="Arial" w:cs="Arial"/>
          <w:sz w:val="20"/>
          <w:szCs w:val="20"/>
          <w:u w:val="single"/>
        </w:rPr>
        <w:t xml:space="preserve">Effets indésirables : </w:t>
      </w:r>
    </w:p>
    <w:p w14:paraId="22562F52" w14:textId="77777777" w:rsidR="00ED4694" w:rsidRDefault="00ED4694" w:rsidP="00ED4694">
      <w:pPr>
        <w:pStyle w:val="Sansinterligne"/>
        <w:jc w:val="both"/>
        <w:rPr>
          <w:rFonts w:ascii="Arial" w:hAnsi="Arial" w:cs="Arial"/>
          <w:sz w:val="20"/>
          <w:szCs w:val="20"/>
        </w:rPr>
      </w:pPr>
      <w:r w:rsidRPr="003D03A1">
        <w:rPr>
          <w:rFonts w:ascii="Arial" w:hAnsi="Arial" w:cs="Arial"/>
          <w:sz w:val="20"/>
          <w:szCs w:val="20"/>
        </w:rPr>
        <w:t>- Troubles gastro-intestinaux (anorexie, diarrhée, nausées, vomissements...) dose-dépendants, prévenus par ↑ progressive des doses</w:t>
      </w:r>
    </w:p>
    <w:p w14:paraId="5F621402"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Acidose lactique : rare mais potentiellement fatale </w:t>
      </w:r>
    </w:p>
    <w:p w14:paraId="50A68BE8" w14:textId="77777777" w:rsidR="00ED4694" w:rsidRDefault="00ED4694" w:rsidP="00ED4694">
      <w:pPr>
        <w:pStyle w:val="Sansinterligne"/>
        <w:jc w:val="both"/>
        <w:rPr>
          <w:rFonts w:ascii="Arial" w:hAnsi="Arial" w:cs="Arial"/>
          <w:sz w:val="20"/>
          <w:szCs w:val="20"/>
          <w:u w:val="single"/>
        </w:rPr>
      </w:pPr>
    </w:p>
    <w:p w14:paraId="205234CD" w14:textId="77777777" w:rsidR="00ED4694" w:rsidRPr="003A426E" w:rsidRDefault="00ED4694" w:rsidP="00ED4694">
      <w:pPr>
        <w:pStyle w:val="Sansinterligne"/>
        <w:jc w:val="both"/>
        <w:rPr>
          <w:rFonts w:ascii="Arial" w:hAnsi="Arial" w:cs="Arial"/>
          <w:sz w:val="20"/>
          <w:szCs w:val="20"/>
          <w:u w:val="single"/>
        </w:rPr>
      </w:pPr>
      <w:r w:rsidRPr="003A426E">
        <w:rPr>
          <w:rFonts w:ascii="Arial" w:hAnsi="Arial" w:cs="Arial"/>
          <w:sz w:val="20"/>
          <w:szCs w:val="20"/>
          <w:u w:val="single"/>
        </w:rPr>
        <w:t>Contre-indications</w:t>
      </w:r>
      <w:r>
        <w:rPr>
          <w:rFonts w:ascii="Arial" w:hAnsi="Arial" w:cs="Arial"/>
          <w:sz w:val="20"/>
          <w:szCs w:val="20"/>
          <w:u w:val="single"/>
        </w:rPr>
        <w:t> :</w:t>
      </w:r>
    </w:p>
    <w:p w14:paraId="0CC05712"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Patients susceptibles à l’acidose lactique (ex : maladie rénale ou hépatique, maladie pulmonaire hypoxique...) </w:t>
      </w:r>
    </w:p>
    <w:p w14:paraId="49D902AA"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Insuffisance rénale sévère </w:t>
      </w:r>
    </w:p>
    <w:p w14:paraId="25480548" w14:textId="77777777" w:rsidR="00ED4694" w:rsidRPr="003D03A1" w:rsidRDefault="00ED4694" w:rsidP="00ED4694">
      <w:pPr>
        <w:pStyle w:val="Sansinterligne"/>
        <w:jc w:val="both"/>
        <w:rPr>
          <w:rFonts w:ascii="Arial" w:hAnsi="Arial" w:cs="Arial"/>
          <w:b/>
          <w:bCs/>
          <w:color w:val="00B0F0"/>
          <w:sz w:val="20"/>
          <w:szCs w:val="20"/>
          <w:u w:val="single"/>
          <w:lang w:eastAsia="fr-FR"/>
        </w:rPr>
      </w:pPr>
    </w:p>
    <w:p w14:paraId="56FF669C" w14:textId="77777777" w:rsidR="00ED4694" w:rsidRDefault="00ED4694" w:rsidP="00ED4694">
      <w:pPr>
        <w:pStyle w:val="Sansinterligne"/>
        <w:numPr>
          <w:ilvl w:val="0"/>
          <w:numId w:val="208"/>
        </w:numPr>
        <w:jc w:val="both"/>
        <w:rPr>
          <w:rFonts w:ascii="Arial" w:hAnsi="Arial" w:cs="Arial"/>
          <w:b/>
          <w:bCs/>
          <w:color w:val="00B0F0"/>
          <w:sz w:val="20"/>
          <w:szCs w:val="20"/>
          <w:u w:val="single"/>
          <w:lang w:eastAsia="fr-FR"/>
        </w:rPr>
      </w:pPr>
      <w:r w:rsidRPr="003D03A1">
        <w:rPr>
          <w:rFonts w:ascii="Arial" w:hAnsi="Arial" w:cs="Arial"/>
          <w:b/>
          <w:bCs/>
          <w:color w:val="00B0F0"/>
          <w:sz w:val="20"/>
          <w:szCs w:val="20"/>
          <w:u w:val="single"/>
        </w:rPr>
        <w:t xml:space="preserve">Sulfamides hypoglycémiants et glinides </w:t>
      </w:r>
    </w:p>
    <w:p w14:paraId="1F104524" w14:textId="77777777" w:rsidR="00ED4694" w:rsidRPr="003A426E" w:rsidRDefault="00ED4694" w:rsidP="00ED4694">
      <w:pPr>
        <w:pStyle w:val="Sansinterligne"/>
        <w:numPr>
          <w:ilvl w:val="0"/>
          <w:numId w:val="209"/>
        </w:numPr>
        <w:jc w:val="both"/>
        <w:rPr>
          <w:rFonts w:ascii="Arial" w:hAnsi="Arial" w:cs="Arial"/>
          <w:color w:val="00B0F0"/>
          <w:sz w:val="20"/>
          <w:szCs w:val="20"/>
          <w:u w:val="single"/>
        </w:rPr>
      </w:pPr>
      <w:r w:rsidRPr="003A426E">
        <w:rPr>
          <w:rFonts w:ascii="Arial" w:hAnsi="Arial" w:cs="Arial"/>
          <w:color w:val="ED7D31" w:themeColor="accent2"/>
          <w:sz w:val="20"/>
          <w:szCs w:val="20"/>
          <w:u w:val="single"/>
        </w:rPr>
        <w:t>Sulfamides hyp</w:t>
      </w:r>
      <w:r>
        <w:rPr>
          <w:rFonts w:ascii="Arial" w:hAnsi="Arial" w:cs="Arial"/>
          <w:color w:val="ED7D31" w:themeColor="accent2"/>
          <w:sz w:val="20"/>
          <w:szCs w:val="20"/>
          <w:u w:val="single"/>
        </w:rPr>
        <w:t>oglycémiants</w:t>
      </w:r>
      <w:r>
        <w:rPr>
          <w:rFonts w:ascii="Arial" w:hAnsi="Arial" w:cs="Arial"/>
          <w:color w:val="ED7D31" w:themeColor="accent2"/>
          <w:sz w:val="20"/>
          <w:szCs w:val="20"/>
        </w:rPr>
        <w:t xml:space="preserve"> = sulfonylurées </w:t>
      </w:r>
    </w:p>
    <w:p w14:paraId="4E394115" w14:textId="77777777" w:rsidR="00ED4694" w:rsidRDefault="00ED4694" w:rsidP="00ED4694">
      <w:pPr>
        <w:pStyle w:val="Sansinterligne"/>
        <w:jc w:val="both"/>
        <w:rPr>
          <w:rFonts w:ascii="Arial" w:hAnsi="Arial" w:cs="Arial"/>
          <w:sz w:val="20"/>
          <w:szCs w:val="20"/>
        </w:rPr>
      </w:pPr>
      <w:r w:rsidRPr="003D03A1">
        <w:rPr>
          <w:rFonts w:ascii="Arial" w:hAnsi="Arial" w:cs="Arial"/>
          <w:sz w:val="20"/>
          <w:szCs w:val="20"/>
        </w:rPr>
        <w:t>Dérivés des sulfamides antibactériens</w:t>
      </w:r>
      <w:r>
        <w:rPr>
          <w:rFonts w:ascii="Arial" w:hAnsi="Arial" w:cs="Arial"/>
          <w:sz w:val="20"/>
          <w:szCs w:val="20"/>
        </w:rPr>
        <w:t>, a</w:t>
      </w:r>
      <w:r w:rsidRPr="003D03A1">
        <w:rPr>
          <w:rFonts w:ascii="Arial" w:hAnsi="Arial" w:cs="Arial"/>
          <w:sz w:val="20"/>
          <w:szCs w:val="20"/>
        </w:rPr>
        <w:t>ction sur les cellules β pancréatiques</w:t>
      </w:r>
      <w:r>
        <w:rPr>
          <w:rFonts w:ascii="Arial" w:hAnsi="Arial" w:cs="Arial"/>
          <w:sz w:val="20"/>
          <w:szCs w:val="20"/>
        </w:rPr>
        <w:t xml:space="preserve"> : </w:t>
      </w:r>
    </w:p>
    <w:p w14:paraId="058295A7" w14:textId="77777777" w:rsidR="00ED4694" w:rsidRDefault="00ED4694" w:rsidP="00ED4694">
      <w:pPr>
        <w:pStyle w:val="Sansinterligne"/>
        <w:numPr>
          <w:ilvl w:val="0"/>
          <w:numId w:val="140"/>
        </w:numPr>
        <w:jc w:val="both"/>
        <w:rPr>
          <w:rFonts w:ascii="Arial" w:hAnsi="Arial" w:cs="Arial"/>
          <w:sz w:val="20"/>
          <w:szCs w:val="20"/>
        </w:rPr>
      </w:pPr>
      <w:r w:rsidRPr="003D03A1">
        <w:rPr>
          <w:rFonts w:ascii="Arial" w:hAnsi="Arial" w:cs="Arial"/>
          <w:sz w:val="20"/>
          <w:szCs w:val="20"/>
        </w:rPr>
        <w:t xml:space="preserve">Canal </w:t>
      </w:r>
      <w:r>
        <w:rPr>
          <w:rFonts w:ascii="Arial" w:hAnsi="Arial" w:cs="Arial"/>
          <w:sz w:val="20"/>
          <w:szCs w:val="20"/>
        </w:rPr>
        <w:t>K</w:t>
      </w:r>
      <w:r>
        <w:rPr>
          <w:rFonts w:ascii="Arial" w:hAnsi="Arial" w:cs="Arial"/>
          <w:sz w:val="20"/>
          <w:szCs w:val="20"/>
          <w:vertAlign w:val="subscript"/>
        </w:rPr>
        <w:t>ATP</w:t>
      </w:r>
      <w:r w:rsidRPr="003D03A1">
        <w:rPr>
          <w:rFonts w:ascii="Arial" w:hAnsi="Arial" w:cs="Arial"/>
          <w:position w:val="-10"/>
          <w:sz w:val="20"/>
          <w:szCs w:val="20"/>
        </w:rPr>
        <w:t xml:space="preserve"> </w:t>
      </w:r>
      <w:r w:rsidRPr="003D03A1">
        <w:rPr>
          <w:rFonts w:ascii="Arial" w:hAnsi="Arial" w:cs="Arial"/>
          <w:sz w:val="20"/>
          <w:szCs w:val="20"/>
        </w:rPr>
        <w:t xml:space="preserve">: sensible à l’ATP, ouvert = sortie </w:t>
      </w:r>
      <w:r>
        <w:rPr>
          <w:rFonts w:ascii="Arial" w:hAnsi="Arial" w:cs="Arial"/>
          <w:sz w:val="20"/>
          <w:szCs w:val="20"/>
        </w:rPr>
        <w:t xml:space="preserve">K+ </w:t>
      </w:r>
      <w:r w:rsidRPr="003D03A1">
        <w:rPr>
          <w:rFonts w:ascii="Arial" w:hAnsi="Arial" w:cs="Arial"/>
          <w:sz w:val="20"/>
          <w:szCs w:val="20"/>
        </w:rPr>
        <w:t xml:space="preserve">en permanence </w:t>
      </w:r>
    </w:p>
    <w:p w14:paraId="7DB3E508" w14:textId="77777777" w:rsidR="00ED4694" w:rsidRPr="003A426E" w:rsidRDefault="00ED4694" w:rsidP="00ED4694">
      <w:pPr>
        <w:pStyle w:val="Sansinterligne"/>
        <w:numPr>
          <w:ilvl w:val="1"/>
          <w:numId w:val="140"/>
        </w:numPr>
        <w:jc w:val="both"/>
        <w:rPr>
          <w:rFonts w:ascii="Arial" w:hAnsi="Arial" w:cs="Arial"/>
          <w:sz w:val="20"/>
          <w:szCs w:val="20"/>
        </w:rPr>
      </w:pPr>
      <w:r>
        <w:rPr>
          <w:rFonts w:ascii="Arial" w:hAnsi="Arial" w:cs="Arial"/>
          <w:sz w:val="20"/>
          <w:szCs w:val="20"/>
        </w:rPr>
        <w:t xml:space="preserve">4 sous-unités Kir 6.2 et 4 sous-unités SUR1 = sulfonylurea receptor = récepteur aux sulfonylurées </w:t>
      </w:r>
    </w:p>
    <w:p w14:paraId="79665B0A" w14:textId="77777777" w:rsidR="00ED4694" w:rsidRPr="003A426E" w:rsidRDefault="00ED4694" w:rsidP="00ED4694">
      <w:pPr>
        <w:pStyle w:val="Sansinterligne"/>
        <w:numPr>
          <w:ilvl w:val="0"/>
          <w:numId w:val="140"/>
        </w:numPr>
        <w:jc w:val="both"/>
        <w:rPr>
          <w:rFonts w:ascii="Arial" w:hAnsi="Arial" w:cs="Arial"/>
          <w:sz w:val="20"/>
          <w:szCs w:val="20"/>
        </w:rPr>
      </w:pPr>
      <w:r w:rsidRPr="003A426E">
        <w:rPr>
          <w:rFonts w:ascii="Arial" w:hAnsi="Arial" w:cs="Arial"/>
          <w:sz w:val="20"/>
          <w:szCs w:val="20"/>
        </w:rPr>
        <w:t>Canal Ca2+</w:t>
      </w:r>
      <w:r w:rsidRPr="003A426E">
        <w:rPr>
          <w:rFonts w:ascii="Arial" w:hAnsi="Arial" w:cs="Arial"/>
          <w:position w:val="12"/>
          <w:sz w:val="20"/>
          <w:szCs w:val="20"/>
        </w:rPr>
        <w:t xml:space="preserve"> </w:t>
      </w:r>
      <w:r w:rsidRPr="003A426E">
        <w:rPr>
          <w:rFonts w:ascii="Arial" w:hAnsi="Arial" w:cs="Arial"/>
          <w:sz w:val="20"/>
          <w:szCs w:val="20"/>
        </w:rPr>
        <w:t>: voltage dépendant, fermé K+</w:t>
      </w:r>
      <w:r w:rsidRPr="003A426E">
        <w:rPr>
          <w:rFonts w:ascii="Arial" w:hAnsi="Arial" w:cs="Arial"/>
          <w:position w:val="4"/>
          <w:sz w:val="20"/>
          <w:szCs w:val="20"/>
        </w:rPr>
        <w:t xml:space="preserve"> </w:t>
      </w:r>
    </w:p>
    <w:p w14:paraId="66BF87A4" w14:textId="77777777" w:rsidR="00ED4694" w:rsidRDefault="00ED4694" w:rsidP="00ED4694">
      <w:pPr>
        <w:pStyle w:val="Sansinterligne"/>
        <w:jc w:val="both"/>
        <w:rPr>
          <w:rFonts w:ascii="Arial" w:hAnsi="Arial" w:cs="Arial"/>
          <w:position w:val="4"/>
          <w:sz w:val="20"/>
          <w:szCs w:val="20"/>
        </w:rPr>
      </w:pPr>
    </w:p>
    <w:p w14:paraId="5CC385E7" w14:textId="77777777" w:rsidR="00ED4694" w:rsidRPr="00A448A8" w:rsidRDefault="00ED4694" w:rsidP="00ED4694">
      <w:pPr>
        <w:pStyle w:val="Sansinterligne"/>
        <w:jc w:val="both"/>
        <w:rPr>
          <w:rFonts w:ascii="Arial" w:hAnsi="Arial" w:cs="Arial"/>
          <w:i/>
          <w:iCs/>
          <w:position w:val="4"/>
          <w:sz w:val="20"/>
          <w:szCs w:val="20"/>
        </w:rPr>
      </w:pPr>
      <w:r w:rsidRPr="00A448A8">
        <w:rPr>
          <w:rFonts w:ascii="Arial" w:hAnsi="Arial" w:cs="Arial"/>
          <w:i/>
          <w:iCs/>
          <w:noProof/>
          <w:sz w:val="20"/>
          <w:szCs w:val="20"/>
        </w:rPr>
        <w:drawing>
          <wp:anchor distT="0" distB="0" distL="114300" distR="114300" simplePos="0" relativeHeight="251754496" behindDoc="1" locked="0" layoutInCell="1" allowOverlap="1" wp14:anchorId="3269E337" wp14:editId="0A79B00D">
            <wp:simplePos x="0" y="0"/>
            <wp:positionH relativeFrom="column">
              <wp:posOffset>0</wp:posOffset>
            </wp:positionH>
            <wp:positionV relativeFrom="paragraph">
              <wp:posOffset>43180</wp:posOffset>
            </wp:positionV>
            <wp:extent cx="2933700" cy="1251585"/>
            <wp:effectExtent l="0" t="0" r="0" b="5715"/>
            <wp:wrapTight wrapText="bothSides">
              <wp:wrapPolygon edited="0">
                <wp:start x="0" y="0"/>
                <wp:lineTo x="0" y="21479"/>
                <wp:lineTo x="21506" y="21479"/>
                <wp:lineTo x="21506" y="0"/>
                <wp:lineTo x="0" y="0"/>
              </wp:wrapPolygon>
            </wp:wrapTight>
            <wp:docPr id="6347842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78424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933700" cy="1251585"/>
                    </a:xfrm>
                    <a:prstGeom prst="rect">
                      <a:avLst/>
                    </a:prstGeom>
                  </pic:spPr>
                </pic:pic>
              </a:graphicData>
            </a:graphic>
            <wp14:sizeRelH relativeFrom="page">
              <wp14:pctWidth>0</wp14:pctWidth>
            </wp14:sizeRelH>
            <wp14:sizeRelV relativeFrom="page">
              <wp14:pctHeight>0</wp14:pctHeight>
            </wp14:sizeRelV>
          </wp:anchor>
        </w:drawing>
      </w:r>
      <w:r w:rsidRPr="00A448A8">
        <w:rPr>
          <w:rFonts w:ascii="Arial" w:hAnsi="Arial" w:cs="Arial"/>
          <w:i/>
          <w:iCs/>
          <w:position w:val="4"/>
          <w:sz w:val="20"/>
          <w:szCs w:val="20"/>
        </w:rPr>
        <w:t xml:space="preserve">Pendant un repas, on absorbe du glucose qui est pris en charge par des transporteurs, entre dans C beta pancréatiques et est métabolisé, augmentant la production d’ATP. </w:t>
      </w:r>
    </w:p>
    <w:p w14:paraId="53F4DB43" w14:textId="77777777" w:rsidR="00ED4694" w:rsidRDefault="00ED4694" w:rsidP="00ED4694">
      <w:pPr>
        <w:pStyle w:val="Sansinterligne"/>
        <w:jc w:val="both"/>
        <w:rPr>
          <w:rFonts w:ascii="Arial" w:hAnsi="Arial" w:cs="Arial"/>
          <w:i/>
          <w:iCs/>
          <w:sz w:val="18"/>
          <w:szCs w:val="18"/>
        </w:rPr>
      </w:pPr>
      <w:r w:rsidRPr="00A448A8">
        <w:rPr>
          <w:rFonts w:ascii="Arial" w:hAnsi="Arial" w:cs="Arial"/>
          <w:i/>
          <w:iCs/>
          <w:position w:val="4"/>
          <w:sz w:val="20"/>
          <w:szCs w:val="20"/>
        </w:rPr>
        <w:t xml:space="preserve">Conséquences : </w:t>
      </w:r>
      <w:r w:rsidRPr="00A448A8">
        <w:rPr>
          <w:rFonts w:ascii="Arial" w:hAnsi="Arial" w:cs="Arial"/>
          <w:i/>
          <w:iCs/>
          <w:sz w:val="20"/>
          <w:szCs w:val="20"/>
        </w:rPr>
        <w:t>canal K</w:t>
      </w:r>
      <w:r w:rsidRPr="00A448A8">
        <w:rPr>
          <w:rFonts w:ascii="Arial" w:hAnsi="Arial" w:cs="Arial"/>
          <w:i/>
          <w:iCs/>
          <w:sz w:val="20"/>
          <w:szCs w:val="20"/>
          <w:vertAlign w:val="subscript"/>
        </w:rPr>
        <w:t>ATP</w:t>
      </w:r>
      <w:r w:rsidRPr="00A448A8">
        <w:rPr>
          <w:rFonts w:ascii="Arial" w:hAnsi="Arial" w:cs="Arial"/>
          <w:i/>
          <w:iCs/>
          <w:sz w:val="20"/>
          <w:szCs w:val="20"/>
        </w:rPr>
        <w:t xml:space="preserve"> se ferme = plus de sortie de K+ = dépolarisation de la membrane jusqu’aux canaux calciques dépendants. Le canaux Ca2+ s’ouvre, permettant l’entrée de Ca2+ dans la cellule (contenant déjà des granules d’insuline). L’entrée de calcium permet donc la sécrétion d’insuline.</w:t>
      </w:r>
    </w:p>
    <w:p w14:paraId="738C8C34" w14:textId="77777777" w:rsidR="00ED4694" w:rsidRPr="00E93E3D" w:rsidRDefault="00ED4694" w:rsidP="00ED4694">
      <w:pPr>
        <w:pStyle w:val="Sansinterligne"/>
        <w:jc w:val="both"/>
        <w:rPr>
          <w:rFonts w:ascii="Arial" w:hAnsi="Arial" w:cs="Arial"/>
          <w:i/>
          <w:iCs/>
          <w:position w:val="4"/>
          <w:sz w:val="18"/>
          <w:szCs w:val="18"/>
        </w:rPr>
      </w:pPr>
    </w:p>
    <w:p w14:paraId="71EB922F" w14:textId="77777777" w:rsidR="00ED4694" w:rsidRDefault="00ED4694" w:rsidP="00ED4694">
      <w:pPr>
        <w:pStyle w:val="Sansinterligne"/>
        <w:jc w:val="both"/>
        <w:rPr>
          <w:rFonts w:ascii="Arial" w:hAnsi="Arial" w:cs="Arial"/>
          <w:sz w:val="20"/>
          <w:szCs w:val="20"/>
        </w:rPr>
      </w:pPr>
    </w:p>
    <w:p w14:paraId="75541978" w14:textId="77777777" w:rsidR="00ED4694" w:rsidRDefault="00ED4694" w:rsidP="00ED4694">
      <w:pPr>
        <w:pStyle w:val="Sansinterligne"/>
        <w:jc w:val="both"/>
        <w:rPr>
          <w:rFonts w:ascii="Arial" w:hAnsi="Arial" w:cs="Arial"/>
          <w:sz w:val="20"/>
          <w:szCs w:val="20"/>
        </w:rPr>
      </w:pPr>
    </w:p>
    <w:p w14:paraId="36620F4C" w14:textId="77777777" w:rsidR="00ED4694" w:rsidRDefault="00ED4694" w:rsidP="00ED4694">
      <w:pPr>
        <w:pStyle w:val="Sansinterligne"/>
        <w:jc w:val="both"/>
        <w:rPr>
          <w:rFonts w:ascii="Arial" w:hAnsi="Arial" w:cs="Arial"/>
          <w:sz w:val="20"/>
          <w:szCs w:val="20"/>
        </w:rPr>
      </w:pPr>
    </w:p>
    <w:p w14:paraId="6AF1B671" w14:textId="77777777" w:rsidR="00ED4694" w:rsidRDefault="00ED4694" w:rsidP="00ED4694">
      <w:pPr>
        <w:pStyle w:val="Sansinterligne"/>
        <w:jc w:val="both"/>
        <w:rPr>
          <w:rFonts w:ascii="Arial" w:hAnsi="Arial" w:cs="Arial"/>
          <w:sz w:val="20"/>
          <w:szCs w:val="20"/>
        </w:rPr>
      </w:pPr>
    </w:p>
    <w:p w14:paraId="55F0F31A" w14:textId="77777777" w:rsidR="00ED4694" w:rsidRDefault="00ED4694" w:rsidP="00ED4694">
      <w:pPr>
        <w:pStyle w:val="Sansinterligne"/>
        <w:jc w:val="both"/>
        <w:rPr>
          <w:rFonts w:ascii="Arial" w:hAnsi="Arial" w:cs="Arial"/>
          <w:sz w:val="20"/>
          <w:szCs w:val="20"/>
        </w:rPr>
      </w:pPr>
    </w:p>
    <w:p w14:paraId="17AB1593" w14:textId="77777777" w:rsidR="00ED4694" w:rsidRDefault="00ED4694" w:rsidP="00ED4694">
      <w:pPr>
        <w:pStyle w:val="Sansinterligne"/>
        <w:jc w:val="both"/>
        <w:rPr>
          <w:rFonts w:ascii="Arial" w:hAnsi="Arial" w:cs="Arial"/>
          <w:i/>
          <w:iCs/>
          <w:sz w:val="20"/>
          <w:szCs w:val="20"/>
        </w:rPr>
      </w:pPr>
      <w:r w:rsidRPr="003A426E">
        <w:rPr>
          <w:rFonts w:ascii="Arial" w:hAnsi="Arial" w:cs="Arial"/>
          <w:noProof/>
          <w:sz w:val="20"/>
          <w:szCs w:val="20"/>
        </w:rPr>
        <w:lastRenderedPageBreak/>
        <w:drawing>
          <wp:anchor distT="0" distB="0" distL="114300" distR="114300" simplePos="0" relativeHeight="251755520" behindDoc="1" locked="0" layoutInCell="1" allowOverlap="1" wp14:anchorId="2DFA8E01" wp14:editId="002678AF">
            <wp:simplePos x="0" y="0"/>
            <wp:positionH relativeFrom="column">
              <wp:posOffset>171973</wp:posOffset>
            </wp:positionH>
            <wp:positionV relativeFrom="paragraph">
              <wp:posOffset>139849</wp:posOffset>
            </wp:positionV>
            <wp:extent cx="3220165" cy="1234800"/>
            <wp:effectExtent l="0" t="0" r="0" b="0"/>
            <wp:wrapTight wrapText="bothSides">
              <wp:wrapPolygon edited="0">
                <wp:start x="0" y="0"/>
                <wp:lineTo x="0" y="21333"/>
                <wp:lineTo x="21468" y="21333"/>
                <wp:lineTo x="21468" y="0"/>
                <wp:lineTo x="0" y="0"/>
              </wp:wrapPolygon>
            </wp:wrapTight>
            <wp:docPr id="1308809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80939"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220165" cy="1234800"/>
                    </a:xfrm>
                    <a:prstGeom prst="rect">
                      <a:avLst/>
                    </a:prstGeom>
                  </pic:spPr>
                </pic:pic>
              </a:graphicData>
            </a:graphic>
            <wp14:sizeRelH relativeFrom="page">
              <wp14:pctWidth>0</wp14:pctWidth>
            </wp14:sizeRelH>
            <wp14:sizeRelV relativeFrom="page">
              <wp14:pctHeight>0</wp14:pctHeight>
            </wp14:sizeRelV>
          </wp:anchor>
        </w:drawing>
      </w:r>
    </w:p>
    <w:p w14:paraId="196755D0" w14:textId="77777777" w:rsidR="00ED4694" w:rsidRDefault="00ED4694" w:rsidP="00ED4694">
      <w:pPr>
        <w:pStyle w:val="Sansinterligne"/>
        <w:jc w:val="both"/>
        <w:rPr>
          <w:rFonts w:ascii="Arial" w:hAnsi="Arial" w:cs="Arial"/>
          <w:i/>
          <w:iCs/>
          <w:sz w:val="20"/>
          <w:szCs w:val="20"/>
        </w:rPr>
      </w:pPr>
      <w:r>
        <w:rPr>
          <w:rFonts w:ascii="Arial" w:hAnsi="Arial" w:cs="Arial"/>
          <w:i/>
          <w:iCs/>
          <w:sz w:val="20"/>
          <w:szCs w:val="20"/>
        </w:rPr>
        <w:t>Le sulfamide hypoglycémiant se fixe sur les ss-u SUR1 qui ferme le canal potassique, empêche la fuite de potassium = dépolarisation de la mb = ouverture canaux calciques = entrée Ca2+ = sécrétion d’insuline</w:t>
      </w:r>
    </w:p>
    <w:p w14:paraId="2C53C2E3" w14:textId="77777777" w:rsidR="00ED4694" w:rsidRDefault="00ED4694" w:rsidP="00ED4694">
      <w:pPr>
        <w:pStyle w:val="Sansinterligne"/>
        <w:jc w:val="both"/>
        <w:rPr>
          <w:rFonts w:ascii="Arial" w:hAnsi="Arial" w:cs="Arial"/>
          <w:i/>
          <w:iCs/>
          <w:sz w:val="20"/>
          <w:szCs w:val="20"/>
        </w:rPr>
      </w:pPr>
      <w:r>
        <w:rPr>
          <w:rFonts w:ascii="Arial" w:hAnsi="Arial" w:cs="Arial"/>
          <w:i/>
          <w:iCs/>
          <w:sz w:val="20"/>
          <w:szCs w:val="20"/>
        </w:rPr>
        <w:t>Les sulfamides ont donc une action hypoglycémiante.</w:t>
      </w:r>
    </w:p>
    <w:p w14:paraId="24684C64" w14:textId="77777777" w:rsidR="00ED4694" w:rsidRDefault="00ED4694" w:rsidP="00ED4694">
      <w:pPr>
        <w:pStyle w:val="Sansinterligne"/>
        <w:jc w:val="both"/>
        <w:rPr>
          <w:rFonts w:ascii="Arial" w:hAnsi="Arial" w:cs="Arial"/>
          <w:i/>
          <w:iCs/>
          <w:sz w:val="20"/>
          <w:szCs w:val="20"/>
        </w:rPr>
      </w:pPr>
    </w:p>
    <w:p w14:paraId="50476E92" w14:textId="77777777" w:rsidR="00ED4694" w:rsidRDefault="00ED4694" w:rsidP="00ED4694">
      <w:pPr>
        <w:pStyle w:val="Sansinterligne"/>
        <w:jc w:val="both"/>
        <w:rPr>
          <w:rFonts w:ascii="Arial" w:hAnsi="Arial" w:cs="Arial"/>
          <w:i/>
          <w:iCs/>
          <w:sz w:val="20"/>
          <w:szCs w:val="20"/>
        </w:rPr>
      </w:pPr>
    </w:p>
    <w:p w14:paraId="5F69B380" w14:textId="77777777" w:rsidR="00ED4694" w:rsidRDefault="00ED4694" w:rsidP="00ED4694">
      <w:pPr>
        <w:pStyle w:val="Sansinterligne"/>
        <w:jc w:val="both"/>
        <w:rPr>
          <w:rFonts w:ascii="Arial" w:hAnsi="Arial" w:cs="Arial"/>
          <w:i/>
          <w:iCs/>
          <w:sz w:val="20"/>
          <w:szCs w:val="20"/>
        </w:rPr>
      </w:pPr>
    </w:p>
    <w:p w14:paraId="751814E1" w14:textId="77777777" w:rsidR="00ED4694" w:rsidRDefault="00ED4694" w:rsidP="00ED4694">
      <w:pPr>
        <w:pStyle w:val="Sansinterligne"/>
        <w:jc w:val="both"/>
        <w:rPr>
          <w:rFonts w:ascii="Arial" w:hAnsi="Arial" w:cs="Arial"/>
          <w:i/>
          <w:iCs/>
          <w:sz w:val="20"/>
          <w:szCs w:val="20"/>
        </w:rPr>
      </w:pPr>
    </w:p>
    <w:p w14:paraId="37E604B5" w14:textId="77777777" w:rsidR="00ED4694" w:rsidRDefault="00ED4694" w:rsidP="00ED4694">
      <w:pPr>
        <w:pStyle w:val="Sansinterligne"/>
        <w:jc w:val="both"/>
        <w:rPr>
          <w:rFonts w:ascii="Arial" w:hAnsi="Arial" w:cs="Arial"/>
          <w:i/>
          <w:iCs/>
          <w:sz w:val="20"/>
          <w:szCs w:val="20"/>
        </w:rPr>
      </w:pPr>
    </w:p>
    <w:p w14:paraId="0E4F6F18" w14:textId="77777777" w:rsidR="00ED4694" w:rsidRDefault="00ED4694" w:rsidP="00ED4694">
      <w:pPr>
        <w:pStyle w:val="Sansinterligne"/>
        <w:jc w:val="both"/>
        <w:rPr>
          <w:rFonts w:ascii="Arial" w:hAnsi="Arial" w:cs="Arial"/>
          <w:i/>
          <w:iCs/>
          <w:sz w:val="20"/>
          <w:szCs w:val="20"/>
        </w:rPr>
      </w:pPr>
    </w:p>
    <w:p w14:paraId="1865AF4F" w14:textId="77777777" w:rsidR="00ED4694" w:rsidRPr="00D564FD" w:rsidRDefault="00ED4694" w:rsidP="00ED4694">
      <w:pPr>
        <w:pStyle w:val="Sansinterligne"/>
        <w:jc w:val="both"/>
        <w:rPr>
          <w:rFonts w:ascii="Arial" w:hAnsi="Arial" w:cs="Arial"/>
          <w:sz w:val="20"/>
          <w:szCs w:val="20"/>
          <w:lang w:val="it-IT"/>
        </w:rPr>
      </w:pPr>
      <w:r w:rsidRPr="00D564FD">
        <w:rPr>
          <w:rFonts w:ascii="Arial" w:hAnsi="Arial" w:cs="Arial"/>
          <w:i/>
          <w:iCs/>
          <w:sz w:val="20"/>
          <w:szCs w:val="20"/>
          <w:lang w:val="it-IT"/>
        </w:rPr>
        <w:t>Glibenclamide (DAONIL®), Glimépiride (AMAREL®), Gliclazide (DIAMICRON®), Glipizide (OZIDIA®)</w:t>
      </w:r>
      <w:r w:rsidRPr="00D564FD">
        <w:rPr>
          <w:rFonts w:ascii="Arial" w:hAnsi="Arial" w:cs="Arial"/>
          <w:sz w:val="20"/>
          <w:szCs w:val="20"/>
          <w:lang w:val="it-IT"/>
        </w:rPr>
        <w:t xml:space="preserve"> : voie orale </w:t>
      </w:r>
    </w:p>
    <w:p w14:paraId="10031709"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Insulino-sécréteurs </w:t>
      </w:r>
    </w:p>
    <w:p w14:paraId="6197639F"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w:t>
      </w:r>
      <w:r>
        <w:rPr>
          <w:rFonts w:ascii="Arial" w:hAnsi="Arial" w:cs="Arial"/>
          <w:sz w:val="20"/>
          <w:szCs w:val="20"/>
        </w:rPr>
        <w:t>2</w:t>
      </w:r>
      <w:r w:rsidRPr="003A426E">
        <w:rPr>
          <w:rFonts w:ascii="Arial" w:hAnsi="Arial" w:cs="Arial"/>
          <w:sz w:val="20"/>
          <w:szCs w:val="20"/>
          <w:vertAlign w:val="superscript"/>
        </w:rPr>
        <w:t>ème</w:t>
      </w:r>
      <w:r>
        <w:rPr>
          <w:rFonts w:ascii="Arial" w:hAnsi="Arial" w:cs="Arial"/>
          <w:sz w:val="20"/>
          <w:szCs w:val="20"/>
        </w:rPr>
        <w:t xml:space="preserve"> intention du DT2</w:t>
      </w:r>
      <w:r w:rsidRPr="003D03A1">
        <w:rPr>
          <w:rFonts w:ascii="Arial" w:hAnsi="Arial" w:cs="Arial"/>
          <w:sz w:val="20"/>
          <w:szCs w:val="20"/>
        </w:rPr>
        <w:t xml:space="preserve"> (en association avec la metformine) </w:t>
      </w:r>
    </w:p>
    <w:p w14:paraId="07D5C32D"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Métabolisme hépatique, élimination principalement urinaire </w:t>
      </w:r>
    </w:p>
    <w:p w14:paraId="2EAD44DB" w14:textId="77777777" w:rsidR="00ED4694" w:rsidRPr="003A426E" w:rsidRDefault="00ED4694" w:rsidP="00ED4694">
      <w:pPr>
        <w:pStyle w:val="Sansinterligne"/>
        <w:jc w:val="both"/>
        <w:rPr>
          <w:rFonts w:ascii="Arial" w:hAnsi="Arial" w:cs="Arial"/>
          <w:sz w:val="20"/>
          <w:szCs w:val="20"/>
          <w:u w:val="single"/>
        </w:rPr>
      </w:pPr>
      <w:r w:rsidRPr="003A426E">
        <w:rPr>
          <w:rFonts w:ascii="Arial" w:hAnsi="Arial" w:cs="Arial"/>
          <w:sz w:val="20"/>
          <w:szCs w:val="20"/>
          <w:u w:val="single"/>
        </w:rPr>
        <w:t>Effets indésirables</w:t>
      </w:r>
      <w:r>
        <w:rPr>
          <w:rFonts w:ascii="Arial" w:hAnsi="Arial" w:cs="Arial"/>
          <w:sz w:val="20"/>
          <w:szCs w:val="20"/>
          <w:u w:val="single"/>
        </w:rPr>
        <w:t> :</w:t>
      </w:r>
    </w:p>
    <w:p w14:paraId="48373F2E"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Hypoglycémie (surdosage ou apport glucides insuffisant) </w:t>
      </w:r>
    </w:p>
    <w:p w14:paraId="0A7F9557"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Prise de poids </w:t>
      </w:r>
    </w:p>
    <w:p w14:paraId="5B90E4F9"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Plus rare : troubles digestifs, réaction allergique, atteintes hépatiques et hématologiques </w:t>
      </w:r>
    </w:p>
    <w:p w14:paraId="60AD1167" w14:textId="77777777" w:rsidR="00ED4694" w:rsidRDefault="00ED4694" w:rsidP="00ED4694">
      <w:pPr>
        <w:pStyle w:val="Sansinterligne"/>
        <w:jc w:val="both"/>
        <w:rPr>
          <w:rFonts w:ascii="Arial" w:hAnsi="Arial" w:cs="Arial"/>
          <w:sz w:val="20"/>
          <w:szCs w:val="20"/>
        </w:rPr>
      </w:pPr>
      <w:r w:rsidRPr="003A426E">
        <w:rPr>
          <w:rFonts w:ascii="Arial" w:hAnsi="Arial" w:cs="Arial"/>
          <w:sz w:val="20"/>
          <w:szCs w:val="20"/>
          <w:u w:val="single"/>
        </w:rPr>
        <w:t>Contre-indications</w:t>
      </w:r>
      <w:r>
        <w:rPr>
          <w:rFonts w:ascii="Arial" w:hAnsi="Arial" w:cs="Arial"/>
          <w:sz w:val="20"/>
          <w:szCs w:val="20"/>
          <w:u w:val="single"/>
        </w:rPr>
        <w:t> :</w:t>
      </w:r>
      <w:r>
        <w:rPr>
          <w:rFonts w:ascii="Arial" w:hAnsi="Arial" w:cs="Arial"/>
          <w:sz w:val="20"/>
          <w:szCs w:val="20"/>
        </w:rPr>
        <w:t xml:space="preserve"> </w:t>
      </w:r>
      <w:r w:rsidRPr="003D03A1">
        <w:rPr>
          <w:rFonts w:ascii="Arial" w:hAnsi="Arial" w:cs="Arial"/>
          <w:sz w:val="20"/>
          <w:szCs w:val="20"/>
        </w:rPr>
        <w:t xml:space="preserve">Insuffisance rénale ou hépatique sévères </w:t>
      </w:r>
    </w:p>
    <w:p w14:paraId="6A817A4D" w14:textId="77777777" w:rsidR="00ED4694" w:rsidRDefault="00ED4694" w:rsidP="00ED4694">
      <w:pPr>
        <w:pStyle w:val="Sansinterligne"/>
        <w:jc w:val="both"/>
        <w:rPr>
          <w:rFonts w:ascii="Arial" w:hAnsi="Arial" w:cs="Arial"/>
          <w:sz w:val="20"/>
          <w:szCs w:val="20"/>
        </w:rPr>
      </w:pPr>
    </w:p>
    <w:p w14:paraId="043DCCAB" w14:textId="77777777" w:rsidR="00ED4694" w:rsidRPr="003A426E" w:rsidRDefault="00ED4694" w:rsidP="00ED4694">
      <w:pPr>
        <w:pStyle w:val="Sansinterligne"/>
        <w:numPr>
          <w:ilvl w:val="0"/>
          <w:numId w:val="209"/>
        </w:numPr>
        <w:jc w:val="both"/>
        <w:rPr>
          <w:rFonts w:ascii="Arial" w:hAnsi="Arial" w:cs="Arial"/>
          <w:color w:val="ED7D31" w:themeColor="accent2"/>
          <w:sz w:val="20"/>
          <w:szCs w:val="20"/>
          <w:u w:val="single"/>
        </w:rPr>
      </w:pPr>
      <w:r w:rsidRPr="003A426E">
        <w:rPr>
          <w:rFonts w:ascii="Arial" w:hAnsi="Arial" w:cs="Arial"/>
          <w:color w:val="ED7D31" w:themeColor="accent2"/>
          <w:sz w:val="20"/>
          <w:szCs w:val="20"/>
          <w:u w:val="single"/>
        </w:rPr>
        <w:t xml:space="preserve">Glinides </w:t>
      </w:r>
    </w:p>
    <w:p w14:paraId="51E176CA"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Apparentés aux sulfamides hypoglycémiants </w:t>
      </w:r>
      <w:r>
        <w:rPr>
          <w:rFonts w:ascii="Arial" w:hAnsi="Arial" w:cs="Arial"/>
          <w:sz w:val="20"/>
          <w:szCs w:val="20"/>
        </w:rPr>
        <w:t xml:space="preserve">par leur </w:t>
      </w:r>
      <w:r w:rsidRPr="003D03A1">
        <w:rPr>
          <w:rFonts w:ascii="Arial" w:hAnsi="Arial" w:cs="Arial"/>
          <w:sz w:val="20"/>
          <w:szCs w:val="20"/>
        </w:rPr>
        <w:t>mécanisme</w:t>
      </w:r>
      <w:r>
        <w:rPr>
          <w:rFonts w:ascii="Arial" w:hAnsi="Arial" w:cs="Arial"/>
          <w:sz w:val="20"/>
          <w:szCs w:val="20"/>
        </w:rPr>
        <w:t xml:space="preserve"> (≠</w:t>
      </w:r>
      <w:r w:rsidRPr="003D03A1">
        <w:rPr>
          <w:rFonts w:ascii="Arial" w:hAnsi="Arial" w:cs="Arial"/>
          <w:sz w:val="20"/>
          <w:szCs w:val="20"/>
        </w:rPr>
        <w:t xml:space="preserve"> structure : pas de groupe sulfamide) </w:t>
      </w:r>
    </w:p>
    <w:p w14:paraId="519705D6" w14:textId="77777777" w:rsidR="00ED4694" w:rsidRPr="003A426E" w:rsidRDefault="00ED4694" w:rsidP="00ED4694">
      <w:pPr>
        <w:pStyle w:val="Sansinterligne"/>
        <w:jc w:val="both"/>
        <w:rPr>
          <w:rFonts w:ascii="Arial" w:hAnsi="Arial" w:cs="Arial"/>
          <w:sz w:val="20"/>
          <w:szCs w:val="20"/>
        </w:rPr>
      </w:pPr>
      <w:r w:rsidRPr="003D03A1">
        <w:rPr>
          <w:rFonts w:ascii="Arial" w:hAnsi="Arial" w:cs="Arial"/>
          <w:sz w:val="20"/>
          <w:szCs w:val="20"/>
        </w:rPr>
        <w:t>Mécanisme d'action : → Fixation à SUR1</w:t>
      </w:r>
      <w:r>
        <w:rPr>
          <w:rFonts w:ascii="Arial" w:hAnsi="Arial" w:cs="Arial"/>
          <w:sz w:val="20"/>
          <w:szCs w:val="20"/>
        </w:rPr>
        <w:t xml:space="preserve">, </w:t>
      </w:r>
      <w:r w:rsidRPr="003D03A1">
        <w:rPr>
          <w:rFonts w:ascii="Arial" w:hAnsi="Arial" w:cs="Arial"/>
          <w:i/>
          <w:iCs/>
          <w:sz w:val="20"/>
          <w:szCs w:val="20"/>
        </w:rPr>
        <w:t>site différent de celui des sulfamides</w:t>
      </w:r>
      <w:r>
        <w:rPr>
          <w:rFonts w:ascii="Arial" w:hAnsi="Arial" w:cs="Arial"/>
          <w:i/>
          <w:iCs/>
          <w:sz w:val="20"/>
          <w:szCs w:val="20"/>
        </w:rPr>
        <w:t xml:space="preserve"> </w:t>
      </w:r>
      <w:r w:rsidRPr="003D03A1">
        <w:rPr>
          <w:rFonts w:ascii="Arial" w:hAnsi="Arial" w:cs="Arial"/>
          <w:sz w:val="20"/>
          <w:szCs w:val="20"/>
        </w:rPr>
        <w:t>→</w:t>
      </w:r>
      <w:r>
        <w:rPr>
          <w:rFonts w:ascii="Arial" w:hAnsi="Arial" w:cs="Arial"/>
          <w:sz w:val="20"/>
          <w:szCs w:val="20"/>
        </w:rPr>
        <w:t xml:space="preserve"> insulinosécrétion </w:t>
      </w:r>
    </w:p>
    <w:p w14:paraId="29C7D682" w14:textId="77777777" w:rsidR="00ED4694" w:rsidRDefault="00ED4694" w:rsidP="00ED4694">
      <w:pPr>
        <w:pStyle w:val="Sansinterligne"/>
        <w:jc w:val="center"/>
        <w:rPr>
          <w:rFonts w:ascii="Arial" w:hAnsi="Arial" w:cs="Arial"/>
          <w:sz w:val="20"/>
          <w:szCs w:val="20"/>
        </w:rPr>
      </w:pPr>
      <w:r w:rsidRPr="003A426E">
        <w:rPr>
          <w:rFonts w:ascii="Arial" w:hAnsi="Arial" w:cs="Arial"/>
          <w:noProof/>
          <w:sz w:val="20"/>
          <w:szCs w:val="20"/>
        </w:rPr>
        <w:drawing>
          <wp:anchor distT="0" distB="0" distL="114300" distR="114300" simplePos="0" relativeHeight="251757568" behindDoc="1" locked="0" layoutInCell="1" allowOverlap="1" wp14:anchorId="5EF08D84" wp14:editId="4D71E6C8">
            <wp:simplePos x="0" y="0"/>
            <wp:positionH relativeFrom="column">
              <wp:posOffset>-92150</wp:posOffset>
            </wp:positionH>
            <wp:positionV relativeFrom="paragraph">
              <wp:posOffset>40864</wp:posOffset>
            </wp:positionV>
            <wp:extent cx="4432151" cy="1725793"/>
            <wp:effectExtent l="0" t="0" r="635" b="1905"/>
            <wp:wrapTight wrapText="bothSides">
              <wp:wrapPolygon edited="0">
                <wp:start x="0" y="0"/>
                <wp:lineTo x="0" y="21465"/>
                <wp:lineTo x="21541" y="21465"/>
                <wp:lineTo x="21541" y="0"/>
                <wp:lineTo x="0" y="0"/>
              </wp:wrapPolygon>
            </wp:wrapTight>
            <wp:docPr id="15698268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826808" name=""/>
                    <pic:cNvPicPr/>
                  </pic:nvPicPr>
                  <pic:blipFill>
                    <a:blip r:embed="rId153">
                      <a:extLst>
                        <a:ext uri="{28A0092B-C50C-407E-A947-70E740481C1C}">
                          <a14:useLocalDpi xmlns:a14="http://schemas.microsoft.com/office/drawing/2010/main" val="0"/>
                        </a:ext>
                      </a:extLst>
                    </a:blip>
                    <a:stretch>
                      <a:fillRect/>
                    </a:stretch>
                  </pic:blipFill>
                  <pic:spPr>
                    <a:xfrm>
                      <a:off x="0" y="0"/>
                      <a:ext cx="4432151" cy="1725793"/>
                    </a:xfrm>
                    <a:prstGeom prst="rect">
                      <a:avLst/>
                    </a:prstGeom>
                  </pic:spPr>
                </pic:pic>
              </a:graphicData>
            </a:graphic>
            <wp14:sizeRelH relativeFrom="page">
              <wp14:pctWidth>0</wp14:pctWidth>
            </wp14:sizeRelH>
            <wp14:sizeRelV relativeFrom="page">
              <wp14:pctHeight>0</wp14:pctHeight>
            </wp14:sizeRelV>
          </wp:anchor>
        </w:drawing>
      </w:r>
    </w:p>
    <w:p w14:paraId="727D050D" w14:textId="77777777" w:rsidR="00ED4694" w:rsidRDefault="00ED4694" w:rsidP="00ED4694">
      <w:pPr>
        <w:pStyle w:val="Sansinterligne"/>
        <w:jc w:val="both"/>
        <w:rPr>
          <w:rFonts w:ascii="Arial" w:hAnsi="Arial" w:cs="Arial"/>
          <w:i/>
          <w:iCs/>
          <w:sz w:val="20"/>
          <w:szCs w:val="20"/>
        </w:rPr>
      </w:pPr>
      <w:r>
        <w:rPr>
          <w:rFonts w:ascii="Arial" w:hAnsi="Arial" w:cs="Arial"/>
          <w:i/>
          <w:iCs/>
          <w:sz w:val="20"/>
          <w:szCs w:val="20"/>
        </w:rPr>
        <w:t>Le glinide se fixe sur les ss-u SUR1, (site différent) qui ferme le canal potassique, empêche la fuite de potassium = dépolarisation de la mb = ouverture canaux calciques = entrée Ca2+ = sécrétion d’insuline</w:t>
      </w:r>
    </w:p>
    <w:p w14:paraId="4137BD08" w14:textId="77777777" w:rsidR="00ED4694" w:rsidRDefault="00ED4694" w:rsidP="00ED4694">
      <w:pPr>
        <w:pStyle w:val="Sansinterligne"/>
        <w:jc w:val="both"/>
        <w:rPr>
          <w:rFonts w:ascii="Arial" w:hAnsi="Arial" w:cs="Arial"/>
          <w:i/>
          <w:iCs/>
          <w:sz w:val="20"/>
          <w:szCs w:val="20"/>
        </w:rPr>
      </w:pPr>
      <w:r>
        <w:rPr>
          <w:rFonts w:ascii="Arial" w:hAnsi="Arial" w:cs="Arial"/>
          <w:i/>
          <w:iCs/>
          <w:sz w:val="20"/>
          <w:szCs w:val="20"/>
        </w:rPr>
        <w:t>Les glinides ont donc une action hypoglycémiante.</w:t>
      </w:r>
    </w:p>
    <w:p w14:paraId="125BB8BF" w14:textId="77777777" w:rsidR="00ED4694" w:rsidRDefault="00ED4694" w:rsidP="00ED4694">
      <w:pPr>
        <w:pStyle w:val="Sansinterligne"/>
        <w:jc w:val="center"/>
        <w:rPr>
          <w:rFonts w:ascii="Arial" w:hAnsi="Arial" w:cs="Arial"/>
          <w:sz w:val="20"/>
          <w:szCs w:val="20"/>
        </w:rPr>
      </w:pPr>
    </w:p>
    <w:p w14:paraId="63CB2CE2" w14:textId="77777777" w:rsidR="00ED4694" w:rsidRDefault="00ED4694" w:rsidP="00ED4694">
      <w:pPr>
        <w:pStyle w:val="Sansinterligne"/>
        <w:jc w:val="center"/>
        <w:rPr>
          <w:rFonts w:ascii="Arial" w:hAnsi="Arial" w:cs="Arial"/>
          <w:sz w:val="20"/>
          <w:szCs w:val="20"/>
        </w:rPr>
      </w:pPr>
    </w:p>
    <w:p w14:paraId="0485CE78" w14:textId="77777777" w:rsidR="00ED4694" w:rsidRDefault="00ED4694" w:rsidP="00ED4694">
      <w:pPr>
        <w:pStyle w:val="Sansinterligne"/>
        <w:jc w:val="center"/>
        <w:rPr>
          <w:rFonts w:ascii="Arial" w:hAnsi="Arial" w:cs="Arial"/>
          <w:sz w:val="20"/>
          <w:szCs w:val="20"/>
        </w:rPr>
      </w:pPr>
    </w:p>
    <w:p w14:paraId="1C4E8872" w14:textId="77777777" w:rsidR="00ED4694" w:rsidRDefault="00ED4694" w:rsidP="00ED4694">
      <w:pPr>
        <w:pStyle w:val="Sansinterligne"/>
        <w:jc w:val="both"/>
        <w:rPr>
          <w:rFonts w:ascii="Arial" w:hAnsi="Arial" w:cs="Arial"/>
          <w:color w:val="000000" w:themeColor="text1"/>
          <w:sz w:val="20"/>
          <w:szCs w:val="20"/>
        </w:rPr>
      </w:pPr>
    </w:p>
    <w:p w14:paraId="0BD52F65" w14:textId="77777777" w:rsidR="00ED4694" w:rsidRPr="003D03A1" w:rsidRDefault="00ED4694" w:rsidP="00ED4694">
      <w:pPr>
        <w:pStyle w:val="Sansinterligne"/>
        <w:jc w:val="both"/>
        <w:rPr>
          <w:rFonts w:ascii="Arial" w:hAnsi="Arial" w:cs="Arial"/>
          <w:sz w:val="20"/>
          <w:szCs w:val="20"/>
        </w:rPr>
      </w:pPr>
      <w:r w:rsidRPr="003A426E">
        <w:rPr>
          <w:rFonts w:ascii="Arial" w:hAnsi="Arial" w:cs="Arial"/>
          <w:i/>
          <w:iCs/>
          <w:sz w:val="20"/>
          <w:szCs w:val="20"/>
        </w:rPr>
        <w:t>Répaglinide (NOVONORM®)</w:t>
      </w:r>
      <w:r w:rsidRPr="003D03A1">
        <w:rPr>
          <w:rFonts w:ascii="Arial" w:hAnsi="Arial" w:cs="Arial"/>
          <w:sz w:val="20"/>
          <w:szCs w:val="20"/>
        </w:rPr>
        <w:t>, voie orale</w:t>
      </w:r>
      <w:r>
        <w:rPr>
          <w:rFonts w:ascii="Arial" w:hAnsi="Arial" w:cs="Arial"/>
          <w:sz w:val="20"/>
          <w:szCs w:val="20"/>
        </w:rPr>
        <w:t> :</w:t>
      </w:r>
    </w:p>
    <w:p w14:paraId="0C87EF17" w14:textId="77777777" w:rsidR="00ED4694" w:rsidRDefault="00ED4694" w:rsidP="00ED4694">
      <w:pPr>
        <w:pStyle w:val="Sansinterligne"/>
        <w:numPr>
          <w:ilvl w:val="0"/>
          <w:numId w:val="140"/>
        </w:numPr>
        <w:jc w:val="both"/>
        <w:rPr>
          <w:rFonts w:ascii="Arial" w:hAnsi="Arial" w:cs="Arial"/>
          <w:sz w:val="20"/>
          <w:szCs w:val="20"/>
        </w:rPr>
      </w:pPr>
      <w:r w:rsidRPr="003D03A1">
        <w:rPr>
          <w:rFonts w:ascii="Arial" w:hAnsi="Arial" w:cs="Arial"/>
          <w:sz w:val="20"/>
          <w:szCs w:val="20"/>
        </w:rPr>
        <w:t>Insulino-sécréteur (insulino-sécréteur non sulfamidé)</w:t>
      </w:r>
    </w:p>
    <w:p w14:paraId="55EBFE13" w14:textId="77777777" w:rsidR="00ED4694" w:rsidRDefault="00ED4694" w:rsidP="00ED4694">
      <w:pPr>
        <w:pStyle w:val="Sansinterligne"/>
        <w:numPr>
          <w:ilvl w:val="0"/>
          <w:numId w:val="140"/>
        </w:numPr>
        <w:jc w:val="both"/>
        <w:rPr>
          <w:rFonts w:ascii="Arial" w:hAnsi="Arial" w:cs="Arial"/>
          <w:sz w:val="20"/>
          <w:szCs w:val="20"/>
        </w:rPr>
      </w:pPr>
      <w:r>
        <w:rPr>
          <w:rFonts w:ascii="Arial" w:hAnsi="Arial" w:cs="Arial"/>
          <w:sz w:val="20"/>
          <w:szCs w:val="20"/>
        </w:rPr>
        <w:t>2</w:t>
      </w:r>
      <w:r w:rsidRPr="003A426E">
        <w:rPr>
          <w:rFonts w:ascii="Arial" w:hAnsi="Arial" w:cs="Arial"/>
          <w:sz w:val="20"/>
          <w:szCs w:val="20"/>
          <w:vertAlign w:val="superscript"/>
        </w:rPr>
        <w:t>ème</w:t>
      </w:r>
      <w:r>
        <w:rPr>
          <w:rFonts w:ascii="Arial" w:hAnsi="Arial" w:cs="Arial"/>
          <w:sz w:val="20"/>
          <w:szCs w:val="20"/>
        </w:rPr>
        <w:t xml:space="preserve"> intention du DT2</w:t>
      </w:r>
      <w:r w:rsidRPr="003D03A1">
        <w:rPr>
          <w:rFonts w:ascii="Arial" w:hAnsi="Arial" w:cs="Arial"/>
          <w:sz w:val="20"/>
          <w:szCs w:val="20"/>
        </w:rPr>
        <w:t xml:space="preserve"> (en association avec la metformine) </w:t>
      </w:r>
    </w:p>
    <w:p w14:paraId="597F0BFF" w14:textId="77777777" w:rsidR="00ED4694" w:rsidRPr="003A426E" w:rsidRDefault="00ED4694" w:rsidP="00ED4694">
      <w:pPr>
        <w:pStyle w:val="Sansinterligne"/>
        <w:numPr>
          <w:ilvl w:val="0"/>
          <w:numId w:val="140"/>
        </w:numPr>
        <w:jc w:val="both"/>
        <w:rPr>
          <w:rFonts w:ascii="Arial" w:hAnsi="Arial" w:cs="Arial"/>
          <w:sz w:val="20"/>
          <w:szCs w:val="20"/>
        </w:rPr>
      </w:pPr>
      <w:r w:rsidRPr="003A426E">
        <w:rPr>
          <w:rFonts w:ascii="Arial" w:hAnsi="Arial" w:cs="Arial"/>
          <w:sz w:val="20"/>
          <w:szCs w:val="20"/>
        </w:rPr>
        <w:t xml:space="preserve">Métabolisme hépatique, élimination biliaire </w:t>
      </w:r>
    </w:p>
    <w:p w14:paraId="79FC2175" w14:textId="77777777" w:rsidR="00ED4694" w:rsidRDefault="00ED4694" w:rsidP="00ED4694">
      <w:pPr>
        <w:pStyle w:val="Sansinterligne"/>
        <w:jc w:val="both"/>
        <w:rPr>
          <w:rFonts w:ascii="Arial" w:hAnsi="Arial" w:cs="Arial"/>
          <w:sz w:val="20"/>
          <w:szCs w:val="20"/>
          <w:u w:val="single"/>
        </w:rPr>
      </w:pPr>
    </w:p>
    <w:p w14:paraId="589C6DF4" w14:textId="77777777" w:rsidR="00ED4694" w:rsidRPr="003A426E" w:rsidRDefault="00ED4694" w:rsidP="00ED4694">
      <w:pPr>
        <w:pStyle w:val="Sansinterligne"/>
        <w:jc w:val="both"/>
        <w:rPr>
          <w:rFonts w:ascii="Arial" w:hAnsi="Arial" w:cs="Arial"/>
          <w:sz w:val="20"/>
          <w:szCs w:val="20"/>
          <w:u w:val="single"/>
        </w:rPr>
      </w:pPr>
      <w:r w:rsidRPr="003A426E">
        <w:rPr>
          <w:rFonts w:ascii="Arial" w:hAnsi="Arial" w:cs="Arial"/>
          <w:sz w:val="20"/>
          <w:szCs w:val="20"/>
          <w:u w:val="single"/>
        </w:rPr>
        <w:t>Effets indésirables</w:t>
      </w:r>
      <w:r>
        <w:rPr>
          <w:rFonts w:ascii="Arial" w:hAnsi="Arial" w:cs="Arial"/>
          <w:sz w:val="20"/>
          <w:szCs w:val="20"/>
          <w:u w:val="single"/>
        </w:rPr>
        <w:t> :</w:t>
      </w:r>
    </w:p>
    <w:p w14:paraId="04330B93"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Hypoglycémie : moins de risque qu’avec les sulfamides car demi-vie courte </w:t>
      </w:r>
    </w:p>
    <w:p w14:paraId="354FC964"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Plus rare : troubles digestifs, réaction allergique, atteintes hépatiques et hématologiques </w:t>
      </w:r>
    </w:p>
    <w:p w14:paraId="50EDC3A4" w14:textId="77777777" w:rsidR="00ED4694" w:rsidRDefault="00ED4694" w:rsidP="00ED4694">
      <w:pPr>
        <w:pStyle w:val="Sansinterligne"/>
        <w:jc w:val="both"/>
        <w:rPr>
          <w:rFonts w:ascii="Arial" w:hAnsi="Arial" w:cs="Arial"/>
          <w:sz w:val="20"/>
          <w:szCs w:val="20"/>
        </w:rPr>
      </w:pPr>
      <w:r w:rsidRPr="003A426E">
        <w:rPr>
          <w:rFonts w:ascii="Arial" w:hAnsi="Arial" w:cs="Arial"/>
          <w:sz w:val="20"/>
          <w:szCs w:val="20"/>
          <w:u w:val="single"/>
        </w:rPr>
        <w:t>Contre-indications</w:t>
      </w:r>
      <w:r>
        <w:rPr>
          <w:rFonts w:ascii="Arial" w:hAnsi="Arial" w:cs="Arial"/>
          <w:sz w:val="20"/>
          <w:szCs w:val="20"/>
          <w:u w:val="single"/>
        </w:rPr>
        <w:t> :</w:t>
      </w:r>
      <w:r>
        <w:rPr>
          <w:rFonts w:ascii="Arial" w:hAnsi="Arial" w:cs="Arial"/>
          <w:sz w:val="20"/>
          <w:szCs w:val="20"/>
        </w:rPr>
        <w:t xml:space="preserve"> </w:t>
      </w:r>
      <w:r w:rsidRPr="003D03A1">
        <w:rPr>
          <w:rFonts w:ascii="Arial" w:hAnsi="Arial" w:cs="Arial"/>
          <w:sz w:val="20"/>
          <w:szCs w:val="20"/>
        </w:rPr>
        <w:t xml:space="preserve">Insuffisance hépatique sévère </w:t>
      </w:r>
    </w:p>
    <w:p w14:paraId="4C773AE7" w14:textId="77777777" w:rsidR="00ED4694" w:rsidRPr="003D03A1" w:rsidRDefault="00ED4694" w:rsidP="00ED4694">
      <w:pPr>
        <w:pStyle w:val="Sansinterligne"/>
        <w:jc w:val="both"/>
        <w:rPr>
          <w:rFonts w:ascii="Arial" w:hAnsi="Arial" w:cs="Arial"/>
          <w:b/>
          <w:bCs/>
          <w:color w:val="00B0F0"/>
          <w:sz w:val="20"/>
          <w:szCs w:val="20"/>
          <w:u w:val="single"/>
          <w:lang w:eastAsia="fr-FR"/>
        </w:rPr>
      </w:pPr>
    </w:p>
    <w:p w14:paraId="151B7EF8" w14:textId="77777777" w:rsidR="00ED4694" w:rsidRPr="00FD4593" w:rsidRDefault="00ED4694" w:rsidP="00ED4694">
      <w:pPr>
        <w:pStyle w:val="Sansinterligne"/>
        <w:numPr>
          <w:ilvl w:val="0"/>
          <w:numId w:val="208"/>
        </w:numPr>
        <w:jc w:val="both"/>
        <w:rPr>
          <w:rFonts w:ascii="Arial" w:hAnsi="Arial" w:cs="Arial"/>
          <w:b/>
          <w:bCs/>
          <w:color w:val="00B0F0"/>
          <w:sz w:val="20"/>
          <w:szCs w:val="20"/>
          <w:u w:val="single"/>
          <w:lang w:eastAsia="fr-FR"/>
        </w:rPr>
      </w:pPr>
      <w:r w:rsidRPr="003D03A1">
        <w:rPr>
          <w:rFonts w:ascii="Arial" w:hAnsi="Arial" w:cs="Arial"/>
          <w:b/>
          <w:bCs/>
          <w:color w:val="00B0F0"/>
          <w:sz w:val="20"/>
          <w:szCs w:val="20"/>
          <w:u w:val="single"/>
        </w:rPr>
        <w:t>Incrétinomimétiques</w:t>
      </w:r>
      <w:r>
        <w:rPr>
          <w:rFonts w:ascii="Arial" w:hAnsi="Arial" w:cs="Arial"/>
          <w:b/>
          <w:bCs/>
          <w:color w:val="00B0F0"/>
          <w:sz w:val="20"/>
          <w:szCs w:val="20"/>
          <w:u w:val="single"/>
        </w:rPr>
        <w:t xml:space="preserve"> </w:t>
      </w:r>
      <w:r w:rsidRPr="00080ED8">
        <w:rPr>
          <w:rFonts w:ascii="Arial" w:hAnsi="Arial" w:cs="Arial"/>
          <w:i/>
          <w:iCs/>
          <w:color w:val="000000" w:themeColor="text1"/>
          <w:sz w:val="16"/>
          <w:szCs w:val="16"/>
        </w:rPr>
        <w:t xml:space="preserve">classe thérapeutique d’antidiabétiques la plus récente </w:t>
      </w:r>
    </w:p>
    <w:p w14:paraId="5AE2BBC5" w14:textId="77777777" w:rsidR="00ED4694" w:rsidRPr="00FD4593" w:rsidRDefault="00ED4694" w:rsidP="00ED4694">
      <w:pPr>
        <w:pStyle w:val="Sansinterligne"/>
        <w:numPr>
          <w:ilvl w:val="0"/>
          <w:numId w:val="210"/>
        </w:numPr>
        <w:jc w:val="both"/>
        <w:rPr>
          <w:rFonts w:ascii="Arial" w:hAnsi="Arial" w:cs="Arial"/>
          <w:color w:val="ED7D31" w:themeColor="accent2"/>
          <w:sz w:val="20"/>
          <w:szCs w:val="20"/>
          <w:u w:val="single"/>
        </w:rPr>
      </w:pPr>
      <w:r w:rsidRPr="00FD4593">
        <w:rPr>
          <w:rFonts w:ascii="Arial" w:hAnsi="Arial" w:cs="Arial"/>
          <w:color w:val="ED7D31" w:themeColor="accent2"/>
          <w:sz w:val="20"/>
          <w:szCs w:val="20"/>
          <w:u w:val="single"/>
        </w:rPr>
        <w:t>Incrétines</w:t>
      </w:r>
    </w:p>
    <w:p w14:paraId="474A5FF0"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Hormones peptidiques sécrétées par l’intestin suite à une prise alimentaire</w:t>
      </w:r>
      <w:r>
        <w:rPr>
          <w:rFonts w:ascii="Arial" w:hAnsi="Arial" w:cs="Arial"/>
          <w:sz w:val="20"/>
          <w:szCs w:val="20"/>
        </w:rPr>
        <w:t xml:space="preserve"> : </w:t>
      </w:r>
    </w:p>
    <w:p w14:paraId="0B4F5F32" w14:textId="77777777" w:rsidR="00ED4694" w:rsidRPr="00FD4593" w:rsidRDefault="00ED4694" w:rsidP="00ED4694">
      <w:pPr>
        <w:pStyle w:val="Sansinterligne"/>
        <w:numPr>
          <w:ilvl w:val="0"/>
          <w:numId w:val="140"/>
        </w:numPr>
        <w:jc w:val="both"/>
        <w:rPr>
          <w:rFonts w:ascii="Arial" w:hAnsi="Arial" w:cs="Arial"/>
          <w:sz w:val="20"/>
          <w:szCs w:val="20"/>
        </w:rPr>
      </w:pPr>
      <w:r w:rsidRPr="00AD095B">
        <w:rPr>
          <w:rFonts w:ascii="Arial" w:hAnsi="Arial" w:cs="Arial"/>
          <w:sz w:val="20"/>
          <w:szCs w:val="20"/>
          <w:u w:val="single"/>
        </w:rPr>
        <w:t xml:space="preserve">GLP-1 </w:t>
      </w:r>
      <w:r w:rsidRPr="00FD4593">
        <w:rPr>
          <w:rFonts w:ascii="Arial" w:hAnsi="Arial" w:cs="Arial"/>
          <w:sz w:val="20"/>
          <w:szCs w:val="20"/>
        </w:rPr>
        <w:t xml:space="preserve">: glucagon-like peptide-1 : </w:t>
      </w:r>
      <w:r w:rsidRPr="003D03A1">
        <w:rPr>
          <w:rFonts w:ascii="Arial" w:hAnsi="Arial" w:cs="Arial"/>
          <w:sz w:val="20"/>
          <w:szCs w:val="20"/>
        </w:rPr>
        <w:t xml:space="preserve">Responsable de l’essentiel de l’effet incrétine </w:t>
      </w:r>
    </w:p>
    <w:p w14:paraId="7F03AEF1" w14:textId="77777777" w:rsidR="00ED4694" w:rsidRPr="00AD095B" w:rsidRDefault="00ED4694" w:rsidP="00ED4694">
      <w:pPr>
        <w:pStyle w:val="Sansinterligne"/>
        <w:numPr>
          <w:ilvl w:val="0"/>
          <w:numId w:val="140"/>
        </w:numPr>
        <w:jc w:val="both"/>
        <w:rPr>
          <w:rFonts w:ascii="Arial" w:hAnsi="Arial" w:cs="Arial"/>
          <w:color w:val="000000" w:themeColor="text1"/>
          <w:sz w:val="20"/>
          <w:szCs w:val="20"/>
        </w:rPr>
      </w:pPr>
      <w:r w:rsidRPr="00AD095B">
        <w:rPr>
          <w:rFonts w:ascii="Arial" w:hAnsi="Arial" w:cs="Arial"/>
          <w:sz w:val="20"/>
          <w:szCs w:val="20"/>
          <w:u w:val="single"/>
        </w:rPr>
        <w:t>GIP</w:t>
      </w:r>
      <w:r w:rsidRPr="003D03A1">
        <w:rPr>
          <w:rFonts w:ascii="Arial" w:hAnsi="Arial" w:cs="Arial"/>
          <w:sz w:val="20"/>
          <w:szCs w:val="20"/>
        </w:rPr>
        <w:t xml:space="preserve"> : glucose dependent insulinotropic polypeptide</w:t>
      </w:r>
    </w:p>
    <w:p w14:paraId="4B5B5314" w14:textId="77777777" w:rsidR="00ED4694" w:rsidRPr="00AD095B" w:rsidRDefault="00ED4694" w:rsidP="00ED4694">
      <w:pPr>
        <w:pStyle w:val="Sansinterligne"/>
        <w:jc w:val="both"/>
        <w:rPr>
          <w:rFonts w:ascii="Arial" w:hAnsi="Arial" w:cs="Arial"/>
          <w:color w:val="000000" w:themeColor="text1"/>
          <w:sz w:val="20"/>
          <w:szCs w:val="20"/>
        </w:rPr>
      </w:pPr>
      <w:r>
        <w:rPr>
          <w:rFonts w:ascii="Arial" w:hAnsi="Arial" w:cs="Arial"/>
          <w:color w:val="000000" w:themeColor="text1"/>
          <w:sz w:val="20"/>
          <w:szCs w:val="20"/>
        </w:rPr>
        <w:t xml:space="preserve">Ces incrétines ont une demi-vie très courte : elles sont dégradées par la </w:t>
      </w:r>
      <w:r w:rsidRPr="003D03A1">
        <w:rPr>
          <w:rFonts w:ascii="Arial" w:hAnsi="Arial" w:cs="Arial"/>
          <w:sz w:val="20"/>
          <w:szCs w:val="20"/>
        </w:rPr>
        <w:t>DPP-4 : dipeptidyl peptidase-4</w:t>
      </w:r>
      <w:r>
        <w:rPr>
          <w:rFonts w:ascii="Arial" w:hAnsi="Arial" w:cs="Arial"/>
          <w:sz w:val="20"/>
          <w:szCs w:val="20"/>
        </w:rPr>
        <w:t xml:space="preserve"> : </w:t>
      </w:r>
      <w:r w:rsidRPr="003D03A1">
        <w:rPr>
          <w:rFonts w:ascii="Arial" w:hAnsi="Arial" w:cs="Arial"/>
          <w:sz w:val="20"/>
          <w:szCs w:val="20"/>
        </w:rPr>
        <w:t>Inactivation des incrétines</w:t>
      </w:r>
      <w:r>
        <w:rPr>
          <w:rFonts w:ascii="Arial" w:hAnsi="Arial" w:cs="Arial"/>
          <w:sz w:val="20"/>
          <w:szCs w:val="20"/>
        </w:rPr>
        <w:t xml:space="preserve">. </w:t>
      </w:r>
    </w:p>
    <w:p w14:paraId="098F061A" w14:textId="77777777" w:rsidR="00ED4694" w:rsidRDefault="00ED4694" w:rsidP="00ED4694">
      <w:pPr>
        <w:pStyle w:val="Sansinterligne"/>
        <w:jc w:val="both"/>
        <w:rPr>
          <w:rFonts w:ascii="Arial" w:hAnsi="Arial" w:cs="Arial"/>
          <w:color w:val="000000" w:themeColor="text1"/>
          <w:sz w:val="20"/>
          <w:szCs w:val="20"/>
        </w:rPr>
      </w:pPr>
    </w:p>
    <w:p w14:paraId="4EE9D322" w14:textId="77777777" w:rsidR="00ED4694" w:rsidRDefault="00ED4694" w:rsidP="00ED4694">
      <w:pPr>
        <w:pStyle w:val="Sansinterligne"/>
        <w:jc w:val="center"/>
        <w:rPr>
          <w:rFonts w:ascii="Arial" w:hAnsi="Arial" w:cs="Arial"/>
          <w:color w:val="000000" w:themeColor="text1"/>
          <w:sz w:val="20"/>
          <w:szCs w:val="20"/>
        </w:rPr>
      </w:pPr>
      <w:r w:rsidRPr="00FD4593">
        <w:rPr>
          <w:rFonts w:ascii="Arial" w:hAnsi="Arial" w:cs="Arial"/>
          <w:noProof/>
          <w:color w:val="000000" w:themeColor="text1"/>
          <w:sz w:val="20"/>
          <w:szCs w:val="20"/>
        </w:rPr>
        <w:drawing>
          <wp:anchor distT="0" distB="0" distL="114300" distR="114300" simplePos="0" relativeHeight="251758592" behindDoc="1" locked="0" layoutInCell="1" allowOverlap="1" wp14:anchorId="25AF691D" wp14:editId="55604AEF">
            <wp:simplePos x="0" y="0"/>
            <wp:positionH relativeFrom="column">
              <wp:posOffset>66040</wp:posOffset>
            </wp:positionH>
            <wp:positionV relativeFrom="paragraph">
              <wp:posOffset>-6545</wp:posOffset>
            </wp:positionV>
            <wp:extent cx="3164205" cy="1603375"/>
            <wp:effectExtent l="0" t="0" r="0" b="0"/>
            <wp:wrapTight wrapText="bothSides">
              <wp:wrapPolygon edited="0">
                <wp:start x="0" y="0"/>
                <wp:lineTo x="0" y="21386"/>
                <wp:lineTo x="21500" y="21386"/>
                <wp:lineTo x="21500" y="0"/>
                <wp:lineTo x="0" y="0"/>
              </wp:wrapPolygon>
            </wp:wrapTight>
            <wp:docPr id="3370611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61111" name=""/>
                    <pic:cNvPicPr/>
                  </pic:nvPicPr>
                  <pic:blipFill>
                    <a:blip r:embed="rId154">
                      <a:extLst>
                        <a:ext uri="{28A0092B-C50C-407E-A947-70E740481C1C}">
                          <a14:useLocalDpi xmlns:a14="http://schemas.microsoft.com/office/drawing/2010/main" val="0"/>
                        </a:ext>
                      </a:extLst>
                    </a:blip>
                    <a:stretch>
                      <a:fillRect/>
                    </a:stretch>
                  </pic:blipFill>
                  <pic:spPr>
                    <a:xfrm>
                      <a:off x="0" y="0"/>
                      <a:ext cx="3164205" cy="1603375"/>
                    </a:xfrm>
                    <a:prstGeom prst="rect">
                      <a:avLst/>
                    </a:prstGeom>
                  </pic:spPr>
                </pic:pic>
              </a:graphicData>
            </a:graphic>
            <wp14:sizeRelH relativeFrom="page">
              <wp14:pctWidth>0</wp14:pctWidth>
            </wp14:sizeRelH>
            <wp14:sizeRelV relativeFrom="page">
              <wp14:pctHeight>0</wp14:pctHeight>
            </wp14:sizeRelV>
          </wp:anchor>
        </w:drawing>
      </w:r>
    </w:p>
    <w:p w14:paraId="7B55A853" w14:textId="77777777" w:rsidR="00ED4694" w:rsidRDefault="00ED4694" w:rsidP="00ED4694">
      <w:pPr>
        <w:pStyle w:val="Sansinterligne"/>
        <w:jc w:val="center"/>
        <w:rPr>
          <w:rFonts w:ascii="Arial" w:hAnsi="Arial" w:cs="Arial"/>
          <w:color w:val="000000" w:themeColor="text1"/>
          <w:sz w:val="20"/>
          <w:szCs w:val="20"/>
        </w:rPr>
      </w:pPr>
    </w:p>
    <w:p w14:paraId="2027645A" w14:textId="77777777" w:rsidR="00ED4694" w:rsidRDefault="00ED4694" w:rsidP="00ED4694">
      <w:pPr>
        <w:pStyle w:val="Sansinterligne"/>
        <w:rPr>
          <w:rFonts w:ascii="Arial" w:hAnsi="Arial" w:cs="Arial"/>
          <w:color w:val="000000" w:themeColor="text1"/>
          <w:sz w:val="20"/>
          <w:szCs w:val="20"/>
        </w:rPr>
      </w:pPr>
      <w:r>
        <w:rPr>
          <w:rFonts w:ascii="Arial" w:hAnsi="Arial" w:cs="Arial"/>
          <w:color w:val="000000" w:themeColor="text1"/>
          <w:sz w:val="20"/>
          <w:szCs w:val="20"/>
        </w:rPr>
        <w:t xml:space="preserve">2 organes cibles des incrétines : </w:t>
      </w:r>
    </w:p>
    <w:p w14:paraId="22418F43" w14:textId="77777777" w:rsidR="00ED4694" w:rsidRDefault="00ED4694" w:rsidP="00ED4694">
      <w:pPr>
        <w:pStyle w:val="Sansinterligne"/>
        <w:numPr>
          <w:ilvl w:val="0"/>
          <w:numId w:val="140"/>
        </w:numPr>
        <w:rPr>
          <w:rFonts w:ascii="Arial" w:hAnsi="Arial" w:cs="Arial"/>
          <w:color w:val="000000" w:themeColor="text1"/>
          <w:sz w:val="20"/>
          <w:szCs w:val="20"/>
        </w:rPr>
      </w:pPr>
      <w:r w:rsidRPr="00080ED8">
        <w:rPr>
          <w:rFonts w:ascii="Arial" w:hAnsi="Arial" w:cs="Arial"/>
          <w:color w:val="000000" w:themeColor="text1"/>
          <w:sz w:val="20"/>
          <w:szCs w:val="20"/>
          <w:u w:val="single"/>
        </w:rPr>
        <w:t>Pancréas</w:t>
      </w:r>
      <w:r>
        <w:rPr>
          <w:rFonts w:ascii="Arial" w:hAnsi="Arial" w:cs="Arial"/>
          <w:color w:val="000000" w:themeColor="text1"/>
          <w:sz w:val="20"/>
          <w:szCs w:val="20"/>
        </w:rPr>
        <w:t xml:space="preserve"> : </w:t>
      </w:r>
      <w:r w:rsidRPr="003D03A1">
        <w:rPr>
          <w:rFonts w:ascii="Arial" w:hAnsi="Arial" w:cs="Arial"/>
          <w:sz w:val="20"/>
          <w:szCs w:val="20"/>
        </w:rPr>
        <w:t>↑</w:t>
      </w:r>
      <w:r>
        <w:rPr>
          <w:rFonts w:ascii="Arial" w:hAnsi="Arial" w:cs="Arial"/>
          <w:sz w:val="20"/>
          <w:szCs w:val="20"/>
        </w:rPr>
        <w:t xml:space="preserve"> synthèse et sécrétion d’insuline, </w:t>
      </w:r>
      <w:r w:rsidRPr="003D03A1">
        <w:rPr>
          <w:rFonts w:ascii="Arial" w:hAnsi="Arial" w:cs="Arial"/>
          <w:sz w:val="20"/>
          <w:szCs w:val="20"/>
        </w:rPr>
        <w:t>↑</w:t>
      </w:r>
      <w:r>
        <w:rPr>
          <w:rFonts w:ascii="Arial" w:hAnsi="Arial" w:cs="Arial"/>
          <w:sz w:val="20"/>
          <w:szCs w:val="20"/>
        </w:rPr>
        <w:t xml:space="preserve"> prolifération et survie C </w:t>
      </w:r>
      <m:oMath>
        <m:r>
          <w:rPr>
            <w:rFonts w:ascii="Cambria Math" w:hAnsi="Cambria Math" w:cs="Arial"/>
            <w:sz w:val="20"/>
            <w:szCs w:val="20"/>
          </w:rPr>
          <m:t>β</m:t>
        </m:r>
      </m:oMath>
      <w:r>
        <w:rPr>
          <w:rFonts w:ascii="Arial" w:eastAsiaTheme="minorEastAsia" w:hAnsi="Arial" w:cs="Arial"/>
          <w:sz w:val="20"/>
          <w:szCs w:val="20"/>
        </w:rPr>
        <w:t xml:space="preserve">, </w:t>
      </w:r>
      <w:r w:rsidRPr="003D03A1">
        <w:rPr>
          <w:rFonts w:ascii="Arial" w:hAnsi="Arial" w:cs="Arial"/>
          <w:sz w:val="20"/>
          <w:szCs w:val="20"/>
        </w:rPr>
        <w:t>↓</w:t>
      </w:r>
      <w:r>
        <w:rPr>
          <w:rFonts w:ascii="Arial" w:hAnsi="Arial" w:cs="Arial"/>
          <w:sz w:val="20"/>
          <w:szCs w:val="20"/>
        </w:rPr>
        <w:t xml:space="preserve"> production de glucagon </w:t>
      </w:r>
    </w:p>
    <w:p w14:paraId="4821CA84" w14:textId="77777777" w:rsidR="00ED4694" w:rsidRDefault="00ED4694" w:rsidP="00ED4694">
      <w:pPr>
        <w:pStyle w:val="Sansinterligne"/>
        <w:numPr>
          <w:ilvl w:val="0"/>
          <w:numId w:val="140"/>
        </w:numPr>
        <w:rPr>
          <w:rFonts w:ascii="Arial" w:hAnsi="Arial" w:cs="Arial"/>
          <w:color w:val="000000" w:themeColor="text1"/>
          <w:sz w:val="20"/>
          <w:szCs w:val="20"/>
        </w:rPr>
      </w:pPr>
      <w:r w:rsidRPr="00080ED8">
        <w:rPr>
          <w:rFonts w:ascii="Arial" w:hAnsi="Arial" w:cs="Arial"/>
          <w:color w:val="000000" w:themeColor="text1"/>
          <w:sz w:val="20"/>
          <w:szCs w:val="20"/>
          <w:u w:val="single"/>
        </w:rPr>
        <w:t>Cerveau</w:t>
      </w:r>
      <w:r>
        <w:rPr>
          <w:rFonts w:ascii="Arial" w:hAnsi="Arial" w:cs="Arial"/>
          <w:color w:val="000000" w:themeColor="text1"/>
          <w:sz w:val="20"/>
          <w:szCs w:val="20"/>
        </w:rPr>
        <w:t xml:space="preserve"> : </w:t>
      </w:r>
      <w:r w:rsidRPr="003D03A1">
        <w:rPr>
          <w:rFonts w:ascii="Arial" w:hAnsi="Arial" w:cs="Arial"/>
          <w:sz w:val="20"/>
          <w:szCs w:val="20"/>
        </w:rPr>
        <w:t>↑</w:t>
      </w:r>
      <w:r>
        <w:rPr>
          <w:rFonts w:ascii="Arial" w:hAnsi="Arial" w:cs="Arial"/>
          <w:sz w:val="20"/>
          <w:szCs w:val="20"/>
        </w:rPr>
        <w:t xml:space="preserve"> satiété, </w:t>
      </w:r>
      <w:r w:rsidRPr="003D03A1">
        <w:rPr>
          <w:rFonts w:ascii="Arial" w:hAnsi="Arial" w:cs="Arial"/>
          <w:sz w:val="20"/>
          <w:szCs w:val="20"/>
        </w:rPr>
        <w:t>↓</w:t>
      </w:r>
      <w:r>
        <w:rPr>
          <w:rFonts w:ascii="Arial" w:hAnsi="Arial" w:cs="Arial"/>
          <w:sz w:val="20"/>
          <w:szCs w:val="20"/>
        </w:rPr>
        <w:t xml:space="preserve"> vidange gastrique</w:t>
      </w:r>
    </w:p>
    <w:p w14:paraId="5363073D" w14:textId="77777777" w:rsidR="00ED4694" w:rsidRDefault="00ED4694" w:rsidP="00ED4694">
      <w:pPr>
        <w:pStyle w:val="Sansinterligne"/>
        <w:jc w:val="center"/>
        <w:rPr>
          <w:rFonts w:ascii="Arial" w:hAnsi="Arial" w:cs="Arial"/>
          <w:color w:val="000000" w:themeColor="text1"/>
          <w:sz w:val="20"/>
          <w:szCs w:val="20"/>
        </w:rPr>
      </w:pPr>
    </w:p>
    <w:p w14:paraId="19198E79" w14:textId="77777777" w:rsidR="00ED4694" w:rsidRDefault="00ED4694" w:rsidP="00ED4694">
      <w:pPr>
        <w:pStyle w:val="Sansinterligne"/>
        <w:jc w:val="center"/>
        <w:rPr>
          <w:rFonts w:ascii="Arial" w:hAnsi="Arial" w:cs="Arial"/>
          <w:color w:val="000000" w:themeColor="text1"/>
          <w:sz w:val="20"/>
          <w:szCs w:val="20"/>
        </w:rPr>
      </w:pPr>
    </w:p>
    <w:p w14:paraId="047B6D3C" w14:textId="77777777" w:rsidR="00ED4694" w:rsidRDefault="00ED4694" w:rsidP="00ED4694">
      <w:pPr>
        <w:pStyle w:val="Sansinterligne"/>
        <w:rPr>
          <w:rFonts w:ascii="Arial" w:hAnsi="Arial" w:cs="Arial"/>
          <w:color w:val="000000" w:themeColor="text1"/>
          <w:sz w:val="20"/>
          <w:szCs w:val="20"/>
        </w:rPr>
      </w:pPr>
    </w:p>
    <w:p w14:paraId="0E1A4FE5" w14:textId="77777777" w:rsidR="00ED4694" w:rsidRPr="00FD4593" w:rsidRDefault="00ED4694" w:rsidP="00ED4694">
      <w:pPr>
        <w:pStyle w:val="Sansinterligne"/>
        <w:rPr>
          <w:rFonts w:ascii="Arial" w:hAnsi="Arial" w:cs="Arial"/>
          <w:color w:val="000000" w:themeColor="text1"/>
          <w:sz w:val="20"/>
          <w:szCs w:val="20"/>
        </w:rPr>
      </w:pPr>
    </w:p>
    <w:p w14:paraId="2277C767" w14:textId="77777777" w:rsidR="00ED4694" w:rsidRPr="00FD4593" w:rsidRDefault="00ED4694" w:rsidP="00ED4694">
      <w:pPr>
        <w:pStyle w:val="Sansinterligne"/>
        <w:numPr>
          <w:ilvl w:val="0"/>
          <w:numId w:val="210"/>
        </w:numPr>
        <w:jc w:val="both"/>
        <w:rPr>
          <w:rFonts w:ascii="Arial" w:hAnsi="Arial" w:cs="Arial"/>
          <w:color w:val="ED7D31" w:themeColor="accent2"/>
          <w:sz w:val="20"/>
          <w:szCs w:val="20"/>
        </w:rPr>
      </w:pPr>
      <w:r w:rsidRPr="00FD4593">
        <w:rPr>
          <w:rFonts w:ascii="Arial" w:hAnsi="Arial" w:cs="Arial"/>
          <w:color w:val="ED7D31" w:themeColor="accent2"/>
          <w:sz w:val="20"/>
          <w:szCs w:val="20"/>
          <w:u w:val="single"/>
        </w:rPr>
        <w:lastRenderedPageBreak/>
        <w:t>Analogues du glucagon-like peptide 1 (GLP-1)</w:t>
      </w:r>
      <w:r w:rsidRPr="00FD4593">
        <w:rPr>
          <w:rFonts w:ascii="Arial" w:hAnsi="Arial" w:cs="Arial"/>
          <w:color w:val="ED7D31" w:themeColor="accent2"/>
          <w:sz w:val="20"/>
          <w:szCs w:val="20"/>
        </w:rPr>
        <w:t> </w:t>
      </w:r>
    </w:p>
    <w:p w14:paraId="682991A2" w14:textId="77777777" w:rsidR="00ED4694" w:rsidRPr="003D03A1" w:rsidRDefault="00ED4694" w:rsidP="00ED4694">
      <w:pPr>
        <w:pStyle w:val="Sansinterligne"/>
        <w:jc w:val="both"/>
        <w:rPr>
          <w:rFonts w:ascii="Arial" w:hAnsi="Arial" w:cs="Arial"/>
          <w:sz w:val="20"/>
          <w:szCs w:val="20"/>
        </w:rPr>
      </w:pPr>
      <w:r w:rsidRPr="00FD4593">
        <w:rPr>
          <w:rFonts w:ascii="Arial" w:hAnsi="Arial" w:cs="Arial"/>
          <w:i/>
          <w:iCs/>
          <w:sz w:val="20"/>
          <w:szCs w:val="20"/>
        </w:rPr>
        <w:t>Dulaglutide(TRULICITY®)</w:t>
      </w:r>
      <w:r>
        <w:rPr>
          <w:rFonts w:ascii="Arial" w:hAnsi="Arial" w:cs="Arial"/>
          <w:i/>
          <w:iCs/>
          <w:sz w:val="20"/>
          <w:szCs w:val="20"/>
        </w:rPr>
        <w:t>,</w:t>
      </w:r>
      <w:r w:rsidRPr="00FD4593">
        <w:rPr>
          <w:rFonts w:ascii="Arial" w:hAnsi="Arial" w:cs="Arial"/>
          <w:i/>
          <w:iCs/>
          <w:sz w:val="20"/>
          <w:szCs w:val="20"/>
        </w:rPr>
        <w:t xml:space="preserve"> Exénatide(BYETTA®) Liraglutide (VICTOZA®) Sémaglutide (OZEMPIC®)</w:t>
      </w:r>
      <w:r>
        <w:rPr>
          <w:rFonts w:ascii="Arial" w:hAnsi="Arial" w:cs="Arial"/>
          <w:i/>
          <w:iCs/>
          <w:sz w:val="20"/>
          <w:szCs w:val="20"/>
        </w:rPr>
        <w:t> </w:t>
      </w:r>
      <w:r>
        <w:rPr>
          <w:rFonts w:ascii="Arial" w:hAnsi="Arial" w:cs="Arial"/>
          <w:sz w:val="20"/>
          <w:szCs w:val="20"/>
        </w:rPr>
        <w:t>: Voie ss-cutanée</w:t>
      </w:r>
    </w:p>
    <w:p w14:paraId="1DC4DE2D" w14:textId="77777777" w:rsidR="00ED4694" w:rsidRDefault="00ED4694" w:rsidP="00ED4694">
      <w:pPr>
        <w:pStyle w:val="Sansinterligne"/>
        <w:ind w:left="360"/>
        <w:jc w:val="both"/>
        <w:rPr>
          <w:rFonts w:ascii="Arial" w:hAnsi="Arial" w:cs="Arial"/>
          <w:sz w:val="20"/>
          <w:szCs w:val="20"/>
        </w:rPr>
      </w:pPr>
      <w:r w:rsidRPr="003D03A1">
        <w:rPr>
          <w:rFonts w:ascii="Arial" w:hAnsi="Arial" w:cs="Arial"/>
          <w:sz w:val="20"/>
          <w:szCs w:val="20"/>
        </w:rPr>
        <w:t xml:space="preserve">Peptides synthétiques agonistes des récepteurs au GLP-1 </w:t>
      </w:r>
    </w:p>
    <w:p w14:paraId="248C3486" w14:textId="77777777" w:rsidR="00ED4694" w:rsidRDefault="00ED4694" w:rsidP="00ED4694">
      <w:pPr>
        <w:pStyle w:val="Sansinterligne"/>
        <w:numPr>
          <w:ilvl w:val="0"/>
          <w:numId w:val="140"/>
        </w:numPr>
        <w:jc w:val="both"/>
        <w:rPr>
          <w:rFonts w:ascii="Arial" w:hAnsi="Arial" w:cs="Arial"/>
          <w:sz w:val="20"/>
          <w:szCs w:val="20"/>
        </w:rPr>
      </w:pPr>
      <w:r w:rsidRPr="003D03A1">
        <w:rPr>
          <w:rFonts w:ascii="Arial" w:hAnsi="Arial" w:cs="Arial"/>
          <w:sz w:val="20"/>
          <w:szCs w:val="20"/>
        </w:rPr>
        <w:t xml:space="preserve">Stabilité &gt; GLP-1 endogène (résistance à la DPP4) </w:t>
      </w:r>
    </w:p>
    <w:p w14:paraId="31C7B9CB" w14:textId="77777777" w:rsidR="00ED4694" w:rsidRPr="003D03A1" w:rsidRDefault="00ED4694" w:rsidP="00ED4694">
      <w:pPr>
        <w:pStyle w:val="Sansinterligne"/>
        <w:numPr>
          <w:ilvl w:val="0"/>
          <w:numId w:val="140"/>
        </w:numPr>
        <w:jc w:val="both"/>
        <w:rPr>
          <w:rFonts w:ascii="Arial" w:hAnsi="Arial" w:cs="Arial"/>
          <w:sz w:val="20"/>
          <w:szCs w:val="20"/>
        </w:rPr>
      </w:pPr>
      <w:r>
        <w:rPr>
          <w:rFonts w:ascii="Arial" w:hAnsi="Arial" w:cs="Arial"/>
          <w:sz w:val="20"/>
          <w:szCs w:val="20"/>
        </w:rPr>
        <w:t xml:space="preserve">Perte de poids </w:t>
      </w:r>
    </w:p>
    <w:p w14:paraId="562F74AA" w14:textId="77777777" w:rsidR="00ED4694" w:rsidRDefault="00ED4694" w:rsidP="00ED4694">
      <w:pPr>
        <w:pStyle w:val="Sansinterligne"/>
        <w:jc w:val="both"/>
        <w:rPr>
          <w:rFonts w:ascii="Arial" w:hAnsi="Arial" w:cs="Arial"/>
          <w:sz w:val="20"/>
          <w:szCs w:val="20"/>
          <w:u w:val="single"/>
        </w:rPr>
      </w:pPr>
    </w:p>
    <w:p w14:paraId="759B8861" w14:textId="77777777" w:rsidR="00ED4694" w:rsidRDefault="00ED4694" w:rsidP="00ED4694">
      <w:pPr>
        <w:pStyle w:val="Sansinterligne"/>
        <w:jc w:val="both"/>
        <w:rPr>
          <w:rFonts w:ascii="Arial" w:hAnsi="Arial" w:cs="Arial"/>
          <w:sz w:val="20"/>
          <w:szCs w:val="20"/>
        </w:rPr>
      </w:pPr>
      <w:r w:rsidRPr="00FD4593">
        <w:rPr>
          <w:rFonts w:ascii="Arial" w:hAnsi="Arial" w:cs="Arial"/>
          <w:sz w:val="20"/>
          <w:szCs w:val="20"/>
          <w:u w:val="single"/>
        </w:rPr>
        <w:t>Effets</w:t>
      </w:r>
      <w:r>
        <w:rPr>
          <w:rFonts w:ascii="Arial" w:hAnsi="Arial" w:cs="Arial"/>
          <w:sz w:val="20"/>
          <w:szCs w:val="20"/>
        </w:rPr>
        <w:t> :</w:t>
      </w:r>
    </w:p>
    <w:p w14:paraId="6ACBDD48" w14:textId="77777777" w:rsidR="00ED4694" w:rsidRDefault="00ED4694" w:rsidP="00ED4694">
      <w:pPr>
        <w:pStyle w:val="Sansinterligne"/>
        <w:numPr>
          <w:ilvl w:val="0"/>
          <w:numId w:val="140"/>
        </w:numPr>
        <w:jc w:val="both"/>
        <w:rPr>
          <w:rFonts w:ascii="Arial" w:hAnsi="Arial" w:cs="Arial"/>
          <w:sz w:val="20"/>
          <w:szCs w:val="20"/>
        </w:rPr>
      </w:pPr>
      <w:r w:rsidRPr="003D03A1">
        <w:rPr>
          <w:rFonts w:ascii="Arial" w:hAnsi="Arial" w:cs="Arial"/>
          <w:position w:val="-2"/>
          <w:sz w:val="20"/>
          <w:szCs w:val="20"/>
        </w:rPr>
        <w:t xml:space="preserve">↑ sécrétion insuline </w:t>
      </w:r>
      <w:r w:rsidRPr="003D03A1">
        <w:rPr>
          <w:rFonts w:ascii="Arial" w:hAnsi="Arial" w:cs="Arial"/>
          <w:sz w:val="20"/>
          <w:szCs w:val="20"/>
        </w:rPr>
        <w:t xml:space="preserve">: insulino-sécréteurs glucose-dépendants </w:t>
      </w:r>
      <w:r>
        <w:rPr>
          <w:rFonts w:ascii="Arial" w:hAnsi="Arial" w:cs="Arial"/>
          <w:sz w:val="20"/>
          <w:szCs w:val="20"/>
        </w:rPr>
        <w:t>(≠ sulfamides et glinides)</w:t>
      </w:r>
    </w:p>
    <w:p w14:paraId="29F510AA" w14:textId="77777777" w:rsidR="00ED4694" w:rsidRPr="003D03A1" w:rsidRDefault="00ED4694" w:rsidP="00ED4694">
      <w:pPr>
        <w:pStyle w:val="Sansinterligne"/>
        <w:numPr>
          <w:ilvl w:val="0"/>
          <w:numId w:val="140"/>
        </w:numPr>
        <w:jc w:val="both"/>
        <w:rPr>
          <w:rFonts w:ascii="Arial" w:hAnsi="Arial" w:cs="Arial"/>
          <w:sz w:val="20"/>
          <w:szCs w:val="20"/>
        </w:rPr>
      </w:pPr>
      <w:r w:rsidRPr="003D03A1">
        <w:rPr>
          <w:rFonts w:ascii="Arial" w:hAnsi="Arial" w:cs="Arial"/>
          <w:sz w:val="20"/>
          <w:szCs w:val="20"/>
        </w:rPr>
        <w:t xml:space="preserve">↑ synthèse insuline </w:t>
      </w:r>
    </w:p>
    <w:p w14:paraId="398D06D3" w14:textId="77777777" w:rsidR="00ED4694" w:rsidRPr="003D03A1" w:rsidRDefault="00ED4694" w:rsidP="00ED4694">
      <w:pPr>
        <w:pStyle w:val="Sansinterligne"/>
        <w:numPr>
          <w:ilvl w:val="0"/>
          <w:numId w:val="140"/>
        </w:numPr>
        <w:jc w:val="both"/>
        <w:rPr>
          <w:rFonts w:ascii="Arial" w:hAnsi="Arial" w:cs="Arial"/>
          <w:sz w:val="20"/>
          <w:szCs w:val="20"/>
        </w:rPr>
      </w:pPr>
      <w:r w:rsidRPr="003D03A1">
        <w:rPr>
          <w:rFonts w:ascii="Arial" w:hAnsi="Arial" w:cs="Arial"/>
          <w:sz w:val="20"/>
          <w:szCs w:val="20"/>
        </w:rPr>
        <w:t xml:space="preserve">↓ sécrétion glucagon </w:t>
      </w:r>
    </w:p>
    <w:p w14:paraId="724BA7EA" w14:textId="77777777" w:rsidR="00ED4694" w:rsidRPr="003D03A1" w:rsidRDefault="00ED4694" w:rsidP="00ED4694">
      <w:pPr>
        <w:pStyle w:val="Sansinterligne"/>
        <w:numPr>
          <w:ilvl w:val="0"/>
          <w:numId w:val="140"/>
        </w:numPr>
        <w:jc w:val="both"/>
        <w:rPr>
          <w:rFonts w:ascii="Arial" w:hAnsi="Arial" w:cs="Arial"/>
          <w:sz w:val="20"/>
          <w:szCs w:val="20"/>
        </w:rPr>
      </w:pPr>
      <w:r w:rsidRPr="003D03A1">
        <w:rPr>
          <w:rFonts w:ascii="Arial" w:hAnsi="Arial" w:cs="Arial"/>
          <w:sz w:val="20"/>
          <w:szCs w:val="20"/>
        </w:rPr>
        <w:t xml:space="preserve">Ralentissement vidange gastrique, ↑ satiété (récepteurs centraux au GLP-1) </w:t>
      </w:r>
    </w:p>
    <w:p w14:paraId="5B759EFD" w14:textId="77777777" w:rsidR="00ED4694" w:rsidRPr="00AD095B" w:rsidRDefault="00ED4694" w:rsidP="00ED4694">
      <w:pPr>
        <w:pStyle w:val="Sansinterligne"/>
        <w:jc w:val="both"/>
        <w:rPr>
          <w:rFonts w:ascii="Arial" w:hAnsi="Arial" w:cs="Arial"/>
          <w:sz w:val="20"/>
          <w:szCs w:val="20"/>
        </w:rPr>
      </w:pPr>
      <w:r w:rsidRPr="00AD095B">
        <w:rPr>
          <w:rFonts w:ascii="Arial" w:hAnsi="Arial" w:cs="Arial"/>
          <w:i/>
          <w:iCs/>
          <w:sz w:val="20"/>
          <w:szCs w:val="20"/>
        </w:rPr>
        <w:t>NB : liraglutide (Saxenda®), sémaglutide (</w:t>
      </w:r>
      <w:r w:rsidRPr="00AD095B">
        <w:rPr>
          <w:rFonts w:ascii="Arial" w:hAnsi="Arial" w:cs="Arial"/>
          <w:sz w:val="20"/>
          <w:szCs w:val="20"/>
        </w:rPr>
        <w:t xml:space="preserve">Wegovy®) : AMM obésité sévère en </w:t>
      </w:r>
      <w:r>
        <w:rPr>
          <w:rFonts w:ascii="Arial" w:hAnsi="Arial" w:cs="Arial"/>
          <w:sz w:val="20"/>
          <w:szCs w:val="20"/>
        </w:rPr>
        <w:t xml:space="preserve">2021 et 2022. </w:t>
      </w:r>
    </w:p>
    <w:p w14:paraId="4A6127CD"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Utilisés </w:t>
      </w:r>
      <w:r>
        <w:rPr>
          <w:rFonts w:ascii="Arial" w:hAnsi="Arial" w:cs="Arial"/>
          <w:sz w:val="20"/>
          <w:szCs w:val="20"/>
        </w:rPr>
        <w:t>2</w:t>
      </w:r>
      <w:r w:rsidRPr="00FD4593">
        <w:rPr>
          <w:rFonts w:ascii="Arial" w:hAnsi="Arial" w:cs="Arial"/>
          <w:sz w:val="20"/>
          <w:szCs w:val="20"/>
          <w:vertAlign w:val="superscript"/>
        </w:rPr>
        <w:t>ème</w:t>
      </w:r>
      <w:r w:rsidRPr="003D03A1">
        <w:rPr>
          <w:rFonts w:ascii="Arial" w:hAnsi="Arial" w:cs="Arial"/>
          <w:position w:val="12"/>
          <w:sz w:val="20"/>
          <w:szCs w:val="20"/>
        </w:rPr>
        <w:t xml:space="preserve"> </w:t>
      </w:r>
      <w:r w:rsidRPr="003D03A1">
        <w:rPr>
          <w:rFonts w:ascii="Arial" w:hAnsi="Arial" w:cs="Arial"/>
          <w:sz w:val="20"/>
          <w:szCs w:val="20"/>
        </w:rPr>
        <w:t xml:space="preserve">ou </w:t>
      </w:r>
      <w:r>
        <w:rPr>
          <w:rFonts w:ascii="Arial" w:hAnsi="Arial" w:cs="Arial"/>
          <w:sz w:val="20"/>
          <w:szCs w:val="20"/>
        </w:rPr>
        <w:t>3</w:t>
      </w:r>
      <w:r w:rsidRPr="00FD4593">
        <w:rPr>
          <w:rFonts w:ascii="Arial" w:hAnsi="Arial" w:cs="Arial"/>
          <w:sz w:val="20"/>
          <w:szCs w:val="20"/>
          <w:vertAlign w:val="superscript"/>
        </w:rPr>
        <w:t>ème</w:t>
      </w:r>
      <w:r>
        <w:rPr>
          <w:rFonts w:ascii="Arial" w:hAnsi="Arial" w:cs="Arial"/>
          <w:sz w:val="20"/>
          <w:szCs w:val="20"/>
        </w:rPr>
        <w:t xml:space="preserve"> </w:t>
      </w:r>
      <w:r w:rsidRPr="003D03A1">
        <w:rPr>
          <w:rFonts w:ascii="Arial" w:hAnsi="Arial" w:cs="Arial"/>
          <w:sz w:val="20"/>
          <w:szCs w:val="20"/>
        </w:rPr>
        <w:t xml:space="preserve">intention dans </w:t>
      </w:r>
      <w:r>
        <w:rPr>
          <w:rFonts w:ascii="Arial" w:hAnsi="Arial" w:cs="Arial"/>
          <w:sz w:val="20"/>
          <w:szCs w:val="20"/>
        </w:rPr>
        <w:t>DT2, i</w:t>
      </w:r>
      <w:r w:rsidRPr="003D03A1">
        <w:rPr>
          <w:rFonts w:ascii="Arial" w:hAnsi="Arial" w:cs="Arial"/>
          <w:sz w:val="20"/>
          <w:szCs w:val="20"/>
        </w:rPr>
        <w:t xml:space="preserve">niquement en association (avec metformine et/ou sulfamides) </w:t>
      </w:r>
    </w:p>
    <w:p w14:paraId="0C40BFCA" w14:textId="77777777" w:rsidR="00ED4694" w:rsidRDefault="00ED4694" w:rsidP="00ED4694">
      <w:pPr>
        <w:pStyle w:val="Sansinterligne"/>
        <w:jc w:val="both"/>
        <w:rPr>
          <w:rFonts w:ascii="Arial" w:hAnsi="Arial" w:cs="Arial"/>
          <w:sz w:val="20"/>
          <w:szCs w:val="20"/>
        </w:rPr>
      </w:pPr>
      <w:r w:rsidRPr="003D03A1">
        <w:rPr>
          <w:rFonts w:ascii="Arial" w:hAnsi="Arial" w:cs="Arial"/>
          <w:sz w:val="20"/>
          <w:szCs w:val="20"/>
        </w:rPr>
        <w:t xml:space="preserve">Dulaglutide &amp; liraglutide : bénéfice cardiovasculaire </w:t>
      </w:r>
    </w:p>
    <w:p w14:paraId="2B0A5378"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Métabolisme / clivage protéolytique, élimination biliaire et rénale </w:t>
      </w:r>
    </w:p>
    <w:p w14:paraId="4630E714" w14:textId="77777777" w:rsidR="00ED4694" w:rsidRDefault="00ED4694" w:rsidP="00ED4694">
      <w:pPr>
        <w:pStyle w:val="Sansinterligne"/>
        <w:jc w:val="both"/>
        <w:rPr>
          <w:rFonts w:ascii="Arial" w:hAnsi="Arial" w:cs="Arial"/>
          <w:sz w:val="20"/>
          <w:szCs w:val="20"/>
          <w:u w:val="single"/>
        </w:rPr>
      </w:pPr>
    </w:p>
    <w:p w14:paraId="5D1DC4DA" w14:textId="77777777" w:rsidR="00ED4694" w:rsidRPr="00FD4593" w:rsidRDefault="00ED4694" w:rsidP="00ED4694">
      <w:pPr>
        <w:pStyle w:val="Sansinterligne"/>
        <w:jc w:val="both"/>
        <w:rPr>
          <w:rFonts w:ascii="Arial" w:hAnsi="Arial" w:cs="Arial"/>
          <w:sz w:val="20"/>
          <w:szCs w:val="20"/>
          <w:u w:val="single"/>
        </w:rPr>
      </w:pPr>
      <w:r w:rsidRPr="00FD4593">
        <w:rPr>
          <w:rFonts w:ascii="Arial" w:hAnsi="Arial" w:cs="Arial"/>
          <w:sz w:val="20"/>
          <w:szCs w:val="20"/>
          <w:u w:val="single"/>
        </w:rPr>
        <w:t>Effets indésirables</w:t>
      </w:r>
      <w:r>
        <w:rPr>
          <w:rFonts w:ascii="Arial" w:hAnsi="Arial" w:cs="Arial"/>
          <w:sz w:val="20"/>
          <w:szCs w:val="20"/>
          <w:u w:val="single"/>
        </w:rPr>
        <w:t xml:space="preserve"> : </w:t>
      </w:r>
    </w:p>
    <w:p w14:paraId="5A15D030"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Troubles digestifs (nausées, vomissements, diarrhées) prévenus par ↑ progressive des doses </w:t>
      </w:r>
    </w:p>
    <w:p w14:paraId="11E097FC"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Perte de poids trop rapide </w:t>
      </w:r>
    </w:p>
    <w:p w14:paraId="70334A27"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Risque d’hypoglycémie avec les sulfamides </w:t>
      </w:r>
    </w:p>
    <w:p w14:paraId="7AB0AF6D"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Risque de pancréatite </w:t>
      </w:r>
    </w:p>
    <w:p w14:paraId="6746F323" w14:textId="77777777" w:rsidR="00ED4694" w:rsidRDefault="00ED4694" w:rsidP="00ED4694">
      <w:pPr>
        <w:pStyle w:val="Sansinterligne"/>
        <w:jc w:val="both"/>
        <w:rPr>
          <w:rFonts w:ascii="Arial" w:hAnsi="Arial" w:cs="Arial"/>
          <w:sz w:val="20"/>
          <w:szCs w:val="20"/>
        </w:rPr>
      </w:pPr>
      <w:r w:rsidRPr="003D03A1">
        <w:rPr>
          <w:rFonts w:ascii="Arial" w:hAnsi="Arial" w:cs="Arial"/>
          <w:sz w:val="20"/>
          <w:szCs w:val="20"/>
        </w:rPr>
        <w:t xml:space="preserve">- Non recommandés si insuffisance rénale sévère </w:t>
      </w:r>
    </w:p>
    <w:p w14:paraId="27EA8060" w14:textId="77777777" w:rsidR="00ED4694" w:rsidRPr="003D03A1" w:rsidRDefault="00ED4694" w:rsidP="00ED4694">
      <w:pPr>
        <w:pStyle w:val="Sansinterligne"/>
        <w:jc w:val="both"/>
        <w:rPr>
          <w:rFonts w:ascii="Arial" w:hAnsi="Arial" w:cs="Arial"/>
          <w:sz w:val="20"/>
          <w:szCs w:val="20"/>
        </w:rPr>
      </w:pPr>
    </w:p>
    <w:p w14:paraId="6A4BA39C" w14:textId="77777777" w:rsidR="00ED4694" w:rsidRPr="00FD4593" w:rsidRDefault="00ED4694" w:rsidP="00ED4694">
      <w:pPr>
        <w:pStyle w:val="Sansinterligne"/>
        <w:numPr>
          <w:ilvl w:val="0"/>
          <w:numId w:val="210"/>
        </w:numPr>
        <w:jc w:val="both"/>
        <w:rPr>
          <w:rFonts w:ascii="Arial" w:hAnsi="Arial" w:cs="Arial"/>
          <w:color w:val="ED7D31" w:themeColor="accent2"/>
          <w:sz w:val="20"/>
          <w:szCs w:val="20"/>
          <w:u w:val="single"/>
        </w:rPr>
      </w:pPr>
      <w:r w:rsidRPr="00FD4593">
        <w:rPr>
          <w:rFonts w:ascii="Arial" w:hAnsi="Arial" w:cs="Arial"/>
          <w:color w:val="ED7D31" w:themeColor="accent2"/>
          <w:sz w:val="20"/>
          <w:szCs w:val="20"/>
          <w:u w:val="single"/>
        </w:rPr>
        <w:t xml:space="preserve">Inhibiteurs de la dipeptidylpeptidase 4 (DPP-4) : gliptines </w:t>
      </w:r>
    </w:p>
    <w:p w14:paraId="72D09579" w14:textId="77777777" w:rsidR="00ED4694" w:rsidRPr="003D03A1" w:rsidRDefault="00ED4694" w:rsidP="00ED4694">
      <w:pPr>
        <w:pStyle w:val="Sansinterligne"/>
        <w:jc w:val="both"/>
        <w:rPr>
          <w:rFonts w:ascii="Arial" w:hAnsi="Arial" w:cs="Arial"/>
          <w:sz w:val="20"/>
          <w:szCs w:val="20"/>
        </w:rPr>
      </w:pPr>
      <w:r w:rsidRPr="00FD4593">
        <w:rPr>
          <w:rFonts w:ascii="Arial" w:hAnsi="Arial" w:cs="Arial"/>
          <w:i/>
          <w:iCs/>
          <w:sz w:val="20"/>
          <w:szCs w:val="20"/>
        </w:rPr>
        <w:t>Saxagliptine (ONGLYZA®), Sitagliptine (JANUVIA® XELEVIA®), Vildagliptine (GALVUS®)</w:t>
      </w:r>
      <w:r>
        <w:rPr>
          <w:rFonts w:ascii="Arial" w:hAnsi="Arial" w:cs="Arial"/>
          <w:sz w:val="20"/>
          <w:szCs w:val="20"/>
        </w:rPr>
        <w:t> :</w:t>
      </w:r>
      <w:r w:rsidRPr="003D03A1">
        <w:rPr>
          <w:rFonts w:ascii="Arial" w:hAnsi="Arial" w:cs="Arial"/>
          <w:sz w:val="20"/>
          <w:szCs w:val="20"/>
        </w:rPr>
        <w:t xml:space="preserve"> voie orale </w:t>
      </w:r>
    </w:p>
    <w:p w14:paraId="4703422F"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Inhibiteurs de la DPP-4 (dipeptidylpeptidase-4)</w:t>
      </w:r>
      <w:r>
        <w:rPr>
          <w:rFonts w:ascii="Arial" w:hAnsi="Arial" w:cs="Arial"/>
          <w:sz w:val="20"/>
          <w:szCs w:val="20"/>
        </w:rPr>
        <w:t xml:space="preserve"> </w:t>
      </w:r>
      <w:r w:rsidRPr="003D03A1">
        <w:rPr>
          <w:rFonts w:ascii="Arial" w:hAnsi="Arial" w:cs="Arial"/>
          <w:sz w:val="20"/>
          <w:szCs w:val="20"/>
        </w:rPr>
        <w:t xml:space="preserve">= enzyme responsable de la dégradation des incrétines </w:t>
      </w:r>
    </w:p>
    <w:p w14:paraId="630EEF65" w14:textId="77777777" w:rsidR="00ED4694" w:rsidRDefault="00ED4694" w:rsidP="00ED4694">
      <w:pPr>
        <w:pStyle w:val="Sansinterligne"/>
        <w:jc w:val="both"/>
        <w:rPr>
          <w:rFonts w:ascii="Arial" w:hAnsi="Arial" w:cs="Arial"/>
          <w:sz w:val="20"/>
          <w:szCs w:val="20"/>
          <w:u w:val="single"/>
        </w:rPr>
      </w:pPr>
    </w:p>
    <w:p w14:paraId="4F02EC3A" w14:textId="77777777" w:rsidR="00ED4694" w:rsidRPr="003D03A1" w:rsidRDefault="00ED4694" w:rsidP="00ED4694">
      <w:pPr>
        <w:pStyle w:val="Sansinterligne"/>
        <w:jc w:val="both"/>
        <w:rPr>
          <w:rFonts w:ascii="Arial" w:hAnsi="Arial" w:cs="Arial"/>
          <w:sz w:val="20"/>
          <w:szCs w:val="20"/>
        </w:rPr>
      </w:pPr>
      <w:r w:rsidRPr="00FD4593">
        <w:rPr>
          <w:rFonts w:ascii="Arial" w:hAnsi="Arial" w:cs="Arial"/>
          <w:sz w:val="20"/>
          <w:szCs w:val="20"/>
          <w:u w:val="single"/>
        </w:rPr>
        <w:t>Effets</w:t>
      </w:r>
      <w:r w:rsidRPr="003D03A1">
        <w:rPr>
          <w:rFonts w:ascii="Arial" w:hAnsi="Arial" w:cs="Arial"/>
          <w:sz w:val="20"/>
          <w:szCs w:val="20"/>
        </w:rPr>
        <w:t xml:space="preserve"> :  ↑ sécrétion d'insuline</w:t>
      </w:r>
      <w:r>
        <w:rPr>
          <w:rFonts w:ascii="Arial" w:hAnsi="Arial" w:cs="Arial"/>
          <w:sz w:val="20"/>
          <w:szCs w:val="20"/>
        </w:rPr>
        <w:t xml:space="preserve">, </w:t>
      </w:r>
      <w:r w:rsidRPr="003D03A1">
        <w:rPr>
          <w:rFonts w:ascii="Arial" w:hAnsi="Arial" w:cs="Arial"/>
          <w:sz w:val="20"/>
          <w:szCs w:val="20"/>
        </w:rPr>
        <w:t xml:space="preserve">↓ sécrétion de glucagon </w:t>
      </w:r>
    </w:p>
    <w:p w14:paraId="3E2D548C"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Effet pondéral faible </w:t>
      </w:r>
    </w:p>
    <w:p w14:paraId="6C1152C7"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Utilisés </w:t>
      </w:r>
      <w:r>
        <w:rPr>
          <w:rFonts w:ascii="Arial" w:hAnsi="Arial" w:cs="Arial"/>
          <w:sz w:val="20"/>
          <w:szCs w:val="20"/>
        </w:rPr>
        <w:t>2</w:t>
      </w:r>
      <w:r w:rsidRPr="00FD4593">
        <w:rPr>
          <w:rFonts w:ascii="Arial" w:hAnsi="Arial" w:cs="Arial"/>
          <w:sz w:val="20"/>
          <w:szCs w:val="20"/>
          <w:vertAlign w:val="superscript"/>
        </w:rPr>
        <w:t>ème</w:t>
      </w:r>
      <w:r w:rsidRPr="003D03A1">
        <w:rPr>
          <w:rFonts w:ascii="Arial" w:hAnsi="Arial" w:cs="Arial"/>
          <w:position w:val="12"/>
          <w:sz w:val="20"/>
          <w:szCs w:val="20"/>
        </w:rPr>
        <w:t xml:space="preserve"> </w:t>
      </w:r>
      <w:r w:rsidRPr="003D03A1">
        <w:rPr>
          <w:rFonts w:ascii="Arial" w:hAnsi="Arial" w:cs="Arial"/>
          <w:sz w:val="20"/>
          <w:szCs w:val="20"/>
        </w:rPr>
        <w:t xml:space="preserve">ou </w:t>
      </w:r>
      <w:r>
        <w:rPr>
          <w:rFonts w:ascii="Arial" w:hAnsi="Arial" w:cs="Arial"/>
          <w:sz w:val="20"/>
          <w:szCs w:val="20"/>
        </w:rPr>
        <w:t>3</w:t>
      </w:r>
      <w:r w:rsidRPr="00FD4593">
        <w:rPr>
          <w:rFonts w:ascii="Arial" w:hAnsi="Arial" w:cs="Arial"/>
          <w:sz w:val="20"/>
          <w:szCs w:val="20"/>
          <w:vertAlign w:val="superscript"/>
        </w:rPr>
        <w:t>ème</w:t>
      </w:r>
      <w:r>
        <w:rPr>
          <w:rFonts w:ascii="Arial" w:hAnsi="Arial" w:cs="Arial"/>
          <w:sz w:val="20"/>
          <w:szCs w:val="20"/>
        </w:rPr>
        <w:t xml:space="preserve"> </w:t>
      </w:r>
      <w:r w:rsidRPr="003D03A1">
        <w:rPr>
          <w:rFonts w:ascii="Arial" w:hAnsi="Arial" w:cs="Arial"/>
          <w:sz w:val="20"/>
          <w:szCs w:val="20"/>
        </w:rPr>
        <w:t xml:space="preserve">intention dans </w:t>
      </w:r>
      <w:r>
        <w:rPr>
          <w:rFonts w:ascii="Arial" w:hAnsi="Arial" w:cs="Arial"/>
          <w:sz w:val="20"/>
          <w:szCs w:val="20"/>
        </w:rPr>
        <w:t>DT2</w:t>
      </w:r>
    </w:p>
    <w:p w14:paraId="6FA186EA"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Uniquement en association (avec metformine et/ou sulfamides) </w:t>
      </w:r>
    </w:p>
    <w:p w14:paraId="22C1AB22"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Métabolisme hépatique (sauf vildagliptine hydrolysée au niveau rénal) </w:t>
      </w:r>
    </w:p>
    <w:p w14:paraId="7ACEEF05"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Elimination rénale </w:t>
      </w:r>
    </w:p>
    <w:p w14:paraId="6FB49171" w14:textId="77777777" w:rsidR="00ED4694" w:rsidRDefault="00ED4694" w:rsidP="00ED4694">
      <w:pPr>
        <w:pStyle w:val="Sansinterligne"/>
        <w:jc w:val="both"/>
        <w:rPr>
          <w:rFonts w:ascii="Arial" w:hAnsi="Arial" w:cs="Arial"/>
          <w:sz w:val="20"/>
          <w:szCs w:val="20"/>
          <w:u w:val="single"/>
        </w:rPr>
      </w:pPr>
    </w:p>
    <w:p w14:paraId="7D3C9B5A" w14:textId="77777777" w:rsidR="00ED4694" w:rsidRPr="00FD4593" w:rsidRDefault="00ED4694" w:rsidP="00ED4694">
      <w:pPr>
        <w:pStyle w:val="Sansinterligne"/>
        <w:jc w:val="both"/>
        <w:rPr>
          <w:rFonts w:ascii="Arial" w:hAnsi="Arial" w:cs="Arial"/>
          <w:sz w:val="20"/>
          <w:szCs w:val="20"/>
          <w:u w:val="single"/>
        </w:rPr>
      </w:pPr>
      <w:r w:rsidRPr="00FD4593">
        <w:rPr>
          <w:rFonts w:ascii="Arial" w:hAnsi="Arial" w:cs="Arial"/>
          <w:sz w:val="20"/>
          <w:szCs w:val="20"/>
          <w:u w:val="single"/>
        </w:rPr>
        <w:t>Effets indésirables</w:t>
      </w:r>
      <w:r>
        <w:rPr>
          <w:rFonts w:ascii="Arial" w:hAnsi="Arial" w:cs="Arial"/>
          <w:sz w:val="20"/>
          <w:szCs w:val="20"/>
          <w:u w:val="single"/>
        </w:rPr>
        <w:t> :</w:t>
      </w:r>
    </w:p>
    <w:p w14:paraId="1920BCEA"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Risque de pancréatite et de pemphigoïde bulleuse (dermatose rare mais grave) </w:t>
      </w:r>
    </w:p>
    <w:p w14:paraId="17FC222B"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Réactions d'hypersensibilité (anaphylaxie, syndrome de Stevens-Johnson...) </w:t>
      </w:r>
    </w:p>
    <w:p w14:paraId="3EB79833"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Risque d’angioœdème bradykinique (DPP4 inhibe dégradation bradykinine) </w:t>
      </w:r>
    </w:p>
    <w:p w14:paraId="2456A86F"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Saxagliptine : risque d’insuffisance cardiaque </w:t>
      </w:r>
    </w:p>
    <w:p w14:paraId="2B885DE0" w14:textId="77777777" w:rsidR="00ED4694" w:rsidRPr="00FD4593" w:rsidRDefault="00ED4694" w:rsidP="00ED4694">
      <w:pPr>
        <w:pStyle w:val="Sansinterligne"/>
        <w:jc w:val="both"/>
        <w:rPr>
          <w:rFonts w:ascii="Arial" w:hAnsi="Arial" w:cs="Arial"/>
          <w:sz w:val="20"/>
          <w:szCs w:val="20"/>
        </w:rPr>
      </w:pPr>
      <w:r w:rsidRPr="003D03A1">
        <w:rPr>
          <w:rFonts w:ascii="Arial" w:hAnsi="Arial" w:cs="Arial"/>
          <w:sz w:val="20"/>
          <w:szCs w:val="20"/>
        </w:rPr>
        <w:t xml:space="preserve">Posologie à adapter en fonction du degré d'insuffisance rénale ou d'insuffisance hépatique </w:t>
      </w:r>
    </w:p>
    <w:p w14:paraId="29863304" w14:textId="77777777" w:rsidR="00ED4694" w:rsidRPr="003D03A1" w:rsidRDefault="00ED4694" w:rsidP="00ED4694">
      <w:pPr>
        <w:pStyle w:val="Sansinterligne"/>
        <w:jc w:val="both"/>
        <w:rPr>
          <w:rFonts w:ascii="Arial" w:hAnsi="Arial" w:cs="Arial"/>
          <w:b/>
          <w:bCs/>
          <w:color w:val="00B0F0"/>
          <w:sz w:val="20"/>
          <w:szCs w:val="20"/>
          <w:u w:val="single"/>
          <w:lang w:eastAsia="fr-FR"/>
        </w:rPr>
      </w:pPr>
    </w:p>
    <w:p w14:paraId="1C5FF5B9" w14:textId="77777777" w:rsidR="00ED4694" w:rsidRDefault="00ED4694" w:rsidP="00ED4694">
      <w:pPr>
        <w:pStyle w:val="Sansinterligne"/>
        <w:numPr>
          <w:ilvl w:val="0"/>
          <w:numId w:val="208"/>
        </w:numPr>
        <w:jc w:val="both"/>
        <w:rPr>
          <w:rFonts w:ascii="Arial" w:hAnsi="Arial" w:cs="Arial"/>
          <w:b/>
          <w:bCs/>
          <w:color w:val="00B0F0"/>
          <w:sz w:val="20"/>
          <w:szCs w:val="20"/>
          <w:u w:val="single"/>
          <w:lang w:eastAsia="fr-FR"/>
        </w:rPr>
      </w:pPr>
      <w:r w:rsidRPr="003D03A1">
        <w:rPr>
          <w:rFonts w:ascii="Arial" w:hAnsi="Arial" w:cs="Arial"/>
          <w:b/>
          <w:bCs/>
          <w:color w:val="00B0F0"/>
          <w:sz w:val="20"/>
          <w:szCs w:val="20"/>
          <w:u w:val="single"/>
        </w:rPr>
        <w:t>Inhibiteurs de SGLT2 ou gliflozines</w:t>
      </w:r>
    </w:p>
    <w:p w14:paraId="286288CF" w14:textId="77777777" w:rsidR="00ED4694" w:rsidRPr="003D03A1" w:rsidRDefault="00ED4694" w:rsidP="00ED4694">
      <w:pPr>
        <w:pStyle w:val="Sansinterligne"/>
        <w:jc w:val="both"/>
        <w:rPr>
          <w:rFonts w:ascii="Arial" w:hAnsi="Arial" w:cs="Arial"/>
          <w:sz w:val="20"/>
          <w:szCs w:val="20"/>
        </w:rPr>
      </w:pPr>
      <w:r w:rsidRPr="00513B86">
        <w:rPr>
          <w:rFonts w:ascii="Arial" w:hAnsi="Arial" w:cs="Arial"/>
          <w:noProof/>
          <w:sz w:val="20"/>
          <w:szCs w:val="20"/>
        </w:rPr>
        <w:drawing>
          <wp:anchor distT="0" distB="0" distL="114300" distR="114300" simplePos="0" relativeHeight="251759616" behindDoc="1" locked="0" layoutInCell="1" allowOverlap="1" wp14:anchorId="6A27A503" wp14:editId="0DF25D67">
            <wp:simplePos x="0" y="0"/>
            <wp:positionH relativeFrom="column">
              <wp:posOffset>-144311</wp:posOffset>
            </wp:positionH>
            <wp:positionV relativeFrom="paragraph">
              <wp:posOffset>210368</wp:posOffset>
            </wp:positionV>
            <wp:extent cx="4258310" cy="2104390"/>
            <wp:effectExtent l="0" t="0" r="0" b="3810"/>
            <wp:wrapTight wrapText="bothSides">
              <wp:wrapPolygon edited="0">
                <wp:start x="0" y="0"/>
                <wp:lineTo x="0" y="21509"/>
                <wp:lineTo x="21516" y="21509"/>
                <wp:lineTo x="21516" y="0"/>
                <wp:lineTo x="0" y="0"/>
              </wp:wrapPolygon>
            </wp:wrapTight>
            <wp:docPr id="1335360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204853" name=""/>
                    <pic:cNvPicPr/>
                  </pic:nvPicPr>
                  <pic:blipFill>
                    <a:blip r:embed="rId155">
                      <a:extLst>
                        <a:ext uri="{28A0092B-C50C-407E-A947-70E740481C1C}">
                          <a14:useLocalDpi xmlns:a14="http://schemas.microsoft.com/office/drawing/2010/main" val="0"/>
                        </a:ext>
                      </a:extLst>
                    </a:blip>
                    <a:stretch>
                      <a:fillRect/>
                    </a:stretch>
                  </pic:blipFill>
                  <pic:spPr>
                    <a:xfrm>
                      <a:off x="0" y="0"/>
                      <a:ext cx="4258310" cy="2104390"/>
                    </a:xfrm>
                    <a:prstGeom prst="rect">
                      <a:avLst/>
                    </a:prstGeom>
                  </pic:spPr>
                </pic:pic>
              </a:graphicData>
            </a:graphic>
            <wp14:sizeRelH relativeFrom="page">
              <wp14:pctWidth>0</wp14:pctWidth>
            </wp14:sizeRelH>
            <wp14:sizeRelV relativeFrom="page">
              <wp14:pctHeight>0</wp14:pctHeight>
            </wp14:sizeRelV>
          </wp:anchor>
        </w:drawing>
      </w:r>
      <w:r w:rsidRPr="003D03A1">
        <w:rPr>
          <w:rFonts w:ascii="Arial" w:hAnsi="Arial" w:cs="Arial"/>
          <w:sz w:val="20"/>
          <w:szCs w:val="20"/>
        </w:rPr>
        <w:t xml:space="preserve">SGLT2 = co-transporteur sodium/glucose de type 2 </w:t>
      </w:r>
      <w:r w:rsidRPr="003D03A1">
        <w:rPr>
          <w:rFonts w:ascii="Arial" w:hAnsi="Arial" w:cs="Arial"/>
          <w:sz w:val="20"/>
          <w:szCs w:val="20"/>
        </w:rPr>
        <w:sym w:font="Symbol" w:char="F0DE"/>
      </w:r>
      <w:r w:rsidRPr="003D03A1">
        <w:rPr>
          <w:rFonts w:ascii="Arial" w:hAnsi="Arial" w:cs="Arial"/>
          <w:sz w:val="20"/>
          <w:szCs w:val="20"/>
        </w:rPr>
        <w:t xml:space="preserve"> réabsorption glucose </w:t>
      </w:r>
      <w:r>
        <w:rPr>
          <w:rFonts w:ascii="Arial" w:hAnsi="Arial" w:cs="Arial"/>
          <w:sz w:val="20"/>
          <w:szCs w:val="20"/>
        </w:rPr>
        <w:t>au niveau du</w:t>
      </w:r>
      <w:r w:rsidRPr="003D03A1">
        <w:rPr>
          <w:rFonts w:ascii="Arial" w:hAnsi="Arial" w:cs="Arial"/>
          <w:sz w:val="20"/>
          <w:szCs w:val="20"/>
        </w:rPr>
        <w:t xml:space="preserve"> tubule contourné proximal </w:t>
      </w:r>
    </w:p>
    <w:p w14:paraId="6727356E" w14:textId="77777777" w:rsidR="00ED4694" w:rsidRDefault="00ED4694" w:rsidP="00ED4694">
      <w:pPr>
        <w:pStyle w:val="Sansinterligne"/>
        <w:rPr>
          <w:rFonts w:ascii="Arial" w:hAnsi="Arial" w:cs="Arial"/>
          <w:sz w:val="20"/>
          <w:szCs w:val="20"/>
        </w:rPr>
      </w:pPr>
    </w:p>
    <w:p w14:paraId="66399AB2" w14:textId="77777777" w:rsidR="00ED4694" w:rsidRDefault="00ED4694" w:rsidP="00ED4694">
      <w:pPr>
        <w:pStyle w:val="Sansinterligne"/>
        <w:jc w:val="both"/>
        <w:rPr>
          <w:rFonts w:ascii="Arial" w:hAnsi="Arial" w:cs="Arial"/>
          <w:i/>
          <w:iCs/>
          <w:sz w:val="20"/>
          <w:szCs w:val="20"/>
        </w:rPr>
      </w:pPr>
    </w:p>
    <w:p w14:paraId="4AF0816B" w14:textId="77777777" w:rsidR="00ED4694" w:rsidRDefault="00ED4694" w:rsidP="00ED4694">
      <w:pPr>
        <w:pStyle w:val="Sansinterligne"/>
        <w:jc w:val="both"/>
        <w:rPr>
          <w:rFonts w:ascii="Arial" w:hAnsi="Arial" w:cs="Arial"/>
          <w:i/>
          <w:iCs/>
          <w:sz w:val="20"/>
          <w:szCs w:val="20"/>
        </w:rPr>
      </w:pPr>
      <w:r w:rsidRPr="00AD095B">
        <w:rPr>
          <w:rFonts w:ascii="Arial" w:hAnsi="Arial" w:cs="Arial"/>
          <w:i/>
          <w:iCs/>
          <w:sz w:val="20"/>
          <w:szCs w:val="20"/>
        </w:rPr>
        <w:t>SGLT2 permet de réabsorber le glucose : utilise le gradient du sodium. Par son transporteur GLUT2, le glucose rentre dans le sang.</w:t>
      </w:r>
      <w:r>
        <w:rPr>
          <w:rFonts w:ascii="Arial" w:hAnsi="Arial" w:cs="Arial"/>
          <w:i/>
          <w:iCs/>
          <w:sz w:val="20"/>
          <w:szCs w:val="20"/>
        </w:rPr>
        <w:t xml:space="preserve"> </w:t>
      </w:r>
    </w:p>
    <w:p w14:paraId="07A1CF26" w14:textId="77777777" w:rsidR="00ED4694" w:rsidRDefault="00ED4694" w:rsidP="00ED4694">
      <w:pPr>
        <w:pStyle w:val="Sansinterligne"/>
        <w:jc w:val="both"/>
        <w:rPr>
          <w:rFonts w:ascii="Arial" w:hAnsi="Arial" w:cs="Arial"/>
          <w:i/>
          <w:iCs/>
          <w:sz w:val="20"/>
          <w:szCs w:val="20"/>
        </w:rPr>
      </w:pPr>
      <w:r>
        <w:rPr>
          <w:rFonts w:ascii="Arial" w:hAnsi="Arial" w:cs="Arial"/>
          <w:i/>
          <w:iCs/>
          <w:sz w:val="20"/>
          <w:szCs w:val="20"/>
        </w:rPr>
        <w:t xml:space="preserve">La réabsorption du glucose se ait à 80% par SGLT2 et 10% par SGLT1. </w:t>
      </w:r>
    </w:p>
    <w:p w14:paraId="6594A025" w14:textId="77777777" w:rsidR="00ED4694" w:rsidRPr="00AD095B" w:rsidRDefault="00ED4694" w:rsidP="00ED4694">
      <w:pPr>
        <w:pStyle w:val="Sansinterligne"/>
        <w:jc w:val="both"/>
        <w:rPr>
          <w:rFonts w:ascii="Arial" w:hAnsi="Arial" w:cs="Arial"/>
          <w:i/>
          <w:iCs/>
          <w:sz w:val="20"/>
          <w:szCs w:val="20"/>
        </w:rPr>
      </w:pPr>
      <w:r>
        <w:rPr>
          <w:rFonts w:ascii="Arial" w:hAnsi="Arial" w:cs="Arial"/>
          <w:i/>
          <w:iCs/>
          <w:sz w:val="20"/>
          <w:szCs w:val="20"/>
        </w:rPr>
        <w:t>Les gliflozines inhibent SGLT2 = glucose moins réabsobé (</w:t>
      </w:r>
      <w:r w:rsidRPr="003D03A1">
        <w:rPr>
          <w:rFonts w:ascii="Arial" w:hAnsi="Arial" w:cs="Arial"/>
          <w:sz w:val="20"/>
          <w:szCs w:val="20"/>
        </w:rPr>
        <w:t>↑</w:t>
      </w:r>
      <w:r>
        <w:rPr>
          <w:rFonts w:ascii="Arial" w:hAnsi="Arial" w:cs="Arial"/>
          <w:sz w:val="20"/>
          <w:szCs w:val="20"/>
        </w:rPr>
        <w:t xml:space="preserve"> glycosurie, élimination du glucose dans les urines) = </w:t>
      </w:r>
      <w:r w:rsidRPr="003D03A1">
        <w:rPr>
          <w:rFonts w:ascii="Arial" w:hAnsi="Arial" w:cs="Arial"/>
          <w:sz w:val="20"/>
          <w:szCs w:val="20"/>
        </w:rPr>
        <w:t>↓</w:t>
      </w:r>
      <w:r>
        <w:rPr>
          <w:rFonts w:ascii="Arial" w:hAnsi="Arial" w:cs="Arial"/>
          <w:sz w:val="20"/>
          <w:szCs w:val="20"/>
        </w:rPr>
        <w:t xml:space="preserve"> glycémie</w:t>
      </w:r>
    </w:p>
    <w:p w14:paraId="11D0A641" w14:textId="77777777" w:rsidR="00ED4694" w:rsidRDefault="00ED4694" w:rsidP="00ED4694">
      <w:pPr>
        <w:pStyle w:val="Sansinterligne"/>
        <w:jc w:val="center"/>
        <w:rPr>
          <w:rFonts w:ascii="Arial" w:hAnsi="Arial" w:cs="Arial"/>
          <w:sz w:val="20"/>
          <w:szCs w:val="20"/>
        </w:rPr>
      </w:pPr>
    </w:p>
    <w:p w14:paraId="0C86B3EE" w14:textId="77777777" w:rsidR="00ED4694" w:rsidRDefault="00ED4694" w:rsidP="00ED4694">
      <w:pPr>
        <w:pStyle w:val="Sansinterligne"/>
        <w:jc w:val="center"/>
        <w:rPr>
          <w:rFonts w:ascii="Arial" w:hAnsi="Arial" w:cs="Arial"/>
          <w:sz w:val="20"/>
          <w:szCs w:val="20"/>
        </w:rPr>
      </w:pPr>
    </w:p>
    <w:p w14:paraId="26B15A4C" w14:textId="77777777" w:rsidR="00ED4694" w:rsidRDefault="00ED4694" w:rsidP="00ED4694">
      <w:pPr>
        <w:pStyle w:val="Sansinterligne"/>
        <w:jc w:val="center"/>
        <w:rPr>
          <w:rFonts w:ascii="Arial" w:hAnsi="Arial" w:cs="Arial"/>
          <w:sz w:val="20"/>
          <w:szCs w:val="20"/>
        </w:rPr>
      </w:pPr>
    </w:p>
    <w:p w14:paraId="7CE1EF38" w14:textId="77777777" w:rsidR="00ED4694" w:rsidRDefault="00ED4694" w:rsidP="00ED4694">
      <w:pPr>
        <w:pStyle w:val="Sansinterligne"/>
        <w:jc w:val="both"/>
        <w:rPr>
          <w:rFonts w:ascii="Arial" w:hAnsi="Arial" w:cs="Arial"/>
          <w:sz w:val="20"/>
          <w:szCs w:val="20"/>
        </w:rPr>
      </w:pPr>
    </w:p>
    <w:p w14:paraId="02A340D7" w14:textId="77777777" w:rsidR="00ED4694" w:rsidRDefault="00ED4694" w:rsidP="00ED4694">
      <w:pPr>
        <w:pStyle w:val="Sansinterligne"/>
        <w:jc w:val="both"/>
        <w:rPr>
          <w:rFonts w:ascii="Arial" w:hAnsi="Arial" w:cs="Arial"/>
          <w:sz w:val="20"/>
          <w:szCs w:val="20"/>
        </w:rPr>
      </w:pPr>
    </w:p>
    <w:p w14:paraId="4BFB3792" w14:textId="77777777" w:rsidR="00ED4694" w:rsidRPr="00D564FD" w:rsidRDefault="00ED4694" w:rsidP="00ED4694">
      <w:pPr>
        <w:pStyle w:val="Sansinterligne"/>
        <w:jc w:val="both"/>
        <w:rPr>
          <w:rFonts w:ascii="Arial" w:hAnsi="Arial" w:cs="Arial"/>
          <w:sz w:val="20"/>
          <w:szCs w:val="20"/>
          <w:lang w:val="it-IT"/>
        </w:rPr>
      </w:pPr>
      <w:r w:rsidRPr="00D564FD">
        <w:rPr>
          <w:rFonts w:ascii="Arial" w:hAnsi="Arial" w:cs="Arial"/>
          <w:i/>
          <w:iCs/>
          <w:sz w:val="20"/>
          <w:szCs w:val="20"/>
          <w:lang w:val="it-IT"/>
        </w:rPr>
        <w:t>Canagliflozine (INVOKANA®), Dapagliflozine (FORXIGA®), Empagliflozine (JARDIANCE®)</w:t>
      </w:r>
      <w:r w:rsidRPr="00D564FD">
        <w:rPr>
          <w:rFonts w:ascii="Arial" w:hAnsi="Arial" w:cs="Arial"/>
          <w:sz w:val="20"/>
          <w:szCs w:val="20"/>
          <w:lang w:val="it-IT"/>
        </w:rPr>
        <w:t> : voie orale</w:t>
      </w:r>
    </w:p>
    <w:p w14:paraId="7F8FB01B" w14:textId="77777777" w:rsidR="00ED4694" w:rsidRPr="00D564FD" w:rsidRDefault="00ED4694" w:rsidP="00ED4694">
      <w:pPr>
        <w:pStyle w:val="Sansinterligne"/>
        <w:jc w:val="both"/>
        <w:rPr>
          <w:rFonts w:ascii="Arial" w:hAnsi="Arial" w:cs="Arial"/>
          <w:sz w:val="20"/>
          <w:szCs w:val="20"/>
          <w:lang w:val="it-IT"/>
        </w:rPr>
      </w:pPr>
      <w:r w:rsidRPr="00D564FD">
        <w:rPr>
          <w:rFonts w:ascii="Arial" w:hAnsi="Arial" w:cs="Arial"/>
          <w:sz w:val="20"/>
          <w:szCs w:val="20"/>
          <w:lang w:val="it-IT"/>
        </w:rPr>
        <w:t xml:space="preserve">Inhibiteurs co-transporteur SGLT2 : inhibent réabsorption glucose : ↓ glycémie à jeun et postprandiale </w:t>
      </w:r>
    </w:p>
    <w:p w14:paraId="46640B5F"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Utilisés </w:t>
      </w:r>
      <w:r>
        <w:rPr>
          <w:rFonts w:ascii="Arial" w:hAnsi="Arial" w:cs="Arial"/>
          <w:sz w:val="20"/>
          <w:szCs w:val="20"/>
        </w:rPr>
        <w:t>2</w:t>
      </w:r>
      <w:r w:rsidRPr="00513B86">
        <w:rPr>
          <w:rFonts w:ascii="Arial" w:hAnsi="Arial" w:cs="Arial"/>
          <w:sz w:val="20"/>
          <w:szCs w:val="20"/>
          <w:vertAlign w:val="superscript"/>
        </w:rPr>
        <w:t>ème</w:t>
      </w:r>
      <w:r>
        <w:rPr>
          <w:rFonts w:ascii="Arial" w:hAnsi="Arial" w:cs="Arial"/>
          <w:sz w:val="20"/>
          <w:szCs w:val="20"/>
        </w:rPr>
        <w:t xml:space="preserve"> </w:t>
      </w:r>
      <w:r w:rsidRPr="003D03A1">
        <w:rPr>
          <w:rFonts w:ascii="Arial" w:hAnsi="Arial" w:cs="Arial"/>
          <w:sz w:val="20"/>
          <w:szCs w:val="20"/>
        </w:rPr>
        <w:t xml:space="preserve">ou </w:t>
      </w:r>
      <w:r>
        <w:rPr>
          <w:rFonts w:ascii="Arial" w:hAnsi="Arial" w:cs="Arial"/>
          <w:sz w:val="20"/>
          <w:szCs w:val="20"/>
        </w:rPr>
        <w:t>3</w:t>
      </w:r>
      <w:r w:rsidRPr="00513B86">
        <w:rPr>
          <w:rFonts w:ascii="Arial" w:hAnsi="Arial" w:cs="Arial"/>
          <w:sz w:val="20"/>
          <w:szCs w:val="20"/>
          <w:vertAlign w:val="superscript"/>
        </w:rPr>
        <w:t>ème</w:t>
      </w:r>
      <w:r>
        <w:rPr>
          <w:rFonts w:ascii="Arial" w:hAnsi="Arial" w:cs="Arial"/>
          <w:sz w:val="20"/>
          <w:szCs w:val="20"/>
        </w:rPr>
        <w:t xml:space="preserve"> </w:t>
      </w:r>
      <w:r w:rsidRPr="003D03A1">
        <w:rPr>
          <w:rFonts w:ascii="Arial" w:hAnsi="Arial" w:cs="Arial"/>
          <w:sz w:val="20"/>
          <w:szCs w:val="20"/>
        </w:rPr>
        <w:t xml:space="preserve">intention dans </w:t>
      </w:r>
      <w:r>
        <w:rPr>
          <w:rFonts w:ascii="Arial" w:hAnsi="Arial" w:cs="Arial"/>
          <w:sz w:val="20"/>
          <w:szCs w:val="20"/>
        </w:rPr>
        <w:t>DT2</w:t>
      </w:r>
    </w:p>
    <w:p w14:paraId="07151641" w14:textId="77777777" w:rsidR="00ED4694" w:rsidRDefault="00ED4694" w:rsidP="00ED4694">
      <w:pPr>
        <w:pStyle w:val="Sansinterligne"/>
        <w:jc w:val="both"/>
        <w:rPr>
          <w:rFonts w:ascii="Arial" w:hAnsi="Arial" w:cs="Arial"/>
          <w:sz w:val="20"/>
          <w:szCs w:val="20"/>
        </w:rPr>
      </w:pPr>
      <w:r w:rsidRPr="003D03A1">
        <w:rPr>
          <w:rFonts w:ascii="Arial" w:hAnsi="Arial" w:cs="Arial"/>
          <w:sz w:val="20"/>
          <w:szCs w:val="20"/>
        </w:rPr>
        <w:t xml:space="preserve">-  Uniquement en association (avec metformine et/ou sulfamides) </w:t>
      </w:r>
    </w:p>
    <w:p w14:paraId="4F036DD1" w14:textId="77777777" w:rsidR="00ED4694" w:rsidRPr="003D03A1" w:rsidRDefault="00ED4694" w:rsidP="00ED4694">
      <w:pPr>
        <w:pStyle w:val="Sansinterligne"/>
        <w:jc w:val="both"/>
        <w:rPr>
          <w:rFonts w:ascii="Arial" w:hAnsi="Arial" w:cs="Arial"/>
          <w:sz w:val="20"/>
          <w:szCs w:val="20"/>
        </w:rPr>
      </w:pPr>
      <w:r>
        <w:rPr>
          <w:rFonts w:ascii="Arial" w:hAnsi="Arial" w:cs="Arial"/>
          <w:sz w:val="20"/>
          <w:szCs w:val="20"/>
        </w:rPr>
        <w:t xml:space="preserve">-  </w:t>
      </w:r>
      <w:r w:rsidRPr="003D03A1">
        <w:rPr>
          <w:rFonts w:ascii="Arial" w:hAnsi="Arial" w:cs="Arial"/>
          <w:sz w:val="20"/>
          <w:szCs w:val="20"/>
        </w:rPr>
        <w:t xml:space="preserve">↓ complications cardiovasculaires chez les patients à haut risque cardiovasculaire </w:t>
      </w:r>
    </w:p>
    <w:p w14:paraId="5198B93A"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w:t>
      </w:r>
      <w:r>
        <w:rPr>
          <w:rFonts w:ascii="Arial" w:hAnsi="Arial" w:cs="Arial"/>
          <w:sz w:val="20"/>
          <w:szCs w:val="20"/>
        </w:rPr>
        <w:t xml:space="preserve"> </w:t>
      </w:r>
      <w:r w:rsidRPr="003D03A1">
        <w:rPr>
          <w:rFonts w:ascii="Arial" w:hAnsi="Arial" w:cs="Arial"/>
          <w:sz w:val="20"/>
          <w:szCs w:val="20"/>
        </w:rPr>
        <w:t xml:space="preserve">Métabolisme hépatique, élimination biliaire et rénale </w:t>
      </w:r>
    </w:p>
    <w:p w14:paraId="6B06B8CA"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lastRenderedPageBreak/>
        <w:t xml:space="preserve">- Evaluation de la fonction rénale avant initiation du traitement (pas d’effet ou effets limités si pathologie rénale chronique) </w:t>
      </w:r>
    </w:p>
    <w:p w14:paraId="7BEC0B99" w14:textId="77777777" w:rsidR="00ED4694" w:rsidRDefault="00ED4694" w:rsidP="00ED4694">
      <w:pPr>
        <w:pStyle w:val="Sansinterligne"/>
        <w:jc w:val="both"/>
        <w:rPr>
          <w:rFonts w:ascii="Arial" w:hAnsi="Arial" w:cs="Arial"/>
          <w:sz w:val="20"/>
          <w:szCs w:val="20"/>
          <w:u w:val="single"/>
        </w:rPr>
      </w:pPr>
      <w:r w:rsidRPr="003D03A1">
        <w:rPr>
          <w:rFonts w:ascii="Arial" w:hAnsi="Arial" w:cs="Arial"/>
          <w:noProof/>
          <w:sz w:val="20"/>
          <w:szCs w:val="20"/>
        </w:rPr>
        <w:drawing>
          <wp:anchor distT="0" distB="0" distL="114300" distR="114300" simplePos="0" relativeHeight="251756544" behindDoc="1" locked="0" layoutInCell="1" allowOverlap="1" wp14:anchorId="25F5EED1" wp14:editId="66D79CD1">
            <wp:simplePos x="0" y="0"/>
            <wp:positionH relativeFrom="column">
              <wp:posOffset>5143500</wp:posOffset>
            </wp:positionH>
            <wp:positionV relativeFrom="paragraph">
              <wp:posOffset>27305</wp:posOffset>
            </wp:positionV>
            <wp:extent cx="1658620" cy="1464945"/>
            <wp:effectExtent l="0" t="0" r="5080" b="0"/>
            <wp:wrapTight wrapText="bothSides">
              <wp:wrapPolygon edited="0">
                <wp:start x="0" y="0"/>
                <wp:lineTo x="0" y="21347"/>
                <wp:lineTo x="21501" y="21347"/>
                <wp:lineTo x="21501" y="0"/>
                <wp:lineTo x="0" y="0"/>
              </wp:wrapPolygon>
            </wp:wrapTight>
            <wp:docPr id="572953955" name="Image 9" descr="page25image155384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age25image155384563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658620" cy="1464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85F447" w14:textId="77777777" w:rsidR="00ED4694" w:rsidRPr="00513B86" w:rsidRDefault="00ED4694" w:rsidP="00ED4694">
      <w:pPr>
        <w:pStyle w:val="Sansinterligne"/>
        <w:jc w:val="both"/>
        <w:rPr>
          <w:rFonts w:ascii="Arial" w:hAnsi="Arial" w:cs="Arial"/>
          <w:sz w:val="20"/>
          <w:szCs w:val="20"/>
          <w:u w:val="single"/>
        </w:rPr>
      </w:pPr>
      <w:r w:rsidRPr="00513B86">
        <w:rPr>
          <w:rFonts w:ascii="Arial" w:hAnsi="Arial" w:cs="Arial"/>
          <w:sz w:val="20"/>
          <w:szCs w:val="20"/>
          <w:u w:val="single"/>
        </w:rPr>
        <w:t>Effets indésirables</w:t>
      </w:r>
      <w:r>
        <w:rPr>
          <w:rFonts w:ascii="Arial" w:hAnsi="Arial" w:cs="Arial"/>
          <w:sz w:val="20"/>
          <w:szCs w:val="20"/>
          <w:u w:val="single"/>
        </w:rPr>
        <w:t xml:space="preserve"> : </w:t>
      </w:r>
    </w:p>
    <w:p w14:paraId="12F91FD6"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Infections urinaires et génitales </w:t>
      </w:r>
    </w:p>
    <w:p w14:paraId="7A4718A0"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Hypoglycémies </w:t>
      </w:r>
    </w:p>
    <w:p w14:paraId="1488A1B2"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Hypotension, déshydratation (déplétion volémique) </w:t>
      </w:r>
    </w:p>
    <w:p w14:paraId="58AFEEF9"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Acidocétose (très rare mais grave) </w:t>
      </w:r>
    </w:p>
    <w:p w14:paraId="706FA0F8"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 Gangrène de Fournier » (fasciite nécrosante du périnée) pouvant mettre en jeu le pronostic vital </w:t>
      </w:r>
    </w:p>
    <w:p w14:paraId="057F341F"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Sur-risque d’amputation (orteil principalement) </w:t>
      </w:r>
    </w:p>
    <w:p w14:paraId="7BFF3DA2" w14:textId="77777777" w:rsidR="00ED4694" w:rsidRDefault="00ED4694" w:rsidP="00ED4694">
      <w:pPr>
        <w:pStyle w:val="Sansinterligne"/>
        <w:jc w:val="both"/>
        <w:rPr>
          <w:rFonts w:ascii="Arial" w:hAnsi="Arial" w:cs="Arial"/>
          <w:b/>
          <w:bCs/>
          <w:color w:val="00B0F0"/>
          <w:sz w:val="20"/>
          <w:szCs w:val="20"/>
          <w:u w:val="single"/>
        </w:rPr>
      </w:pPr>
    </w:p>
    <w:p w14:paraId="09EC6EC9" w14:textId="77777777" w:rsidR="00ED4694" w:rsidRPr="003D03A1" w:rsidRDefault="00ED4694" w:rsidP="00ED4694">
      <w:pPr>
        <w:pStyle w:val="Sansinterligne"/>
        <w:jc w:val="both"/>
        <w:rPr>
          <w:rFonts w:ascii="Arial" w:hAnsi="Arial" w:cs="Arial"/>
          <w:b/>
          <w:bCs/>
          <w:color w:val="00B0F0"/>
          <w:sz w:val="20"/>
          <w:szCs w:val="20"/>
          <w:u w:val="single"/>
          <w:lang w:eastAsia="fr-FR"/>
        </w:rPr>
      </w:pPr>
    </w:p>
    <w:p w14:paraId="4E62BD1B" w14:textId="77777777" w:rsidR="00ED4694" w:rsidRPr="00AD095B" w:rsidRDefault="00ED4694" w:rsidP="00ED4694">
      <w:pPr>
        <w:pStyle w:val="Sansinterligne"/>
        <w:numPr>
          <w:ilvl w:val="0"/>
          <w:numId w:val="208"/>
        </w:numPr>
        <w:jc w:val="both"/>
        <w:rPr>
          <w:rFonts w:ascii="Arial" w:hAnsi="Arial" w:cs="Arial"/>
          <w:b/>
          <w:bCs/>
          <w:color w:val="00B0F0"/>
          <w:sz w:val="20"/>
          <w:szCs w:val="20"/>
          <w:u w:val="single"/>
          <w:lang w:eastAsia="fr-FR"/>
        </w:rPr>
      </w:pPr>
      <w:r w:rsidRPr="003D03A1">
        <w:rPr>
          <w:rFonts w:ascii="Arial" w:hAnsi="Arial" w:cs="Arial"/>
          <w:b/>
          <w:bCs/>
          <w:color w:val="00B0F0"/>
          <w:sz w:val="20"/>
          <w:szCs w:val="20"/>
          <w:u w:val="single"/>
        </w:rPr>
        <w:t xml:space="preserve">Inhibiteur d’α-glucosidases </w:t>
      </w:r>
    </w:p>
    <w:p w14:paraId="3CFD9577" w14:textId="77777777" w:rsidR="00ED4694" w:rsidRPr="003D03A1" w:rsidRDefault="00ED4694" w:rsidP="00ED4694">
      <w:pPr>
        <w:pStyle w:val="Sansinterligne"/>
        <w:numPr>
          <w:ilvl w:val="0"/>
          <w:numId w:val="140"/>
        </w:numPr>
        <w:jc w:val="both"/>
        <w:rPr>
          <w:rFonts w:ascii="Arial" w:hAnsi="Arial" w:cs="Arial"/>
          <w:sz w:val="20"/>
          <w:szCs w:val="20"/>
        </w:rPr>
      </w:pPr>
      <w:r w:rsidRPr="003D03A1">
        <w:rPr>
          <w:rFonts w:ascii="Arial" w:hAnsi="Arial" w:cs="Arial"/>
          <w:sz w:val="20"/>
          <w:szCs w:val="20"/>
        </w:rPr>
        <w:t>α-glucosidases : enzymes de la bordure en brosse des entérocytes</w:t>
      </w:r>
      <w:r>
        <w:rPr>
          <w:rFonts w:ascii="Arial" w:hAnsi="Arial" w:cs="Arial"/>
          <w:sz w:val="20"/>
          <w:szCs w:val="20"/>
        </w:rPr>
        <w:t xml:space="preserve"> </w:t>
      </w:r>
      <w:r w:rsidRPr="003D03A1">
        <w:rPr>
          <w:rFonts w:ascii="Arial" w:hAnsi="Arial" w:cs="Arial"/>
          <w:sz w:val="20"/>
          <w:szCs w:val="20"/>
        </w:rPr>
        <w:t xml:space="preserve">= dégradation intestinale des glucides complexes en monosaccharides absorbables (glucose, fructose) </w:t>
      </w:r>
    </w:p>
    <w:p w14:paraId="675BDC35" w14:textId="77777777" w:rsidR="00ED4694" w:rsidRPr="003D03A1" w:rsidRDefault="00ED4694" w:rsidP="00ED4694">
      <w:pPr>
        <w:pStyle w:val="Sansinterligne"/>
        <w:numPr>
          <w:ilvl w:val="0"/>
          <w:numId w:val="140"/>
        </w:numPr>
        <w:jc w:val="both"/>
        <w:rPr>
          <w:rFonts w:ascii="Arial" w:hAnsi="Arial" w:cs="Arial"/>
          <w:sz w:val="20"/>
          <w:szCs w:val="20"/>
        </w:rPr>
      </w:pPr>
      <w:r w:rsidRPr="003D03A1">
        <w:rPr>
          <w:rFonts w:ascii="Arial" w:hAnsi="Arial" w:cs="Arial"/>
          <w:sz w:val="20"/>
          <w:szCs w:val="20"/>
        </w:rPr>
        <w:t xml:space="preserve">Inhibiteur d’α-glucosidases : ↓ absorption glucose </w:t>
      </w:r>
    </w:p>
    <w:p w14:paraId="4A1BBF43" w14:textId="77777777" w:rsidR="00ED4694" w:rsidRDefault="00ED4694" w:rsidP="00ED4694">
      <w:pPr>
        <w:pStyle w:val="Sansinterligne"/>
        <w:jc w:val="both"/>
        <w:rPr>
          <w:rFonts w:ascii="Arial" w:hAnsi="Arial" w:cs="Arial"/>
          <w:sz w:val="20"/>
          <w:szCs w:val="20"/>
        </w:rPr>
      </w:pPr>
      <w:r w:rsidRPr="00513B86">
        <w:rPr>
          <w:rFonts w:ascii="Arial" w:hAnsi="Arial" w:cs="Arial"/>
          <w:noProof/>
          <w:sz w:val="20"/>
          <w:szCs w:val="20"/>
        </w:rPr>
        <w:drawing>
          <wp:anchor distT="0" distB="0" distL="114300" distR="114300" simplePos="0" relativeHeight="251760640" behindDoc="1" locked="0" layoutInCell="1" allowOverlap="1" wp14:anchorId="78A7F668" wp14:editId="5EA4F6FB">
            <wp:simplePos x="0" y="0"/>
            <wp:positionH relativeFrom="column">
              <wp:posOffset>169678</wp:posOffset>
            </wp:positionH>
            <wp:positionV relativeFrom="paragraph">
              <wp:posOffset>146050</wp:posOffset>
            </wp:positionV>
            <wp:extent cx="3708400" cy="2717800"/>
            <wp:effectExtent l="0" t="0" r="0" b="0"/>
            <wp:wrapTight wrapText="bothSides">
              <wp:wrapPolygon edited="0">
                <wp:start x="0" y="0"/>
                <wp:lineTo x="0" y="21499"/>
                <wp:lineTo x="21526" y="21499"/>
                <wp:lineTo x="21526" y="0"/>
                <wp:lineTo x="0" y="0"/>
              </wp:wrapPolygon>
            </wp:wrapTight>
            <wp:docPr id="13685613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561312" name=""/>
                    <pic:cNvPicPr/>
                  </pic:nvPicPr>
                  <pic:blipFill>
                    <a:blip r:embed="rId157">
                      <a:extLst>
                        <a:ext uri="{28A0092B-C50C-407E-A947-70E740481C1C}">
                          <a14:useLocalDpi xmlns:a14="http://schemas.microsoft.com/office/drawing/2010/main" val="0"/>
                        </a:ext>
                      </a:extLst>
                    </a:blip>
                    <a:stretch>
                      <a:fillRect/>
                    </a:stretch>
                  </pic:blipFill>
                  <pic:spPr>
                    <a:xfrm>
                      <a:off x="0" y="0"/>
                      <a:ext cx="3708400" cy="2717800"/>
                    </a:xfrm>
                    <a:prstGeom prst="rect">
                      <a:avLst/>
                    </a:prstGeom>
                  </pic:spPr>
                </pic:pic>
              </a:graphicData>
            </a:graphic>
            <wp14:sizeRelH relativeFrom="page">
              <wp14:pctWidth>0</wp14:pctWidth>
            </wp14:sizeRelH>
            <wp14:sizeRelV relativeFrom="page">
              <wp14:pctHeight>0</wp14:pctHeight>
            </wp14:sizeRelV>
          </wp:anchor>
        </w:drawing>
      </w:r>
    </w:p>
    <w:p w14:paraId="2585374C" w14:textId="77777777" w:rsidR="00ED4694" w:rsidRDefault="00ED4694" w:rsidP="00ED4694">
      <w:pPr>
        <w:pStyle w:val="Sansinterligne"/>
        <w:rPr>
          <w:rFonts w:ascii="Arial" w:hAnsi="Arial" w:cs="Arial"/>
          <w:sz w:val="20"/>
          <w:szCs w:val="20"/>
        </w:rPr>
      </w:pPr>
      <w:r>
        <w:rPr>
          <w:rFonts w:ascii="Arial" w:hAnsi="Arial" w:cs="Arial"/>
          <w:sz w:val="20"/>
          <w:szCs w:val="20"/>
        </w:rPr>
        <w:t>L’</w:t>
      </w:r>
      <w:r w:rsidRPr="003D03A1">
        <w:rPr>
          <w:rFonts w:ascii="Arial" w:hAnsi="Arial" w:cs="Arial"/>
          <w:sz w:val="20"/>
          <w:szCs w:val="20"/>
        </w:rPr>
        <w:t>α-glucosidase</w:t>
      </w:r>
      <w:r>
        <w:rPr>
          <w:rFonts w:ascii="Arial" w:hAnsi="Arial" w:cs="Arial"/>
          <w:sz w:val="20"/>
          <w:szCs w:val="20"/>
        </w:rPr>
        <w:t xml:space="preserve"> se situe au niveau extérieur de la mb de la bordure en brosse des entérocytes. </w:t>
      </w:r>
    </w:p>
    <w:p w14:paraId="02A71CCE" w14:textId="77777777" w:rsidR="00ED4694" w:rsidRDefault="00ED4694" w:rsidP="00ED4694">
      <w:pPr>
        <w:pStyle w:val="Sansinterligne"/>
        <w:jc w:val="both"/>
        <w:rPr>
          <w:rFonts w:ascii="Arial" w:hAnsi="Arial" w:cs="Arial"/>
          <w:sz w:val="20"/>
          <w:szCs w:val="20"/>
        </w:rPr>
      </w:pPr>
      <w:r>
        <w:rPr>
          <w:rFonts w:ascii="Arial" w:hAnsi="Arial" w:cs="Arial"/>
          <w:sz w:val="20"/>
          <w:szCs w:val="20"/>
        </w:rPr>
        <w:t>Les glucides complexes (ici disaccharides) sont pris en charge par l’</w:t>
      </w:r>
      <w:r w:rsidRPr="009E37B5">
        <w:rPr>
          <w:rFonts w:ascii="Arial" w:hAnsi="Arial" w:cs="Arial"/>
          <w:sz w:val="20"/>
          <w:szCs w:val="20"/>
        </w:rPr>
        <w:t xml:space="preserve"> </w:t>
      </w:r>
      <w:r w:rsidRPr="003D03A1">
        <w:rPr>
          <w:rFonts w:ascii="Arial" w:hAnsi="Arial" w:cs="Arial"/>
          <w:sz w:val="20"/>
          <w:szCs w:val="20"/>
        </w:rPr>
        <w:t>α-glucosidase</w:t>
      </w:r>
      <w:r>
        <w:rPr>
          <w:rFonts w:ascii="Arial" w:hAnsi="Arial" w:cs="Arial"/>
          <w:sz w:val="20"/>
          <w:szCs w:val="20"/>
        </w:rPr>
        <w:t xml:space="preserve"> qui les clive = libération de monosaccharide (ici glucose = </w:t>
      </w:r>
      <w:r w:rsidRPr="003D03A1">
        <w:rPr>
          <w:rFonts w:ascii="Arial" w:hAnsi="Arial" w:cs="Arial"/>
          <w:sz w:val="20"/>
          <w:szCs w:val="20"/>
        </w:rPr>
        <w:t>↑</w:t>
      </w:r>
      <w:r>
        <w:rPr>
          <w:rFonts w:ascii="Arial" w:hAnsi="Arial" w:cs="Arial"/>
          <w:sz w:val="20"/>
          <w:szCs w:val="20"/>
        </w:rPr>
        <w:t xml:space="preserve"> taux de glucose sanguin). </w:t>
      </w:r>
    </w:p>
    <w:p w14:paraId="6008B52B" w14:textId="77777777" w:rsidR="00ED4694" w:rsidRDefault="00ED4694" w:rsidP="00ED4694">
      <w:pPr>
        <w:pStyle w:val="Sansinterligne"/>
        <w:jc w:val="both"/>
        <w:rPr>
          <w:rFonts w:ascii="Arial" w:hAnsi="Arial" w:cs="Arial"/>
          <w:sz w:val="20"/>
          <w:szCs w:val="20"/>
        </w:rPr>
      </w:pPr>
    </w:p>
    <w:p w14:paraId="491B2484" w14:textId="77777777" w:rsidR="00ED4694" w:rsidRPr="009E37B5" w:rsidRDefault="00ED4694" w:rsidP="00ED4694">
      <w:pPr>
        <w:pStyle w:val="Sansinterligne"/>
        <w:jc w:val="both"/>
        <w:rPr>
          <w:rFonts w:ascii="Arial" w:hAnsi="Arial" w:cs="Arial"/>
          <w:sz w:val="20"/>
          <w:szCs w:val="20"/>
        </w:rPr>
      </w:pPr>
      <w:r>
        <w:rPr>
          <w:rFonts w:ascii="Arial" w:hAnsi="Arial" w:cs="Arial"/>
          <w:sz w:val="20"/>
          <w:szCs w:val="20"/>
        </w:rPr>
        <w:t>L’inhibiteur d’</w:t>
      </w:r>
      <w:r w:rsidRPr="003D03A1">
        <w:rPr>
          <w:rFonts w:ascii="Arial" w:hAnsi="Arial" w:cs="Arial"/>
          <w:sz w:val="20"/>
          <w:szCs w:val="20"/>
        </w:rPr>
        <w:t>α-glucosidase</w:t>
      </w:r>
      <w:r>
        <w:rPr>
          <w:rFonts w:ascii="Arial" w:hAnsi="Arial" w:cs="Arial"/>
          <w:sz w:val="20"/>
          <w:szCs w:val="20"/>
        </w:rPr>
        <w:t xml:space="preserve"> se lie à l’enzyme et bloque son fonctionnement. Le disaccharide ne peut pas être pris en charge et ne peut pas être dégradé et clivé = inhibition de l’absorption du glucose.</w:t>
      </w:r>
    </w:p>
    <w:p w14:paraId="3154AA08" w14:textId="77777777" w:rsidR="00ED4694" w:rsidRDefault="00ED4694" w:rsidP="00ED4694">
      <w:pPr>
        <w:pStyle w:val="Sansinterligne"/>
        <w:jc w:val="center"/>
        <w:rPr>
          <w:rFonts w:ascii="Arial" w:hAnsi="Arial" w:cs="Arial"/>
          <w:sz w:val="20"/>
          <w:szCs w:val="20"/>
        </w:rPr>
      </w:pPr>
    </w:p>
    <w:p w14:paraId="180BB2BA" w14:textId="77777777" w:rsidR="00ED4694" w:rsidRDefault="00ED4694" w:rsidP="00ED4694">
      <w:pPr>
        <w:pStyle w:val="Sansinterligne"/>
        <w:jc w:val="center"/>
        <w:rPr>
          <w:rFonts w:ascii="Arial" w:hAnsi="Arial" w:cs="Arial"/>
          <w:sz w:val="20"/>
          <w:szCs w:val="20"/>
        </w:rPr>
      </w:pPr>
    </w:p>
    <w:p w14:paraId="13D4376E" w14:textId="77777777" w:rsidR="00ED4694" w:rsidRDefault="00ED4694" w:rsidP="00ED4694">
      <w:pPr>
        <w:pStyle w:val="Sansinterligne"/>
        <w:jc w:val="center"/>
        <w:rPr>
          <w:rFonts w:ascii="Arial" w:hAnsi="Arial" w:cs="Arial"/>
          <w:sz w:val="20"/>
          <w:szCs w:val="20"/>
        </w:rPr>
      </w:pPr>
    </w:p>
    <w:p w14:paraId="4F5F30BB" w14:textId="77777777" w:rsidR="00ED4694" w:rsidRDefault="00ED4694" w:rsidP="00ED4694">
      <w:pPr>
        <w:pStyle w:val="Sansinterligne"/>
        <w:jc w:val="center"/>
        <w:rPr>
          <w:rFonts w:ascii="Arial" w:hAnsi="Arial" w:cs="Arial"/>
          <w:sz w:val="20"/>
          <w:szCs w:val="20"/>
        </w:rPr>
      </w:pPr>
    </w:p>
    <w:p w14:paraId="11DD5180" w14:textId="77777777" w:rsidR="00ED4694" w:rsidRDefault="00ED4694" w:rsidP="00ED4694">
      <w:pPr>
        <w:pStyle w:val="Sansinterligne"/>
        <w:jc w:val="center"/>
        <w:rPr>
          <w:rFonts w:ascii="Arial" w:hAnsi="Arial" w:cs="Arial"/>
          <w:sz w:val="20"/>
          <w:szCs w:val="20"/>
        </w:rPr>
      </w:pPr>
    </w:p>
    <w:p w14:paraId="728C4DA0" w14:textId="77777777" w:rsidR="00ED4694" w:rsidRDefault="00ED4694" w:rsidP="00ED4694">
      <w:pPr>
        <w:pStyle w:val="Sansinterligne"/>
        <w:jc w:val="center"/>
        <w:rPr>
          <w:rFonts w:ascii="Arial" w:hAnsi="Arial" w:cs="Arial"/>
          <w:sz w:val="20"/>
          <w:szCs w:val="20"/>
        </w:rPr>
      </w:pPr>
    </w:p>
    <w:p w14:paraId="0B8AE0D3" w14:textId="77777777" w:rsidR="00ED4694" w:rsidRDefault="00ED4694" w:rsidP="00ED4694">
      <w:pPr>
        <w:pStyle w:val="Sansinterligne"/>
        <w:jc w:val="center"/>
        <w:rPr>
          <w:rFonts w:ascii="Arial" w:hAnsi="Arial" w:cs="Arial"/>
          <w:sz w:val="20"/>
          <w:szCs w:val="20"/>
        </w:rPr>
      </w:pPr>
    </w:p>
    <w:p w14:paraId="69DFAF21" w14:textId="77777777" w:rsidR="00ED4694" w:rsidRDefault="00ED4694" w:rsidP="00ED4694">
      <w:pPr>
        <w:pStyle w:val="Sansinterligne"/>
        <w:jc w:val="both"/>
        <w:rPr>
          <w:rFonts w:ascii="Arial" w:hAnsi="Arial" w:cs="Arial"/>
          <w:sz w:val="20"/>
          <w:szCs w:val="20"/>
        </w:rPr>
      </w:pPr>
      <w:r w:rsidRPr="00513B86">
        <w:rPr>
          <w:rFonts w:ascii="Arial" w:hAnsi="Arial" w:cs="Arial"/>
          <w:i/>
          <w:iCs/>
          <w:sz w:val="20"/>
          <w:szCs w:val="20"/>
        </w:rPr>
        <w:t>Acarbose</w:t>
      </w:r>
      <w:r>
        <w:rPr>
          <w:rFonts w:ascii="Arial" w:hAnsi="Arial" w:cs="Arial"/>
          <w:sz w:val="20"/>
          <w:szCs w:val="20"/>
        </w:rPr>
        <w:t xml:space="preserve"> : </w:t>
      </w:r>
      <w:r w:rsidRPr="003D03A1">
        <w:rPr>
          <w:rFonts w:ascii="Arial" w:hAnsi="Arial" w:cs="Arial"/>
          <w:sz w:val="20"/>
          <w:szCs w:val="20"/>
        </w:rPr>
        <w:t>voie orale</w:t>
      </w:r>
    </w:p>
    <w:p w14:paraId="454E72D5"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Retarde l’absorption des glucides </w:t>
      </w:r>
      <w:r w:rsidRPr="003D03A1">
        <w:rPr>
          <w:rFonts w:ascii="Arial" w:hAnsi="Arial" w:cs="Arial"/>
          <w:sz w:val="20"/>
          <w:szCs w:val="20"/>
        </w:rPr>
        <w:sym w:font="Symbol" w:char="F0DE"/>
      </w:r>
      <w:r w:rsidRPr="003D03A1">
        <w:rPr>
          <w:rFonts w:ascii="Arial" w:hAnsi="Arial" w:cs="Arial"/>
          <w:sz w:val="20"/>
          <w:szCs w:val="20"/>
        </w:rPr>
        <w:t xml:space="preserve"> ↓ glycémie postprandiale </w:t>
      </w:r>
    </w:p>
    <w:p w14:paraId="6D983A28"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Efficacité modeste : en association aux autres antidiabétiques si diabète mal contrôlé, ou si autres traitements CI </w:t>
      </w:r>
    </w:p>
    <w:p w14:paraId="03FBF623" w14:textId="77777777" w:rsidR="00ED4694" w:rsidRDefault="00ED4694" w:rsidP="00ED4694">
      <w:pPr>
        <w:pStyle w:val="Sansinterligne"/>
        <w:jc w:val="both"/>
        <w:rPr>
          <w:rFonts w:ascii="Arial" w:hAnsi="Arial" w:cs="Arial"/>
          <w:sz w:val="20"/>
          <w:szCs w:val="20"/>
        </w:rPr>
      </w:pPr>
      <w:r w:rsidRPr="003D03A1">
        <w:rPr>
          <w:rFonts w:ascii="Arial" w:hAnsi="Arial" w:cs="Arial"/>
          <w:sz w:val="20"/>
          <w:szCs w:val="20"/>
        </w:rPr>
        <w:t xml:space="preserve">-  Biodisponibilité absolue ≈ 1% </w:t>
      </w:r>
    </w:p>
    <w:p w14:paraId="741E5BE0" w14:textId="77777777" w:rsidR="00ED4694" w:rsidRPr="003D03A1" w:rsidRDefault="00ED4694" w:rsidP="00ED4694">
      <w:pPr>
        <w:pStyle w:val="Sansinterligne"/>
        <w:jc w:val="both"/>
        <w:rPr>
          <w:rFonts w:ascii="Arial" w:hAnsi="Arial" w:cs="Arial"/>
          <w:sz w:val="20"/>
          <w:szCs w:val="20"/>
        </w:rPr>
      </w:pPr>
    </w:p>
    <w:p w14:paraId="4BB7A54C" w14:textId="77777777" w:rsidR="00ED4694" w:rsidRPr="00513B86" w:rsidRDefault="00ED4694" w:rsidP="00ED4694">
      <w:pPr>
        <w:pStyle w:val="Sansinterligne"/>
        <w:jc w:val="both"/>
        <w:rPr>
          <w:rFonts w:ascii="Arial" w:hAnsi="Arial" w:cs="Arial"/>
          <w:sz w:val="20"/>
          <w:szCs w:val="20"/>
          <w:u w:val="single"/>
        </w:rPr>
      </w:pPr>
      <w:r w:rsidRPr="00513B86">
        <w:rPr>
          <w:rFonts w:ascii="Arial" w:hAnsi="Arial" w:cs="Arial"/>
          <w:sz w:val="20"/>
          <w:szCs w:val="20"/>
          <w:u w:val="single"/>
        </w:rPr>
        <w:t>Effets indésirables</w:t>
      </w:r>
      <w:r>
        <w:rPr>
          <w:rFonts w:ascii="Arial" w:hAnsi="Arial" w:cs="Arial"/>
          <w:sz w:val="20"/>
          <w:szCs w:val="20"/>
          <w:u w:val="single"/>
        </w:rPr>
        <w:t> :</w:t>
      </w:r>
    </w:p>
    <w:p w14:paraId="5F4D3770"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EI gastro intestinaux très fréquents : flatulences, diarrhée, douleurs abdominales, nausées... (limitation de sa prescription) </w:t>
      </w:r>
    </w:p>
    <w:p w14:paraId="3054B3EE"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Risque d'hépatite fulminante (surveillance hépatique) </w:t>
      </w:r>
    </w:p>
    <w:p w14:paraId="3C878F0C" w14:textId="77777777" w:rsidR="00ED4694" w:rsidRPr="003D03A1" w:rsidRDefault="00ED4694" w:rsidP="00ED4694">
      <w:pPr>
        <w:pStyle w:val="Sansinterligne"/>
        <w:jc w:val="both"/>
        <w:rPr>
          <w:rFonts w:ascii="Arial" w:hAnsi="Arial" w:cs="Arial"/>
          <w:sz w:val="20"/>
          <w:szCs w:val="20"/>
        </w:rPr>
      </w:pPr>
    </w:p>
    <w:p w14:paraId="3787942E" w14:textId="77777777" w:rsidR="00ED4694" w:rsidRPr="00513B86" w:rsidRDefault="00ED4694" w:rsidP="00ED4694">
      <w:pPr>
        <w:pStyle w:val="Sansinterligne"/>
        <w:jc w:val="both"/>
        <w:rPr>
          <w:rFonts w:ascii="Arial" w:hAnsi="Arial" w:cs="Arial"/>
          <w:sz w:val="20"/>
          <w:szCs w:val="20"/>
          <w:u w:val="single"/>
        </w:rPr>
      </w:pPr>
      <w:r w:rsidRPr="00513B86">
        <w:rPr>
          <w:rFonts w:ascii="Arial" w:hAnsi="Arial" w:cs="Arial"/>
          <w:sz w:val="20"/>
          <w:szCs w:val="20"/>
          <w:u w:val="single"/>
        </w:rPr>
        <w:t>Contre-indications</w:t>
      </w:r>
      <w:r>
        <w:rPr>
          <w:rFonts w:ascii="Arial" w:hAnsi="Arial" w:cs="Arial"/>
          <w:sz w:val="20"/>
          <w:szCs w:val="20"/>
          <w:u w:val="single"/>
        </w:rPr>
        <w:t> :</w:t>
      </w:r>
    </w:p>
    <w:p w14:paraId="674C73DD" w14:textId="77777777" w:rsidR="00ED4694" w:rsidRPr="003D03A1" w:rsidRDefault="00ED4694" w:rsidP="00ED4694">
      <w:pPr>
        <w:pStyle w:val="Sansinterligne"/>
        <w:jc w:val="both"/>
        <w:rPr>
          <w:rFonts w:ascii="Arial" w:hAnsi="Arial" w:cs="Arial"/>
          <w:sz w:val="20"/>
          <w:szCs w:val="20"/>
        </w:rPr>
      </w:pPr>
      <w:r w:rsidRPr="003D03A1">
        <w:rPr>
          <w:rFonts w:ascii="Arial" w:hAnsi="Arial" w:cs="Arial"/>
          <w:sz w:val="20"/>
          <w:szCs w:val="20"/>
        </w:rPr>
        <w:t xml:space="preserve">-  Insuffisance rénale sévère </w:t>
      </w:r>
    </w:p>
    <w:p w14:paraId="7B05C63D" w14:textId="77777777" w:rsidR="00ED4694" w:rsidRDefault="00ED4694" w:rsidP="00ED4694">
      <w:pPr>
        <w:pStyle w:val="Sansinterligne"/>
        <w:jc w:val="both"/>
        <w:rPr>
          <w:rFonts w:ascii="Arial" w:hAnsi="Arial" w:cs="Arial"/>
          <w:sz w:val="20"/>
          <w:szCs w:val="20"/>
        </w:rPr>
      </w:pPr>
      <w:r w:rsidRPr="003D03A1">
        <w:rPr>
          <w:rFonts w:ascii="Arial" w:hAnsi="Arial" w:cs="Arial"/>
          <w:sz w:val="20"/>
          <w:szCs w:val="20"/>
        </w:rPr>
        <w:t xml:space="preserve">-  Maladie intestinale chronique </w:t>
      </w:r>
    </w:p>
    <w:p w14:paraId="27931403" w14:textId="77777777" w:rsidR="00ED4694" w:rsidRDefault="00ED4694" w:rsidP="00ED4694">
      <w:pPr>
        <w:pStyle w:val="Sansinterligne"/>
        <w:jc w:val="both"/>
        <w:rPr>
          <w:rFonts w:ascii="Arial" w:hAnsi="Arial" w:cs="Arial"/>
          <w:sz w:val="20"/>
          <w:szCs w:val="20"/>
        </w:rPr>
      </w:pPr>
    </w:p>
    <w:tbl>
      <w:tblPr>
        <w:tblStyle w:val="Grilledutableau"/>
        <w:tblW w:w="0" w:type="auto"/>
        <w:tblLook w:val="04A0" w:firstRow="1" w:lastRow="0" w:firstColumn="1" w:lastColumn="0" w:noHBand="0" w:noVBand="1"/>
      </w:tblPr>
      <w:tblGrid>
        <w:gridCol w:w="3485"/>
        <w:gridCol w:w="3485"/>
        <w:gridCol w:w="3486"/>
      </w:tblGrid>
      <w:tr w:rsidR="00ED4694" w14:paraId="59A3B848" w14:textId="77777777" w:rsidTr="00177C07">
        <w:tc>
          <w:tcPr>
            <w:tcW w:w="3485" w:type="dxa"/>
            <w:shd w:val="clear" w:color="auto" w:fill="70AD47" w:themeFill="accent6"/>
            <w:vAlign w:val="center"/>
          </w:tcPr>
          <w:p w14:paraId="507388B0" w14:textId="77777777" w:rsidR="00ED4694" w:rsidRPr="009A1097" w:rsidRDefault="00ED4694" w:rsidP="00177C07">
            <w:pPr>
              <w:pStyle w:val="Sansinterligne"/>
              <w:jc w:val="center"/>
              <w:rPr>
                <w:rFonts w:ascii="Arial" w:hAnsi="Arial" w:cs="Arial"/>
                <w:color w:val="FFFFFF" w:themeColor="background1"/>
                <w:sz w:val="20"/>
                <w:szCs w:val="20"/>
                <w:u w:val="single"/>
              </w:rPr>
            </w:pPr>
            <w:r w:rsidRPr="009A1097">
              <w:rPr>
                <w:rFonts w:ascii="Arial" w:hAnsi="Arial" w:cs="Arial"/>
                <w:color w:val="FFFFFF" w:themeColor="background1"/>
                <w:sz w:val="20"/>
                <w:szCs w:val="20"/>
                <w:u w:val="single"/>
              </w:rPr>
              <w:t>Classe thérapeutique</w:t>
            </w:r>
          </w:p>
        </w:tc>
        <w:tc>
          <w:tcPr>
            <w:tcW w:w="3485" w:type="dxa"/>
            <w:shd w:val="clear" w:color="auto" w:fill="70AD47" w:themeFill="accent6"/>
            <w:vAlign w:val="center"/>
          </w:tcPr>
          <w:p w14:paraId="7B4F9A5B" w14:textId="77777777" w:rsidR="00ED4694" w:rsidRPr="009A1097" w:rsidRDefault="00ED4694" w:rsidP="00177C07">
            <w:pPr>
              <w:pStyle w:val="Sansinterligne"/>
              <w:jc w:val="center"/>
              <w:rPr>
                <w:rFonts w:ascii="Arial" w:hAnsi="Arial" w:cs="Arial"/>
                <w:color w:val="FFFFFF" w:themeColor="background1"/>
                <w:sz w:val="20"/>
                <w:szCs w:val="20"/>
                <w:u w:val="single"/>
              </w:rPr>
            </w:pPr>
            <w:r w:rsidRPr="009A1097">
              <w:rPr>
                <w:rFonts w:ascii="Arial" w:hAnsi="Arial" w:cs="Arial"/>
                <w:color w:val="FFFFFF" w:themeColor="background1"/>
                <w:sz w:val="20"/>
                <w:szCs w:val="20"/>
                <w:u w:val="single"/>
              </w:rPr>
              <w:t>Principes actifs</w:t>
            </w:r>
          </w:p>
        </w:tc>
        <w:tc>
          <w:tcPr>
            <w:tcW w:w="3486" w:type="dxa"/>
            <w:shd w:val="clear" w:color="auto" w:fill="70AD47" w:themeFill="accent6"/>
            <w:vAlign w:val="center"/>
          </w:tcPr>
          <w:p w14:paraId="37E18DC5" w14:textId="77777777" w:rsidR="00ED4694" w:rsidRDefault="00ED4694" w:rsidP="00177C07">
            <w:pPr>
              <w:pStyle w:val="Sansinterligne"/>
              <w:jc w:val="center"/>
              <w:rPr>
                <w:rFonts w:ascii="Arial" w:hAnsi="Arial" w:cs="Arial"/>
                <w:color w:val="FFFFFF" w:themeColor="background1"/>
                <w:sz w:val="20"/>
                <w:szCs w:val="20"/>
                <w:u w:val="single"/>
              </w:rPr>
            </w:pPr>
            <w:r w:rsidRPr="009A1097">
              <w:rPr>
                <w:rFonts w:ascii="Arial" w:hAnsi="Arial" w:cs="Arial"/>
                <w:color w:val="FFFFFF" w:themeColor="background1"/>
                <w:sz w:val="20"/>
                <w:szCs w:val="20"/>
                <w:u w:val="single"/>
              </w:rPr>
              <w:t>Cible (localisation), effet</w:t>
            </w:r>
          </w:p>
          <w:p w14:paraId="63088A04" w14:textId="77777777" w:rsidR="00ED4694" w:rsidRPr="009A1097" w:rsidRDefault="00ED4694" w:rsidP="00177C07">
            <w:pPr>
              <w:pStyle w:val="Sansinterligne"/>
              <w:jc w:val="center"/>
              <w:rPr>
                <w:rFonts w:ascii="Arial" w:hAnsi="Arial" w:cs="Arial"/>
                <w:color w:val="FFFFFF" w:themeColor="background1"/>
                <w:sz w:val="6"/>
                <w:szCs w:val="6"/>
                <w:u w:val="single"/>
              </w:rPr>
            </w:pPr>
          </w:p>
        </w:tc>
      </w:tr>
      <w:tr w:rsidR="00ED4694" w14:paraId="11F6584A" w14:textId="77777777" w:rsidTr="00177C07">
        <w:tc>
          <w:tcPr>
            <w:tcW w:w="3485" w:type="dxa"/>
            <w:shd w:val="clear" w:color="auto" w:fill="E2EFD9" w:themeFill="accent6" w:themeFillTint="33"/>
            <w:vAlign w:val="center"/>
          </w:tcPr>
          <w:p w14:paraId="78E19385" w14:textId="77777777" w:rsidR="00ED4694" w:rsidRDefault="00ED4694" w:rsidP="00177C07">
            <w:pPr>
              <w:pStyle w:val="Sansinterligne"/>
              <w:rPr>
                <w:rFonts w:ascii="Arial" w:hAnsi="Arial" w:cs="Arial"/>
                <w:sz w:val="20"/>
                <w:szCs w:val="20"/>
              </w:rPr>
            </w:pPr>
            <w:r>
              <w:rPr>
                <w:rFonts w:ascii="Arial" w:hAnsi="Arial" w:cs="Arial"/>
                <w:sz w:val="20"/>
                <w:szCs w:val="20"/>
              </w:rPr>
              <w:t>Biguanides</w:t>
            </w:r>
          </w:p>
        </w:tc>
        <w:tc>
          <w:tcPr>
            <w:tcW w:w="3485" w:type="dxa"/>
            <w:shd w:val="clear" w:color="auto" w:fill="E2EFD9" w:themeFill="accent6" w:themeFillTint="33"/>
            <w:vAlign w:val="center"/>
          </w:tcPr>
          <w:p w14:paraId="00E54EB4" w14:textId="77777777" w:rsidR="00ED4694" w:rsidRDefault="00ED4694" w:rsidP="00177C07">
            <w:pPr>
              <w:pStyle w:val="Sansinterligne"/>
              <w:jc w:val="center"/>
              <w:rPr>
                <w:rFonts w:ascii="Arial" w:hAnsi="Arial" w:cs="Arial"/>
                <w:sz w:val="20"/>
                <w:szCs w:val="20"/>
              </w:rPr>
            </w:pPr>
            <w:r>
              <w:rPr>
                <w:rFonts w:ascii="Arial" w:hAnsi="Arial" w:cs="Arial"/>
                <w:sz w:val="20"/>
                <w:szCs w:val="20"/>
              </w:rPr>
              <w:t>Metformine</w:t>
            </w:r>
          </w:p>
        </w:tc>
        <w:tc>
          <w:tcPr>
            <w:tcW w:w="3486" w:type="dxa"/>
            <w:shd w:val="clear" w:color="auto" w:fill="E2EFD9" w:themeFill="accent6" w:themeFillTint="33"/>
          </w:tcPr>
          <w:p w14:paraId="78090CC1" w14:textId="77777777" w:rsidR="00ED4694" w:rsidRDefault="00ED4694" w:rsidP="00177C07">
            <w:pPr>
              <w:pStyle w:val="Sansinterligne"/>
              <w:jc w:val="both"/>
              <w:rPr>
                <w:rFonts w:ascii="Arial" w:hAnsi="Arial" w:cs="Arial"/>
                <w:sz w:val="20"/>
                <w:szCs w:val="20"/>
              </w:rPr>
            </w:pPr>
            <w:r>
              <w:rPr>
                <w:rFonts w:ascii="Arial" w:hAnsi="Arial" w:cs="Arial"/>
                <w:sz w:val="20"/>
                <w:szCs w:val="20"/>
              </w:rPr>
              <w:t xml:space="preserve">AMPK (foie, muscle) </w:t>
            </w:r>
          </w:p>
          <w:p w14:paraId="0E3B3F41" w14:textId="77777777" w:rsidR="00ED4694" w:rsidRDefault="00ED4694" w:rsidP="00177C07">
            <w:pPr>
              <w:pStyle w:val="Sansinterligne"/>
              <w:jc w:val="both"/>
              <w:rPr>
                <w:rFonts w:ascii="Arial" w:hAnsi="Arial" w:cs="Arial"/>
                <w:sz w:val="20"/>
                <w:szCs w:val="20"/>
              </w:rPr>
            </w:pPr>
            <w:r w:rsidRPr="003D03A1">
              <w:rPr>
                <w:rFonts w:ascii="Arial" w:hAnsi="Arial" w:cs="Arial"/>
                <w:sz w:val="20"/>
                <w:szCs w:val="20"/>
              </w:rPr>
              <w:t>↓</w:t>
            </w:r>
            <w:r>
              <w:rPr>
                <w:rFonts w:ascii="Arial" w:hAnsi="Arial" w:cs="Arial"/>
                <w:sz w:val="20"/>
                <w:szCs w:val="20"/>
              </w:rPr>
              <w:t xml:space="preserve"> insulinorésistance</w:t>
            </w:r>
          </w:p>
        </w:tc>
      </w:tr>
      <w:tr w:rsidR="00ED4694" w14:paraId="3929550F" w14:textId="77777777" w:rsidTr="00177C07">
        <w:tc>
          <w:tcPr>
            <w:tcW w:w="3485" w:type="dxa"/>
            <w:shd w:val="clear" w:color="auto" w:fill="E2EFD9" w:themeFill="accent6" w:themeFillTint="33"/>
            <w:vAlign w:val="center"/>
          </w:tcPr>
          <w:p w14:paraId="32A5C0C9" w14:textId="77777777" w:rsidR="00ED4694" w:rsidRDefault="00ED4694" w:rsidP="00177C07">
            <w:pPr>
              <w:pStyle w:val="Sansinterligne"/>
              <w:rPr>
                <w:rFonts w:ascii="Arial" w:hAnsi="Arial" w:cs="Arial"/>
                <w:sz w:val="20"/>
                <w:szCs w:val="20"/>
              </w:rPr>
            </w:pPr>
            <w:r>
              <w:rPr>
                <w:rFonts w:ascii="Arial" w:hAnsi="Arial" w:cs="Arial"/>
                <w:sz w:val="20"/>
                <w:szCs w:val="20"/>
              </w:rPr>
              <w:t>Sulfamides hypoglycémiants = sulfonylurées</w:t>
            </w:r>
          </w:p>
        </w:tc>
        <w:tc>
          <w:tcPr>
            <w:tcW w:w="3485" w:type="dxa"/>
            <w:shd w:val="clear" w:color="auto" w:fill="E2EFD9" w:themeFill="accent6" w:themeFillTint="33"/>
            <w:vAlign w:val="center"/>
          </w:tcPr>
          <w:p w14:paraId="1BE1B7D0" w14:textId="77777777" w:rsidR="00ED4694" w:rsidRDefault="00ED4694" w:rsidP="00177C07">
            <w:pPr>
              <w:pStyle w:val="Sansinterligne"/>
              <w:jc w:val="center"/>
              <w:rPr>
                <w:rFonts w:ascii="Arial" w:hAnsi="Arial" w:cs="Arial"/>
                <w:sz w:val="20"/>
                <w:szCs w:val="20"/>
              </w:rPr>
            </w:pPr>
            <w:r>
              <w:rPr>
                <w:rFonts w:ascii="Arial" w:hAnsi="Arial" w:cs="Arial"/>
                <w:sz w:val="20"/>
                <w:szCs w:val="20"/>
              </w:rPr>
              <w:t>Glibenclamide, Gliclazide, Glimépiride, Glipizide</w:t>
            </w:r>
          </w:p>
        </w:tc>
        <w:tc>
          <w:tcPr>
            <w:tcW w:w="3486" w:type="dxa"/>
            <w:vMerge w:val="restart"/>
            <w:shd w:val="clear" w:color="auto" w:fill="E2EFD9" w:themeFill="accent6" w:themeFillTint="33"/>
            <w:vAlign w:val="center"/>
          </w:tcPr>
          <w:p w14:paraId="3D556368" w14:textId="77777777" w:rsidR="00ED4694" w:rsidRDefault="00ED4694" w:rsidP="00177C07">
            <w:pPr>
              <w:pStyle w:val="Sansinterligne"/>
              <w:jc w:val="center"/>
              <w:rPr>
                <w:rFonts w:ascii="Arial" w:eastAsiaTheme="minorEastAsia" w:hAnsi="Arial" w:cs="Arial"/>
                <w:sz w:val="20"/>
                <w:szCs w:val="20"/>
              </w:rPr>
            </w:pPr>
            <w:r>
              <w:rPr>
                <w:rFonts w:ascii="Arial" w:hAnsi="Arial" w:cs="Arial"/>
                <w:sz w:val="20"/>
                <w:szCs w:val="20"/>
              </w:rPr>
              <w:t>SUR canal K</w:t>
            </w:r>
            <w:r>
              <w:rPr>
                <w:rFonts w:ascii="Arial" w:hAnsi="Arial" w:cs="Arial"/>
                <w:sz w:val="20"/>
                <w:szCs w:val="20"/>
                <w:vertAlign w:val="subscript"/>
              </w:rPr>
              <w:t>ATP</w:t>
            </w:r>
            <w:r>
              <w:rPr>
                <w:rFonts w:ascii="Arial" w:hAnsi="Arial" w:cs="Arial"/>
                <w:sz w:val="20"/>
                <w:szCs w:val="20"/>
              </w:rPr>
              <w:t xml:space="preserve"> (cellule </w:t>
            </w:r>
            <m:oMath>
              <m:r>
                <w:rPr>
                  <w:rFonts w:ascii="Cambria Math" w:hAnsi="Cambria Math" w:cs="Arial"/>
                  <w:sz w:val="20"/>
                  <w:szCs w:val="20"/>
                </w:rPr>
                <m:t>β</m:t>
              </m:r>
            </m:oMath>
            <w:r>
              <w:rPr>
                <w:rFonts w:ascii="Arial" w:eastAsiaTheme="minorEastAsia" w:hAnsi="Arial" w:cs="Arial"/>
                <w:sz w:val="20"/>
                <w:szCs w:val="20"/>
              </w:rPr>
              <w:t xml:space="preserve"> pancréas)</w:t>
            </w:r>
          </w:p>
          <w:p w14:paraId="0FD35324" w14:textId="77777777" w:rsidR="00ED4694" w:rsidRPr="00513B86" w:rsidRDefault="00ED4694" w:rsidP="00177C07">
            <w:pPr>
              <w:pStyle w:val="Sansinterligne"/>
              <w:jc w:val="center"/>
              <w:rPr>
                <w:rFonts w:ascii="Arial" w:hAnsi="Arial" w:cs="Arial"/>
                <w:sz w:val="20"/>
                <w:szCs w:val="20"/>
              </w:rPr>
            </w:pPr>
            <w:r w:rsidRPr="003D03A1">
              <w:rPr>
                <w:rFonts w:ascii="Arial" w:hAnsi="Arial" w:cs="Arial"/>
                <w:sz w:val="20"/>
                <w:szCs w:val="20"/>
              </w:rPr>
              <w:t>↑</w:t>
            </w:r>
            <w:r>
              <w:rPr>
                <w:rFonts w:ascii="Arial" w:hAnsi="Arial" w:cs="Arial"/>
                <w:sz w:val="20"/>
                <w:szCs w:val="20"/>
              </w:rPr>
              <w:t xml:space="preserve"> sécrétion insuline</w:t>
            </w:r>
          </w:p>
        </w:tc>
      </w:tr>
      <w:tr w:rsidR="00ED4694" w14:paraId="5AA4DD88" w14:textId="77777777" w:rsidTr="00177C07">
        <w:tc>
          <w:tcPr>
            <w:tcW w:w="3485" w:type="dxa"/>
            <w:shd w:val="clear" w:color="auto" w:fill="E2EFD9" w:themeFill="accent6" w:themeFillTint="33"/>
            <w:vAlign w:val="center"/>
          </w:tcPr>
          <w:p w14:paraId="01B0F725" w14:textId="77777777" w:rsidR="00ED4694" w:rsidRDefault="00ED4694" w:rsidP="00177C07">
            <w:pPr>
              <w:pStyle w:val="Sansinterligne"/>
              <w:rPr>
                <w:rFonts w:ascii="Arial" w:hAnsi="Arial" w:cs="Arial"/>
                <w:sz w:val="20"/>
                <w:szCs w:val="20"/>
              </w:rPr>
            </w:pPr>
            <w:r>
              <w:rPr>
                <w:rFonts w:ascii="Arial" w:hAnsi="Arial" w:cs="Arial"/>
                <w:sz w:val="20"/>
                <w:szCs w:val="20"/>
              </w:rPr>
              <w:t>Glinides</w:t>
            </w:r>
          </w:p>
        </w:tc>
        <w:tc>
          <w:tcPr>
            <w:tcW w:w="3485" w:type="dxa"/>
            <w:shd w:val="clear" w:color="auto" w:fill="E2EFD9" w:themeFill="accent6" w:themeFillTint="33"/>
            <w:vAlign w:val="center"/>
          </w:tcPr>
          <w:p w14:paraId="7D05FFFC" w14:textId="77777777" w:rsidR="00ED4694" w:rsidRDefault="00ED4694" w:rsidP="00177C07">
            <w:pPr>
              <w:pStyle w:val="Sansinterligne"/>
              <w:jc w:val="center"/>
              <w:rPr>
                <w:rFonts w:ascii="Arial" w:hAnsi="Arial" w:cs="Arial"/>
                <w:sz w:val="20"/>
                <w:szCs w:val="20"/>
              </w:rPr>
            </w:pPr>
            <w:r>
              <w:rPr>
                <w:rFonts w:ascii="Arial" w:hAnsi="Arial" w:cs="Arial"/>
                <w:sz w:val="20"/>
                <w:szCs w:val="20"/>
              </w:rPr>
              <w:t>Répaglinide</w:t>
            </w:r>
          </w:p>
        </w:tc>
        <w:tc>
          <w:tcPr>
            <w:tcW w:w="3486" w:type="dxa"/>
            <w:vMerge/>
            <w:shd w:val="clear" w:color="auto" w:fill="E2EFD9" w:themeFill="accent6" w:themeFillTint="33"/>
          </w:tcPr>
          <w:p w14:paraId="6A3A5391" w14:textId="77777777" w:rsidR="00ED4694" w:rsidRDefault="00ED4694" w:rsidP="00177C07">
            <w:pPr>
              <w:pStyle w:val="Sansinterligne"/>
              <w:jc w:val="both"/>
              <w:rPr>
                <w:rFonts w:ascii="Arial" w:hAnsi="Arial" w:cs="Arial"/>
                <w:sz w:val="20"/>
                <w:szCs w:val="20"/>
              </w:rPr>
            </w:pPr>
          </w:p>
        </w:tc>
      </w:tr>
      <w:tr w:rsidR="00ED4694" w14:paraId="17A22493" w14:textId="77777777" w:rsidTr="00177C07">
        <w:tc>
          <w:tcPr>
            <w:tcW w:w="3485" w:type="dxa"/>
            <w:vMerge w:val="restart"/>
            <w:shd w:val="clear" w:color="auto" w:fill="E2EFD9" w:themeFill="accent6" w:themeFillTint="33"/>
            <w:vAlign w:val="center"/>
          </w:tcPr>
          <w:p w14:paraId="01D38DEA" w14:textId="77777777" w:rsidR="00ED4694" w:rsidRDefault="00ED4694" w:rsidP="00177C07">
            <w:pPr>
              <w:pStyle w:val="Sansinterligne"/>
              <w:rPr>
                <w:rFonts w:ascii="Arial" w:hAnsi="Arial" w:cs="Arial"/>
                <w:sz w:val="20"/>
                <w:szCs w:val="20"/>
              </w:rPr>
            </w:pPr>
            <w:r>
              <w:rPr>
                <w:rFonts w:ascii="Arial" w:hAnsi="Arial" w:cs="Arial"/>
                <w:sz w:val="20"/>
                <w:szCs w:val="20"/>
              </w:rPr>
              <w:t>Incrétinomimétiques :</w:t>
            </w:r>
          </w:p>
          <w:p w14:paraId="2BF805E1" w14:textId="77777777" w:rsidR="00ED4694" w:rsidRDefault="00ED4694" w:rsidP="00177C07">
            <w:pPr>
              <w:pStyle w:val="Sansinterligne"/>
              <w:numPr>
                <w:ilvl w:val="0"/>
                <w:numId w:val="140"/>
              </w:numPr>
              <w:rPr>
                <w:rFonts w:ascii="Arial" w:hAnsi="Arial" w:cs="Arial"/>
                <w:sz w:val="20"/>
                <w:szCs w:val="20"/>
              </w:rPr>
            </w:pPr>
            <w:r>
              <w:rPr>
                <w:rFonts w:ascii="Arial" w:hAnsi="Arial" w:cs="Arial"/>
                <w:sz w:val="20"/>
                <w:szCs w:val="20"/>
              </w:rPr>
              <w:t>Analogues GLP-1</w:t>
            </w:r>
          </w:p>
          <w:p w14:paraId="6506413C" w14:textId="77777777" w:rsidR="00ED4694" w:rsidRDefault="00ED4694" w:rsidP="00177C07">
            <w:pPr>
              <w:pStyle w:val="Sansinterligne"/>
              <w:ind w:left="360"/>
              <w:rPr>
                <w:rFonts w:ascii="Arial" w:hAnsi="Arial" w:cs="Arial"/>
                <w:sz w:val="20"/>
                <w:szCs w:val="20"/>
              </w:rPr>
            </w:pPr>
          </w:p>
          <w:p w14:paraId="3C0189FE" w14:textId="77777777" w:rsidR="00ED4694" w:rsidRPr="009A1097" w:rsidRDefault="00ED4694" w:rsidP="00177C07">
            <w:pPr>
              <w:pStyle w:val="Sansinterligne"/>
              <w:numPr>
                <w:ilvl w:val="0"/>
                <w:numId w:val="140"/>
              </w:numPr>
              <w:rPr>
                <w:rFonts w:ascii="Arial" w:hAnsi="Arial" w:cs="Arial"/>
                <w:sz w:val="20"/>
                <w:szCs w:val="20"/>
              </w:rPr>
            </w:pPr>
            <w:r>
              <w:rPr>
                <w:rFonts w:ascii="Arial" w:hAnsi="Arial" w:cs="Arial"/>
                <w:sz w:val="20"/>
                <w:szCs w:val="20"/>
              </w:rPr>
              <w:t>Inhibiteurs DPP-4 = gliptines</w:t>
            </w:r>
          </w:p>
        </w:tc>
        <w:tc>
          <w:tcPr>
            <w:tcW w:w="3485" w:type="dxa"/>
            <w:shd w:val="clear" w:color="auto" w:fill="E2EFD9" w:themeFill="accent6" w:themeFillTint="33"/>
            <w:vAlign w:val="center"/>
          </w:tcPr>
          <w:p w14:paraId="22179E08" w14:textId="77777777" w:rsidR="00ED4694" w:rsidRDefault="00ED4694" w:rsidP="00177C07">
            <w:pPr>
              <w:pStyle w:val="Sansinterligne"/>
              <w:jc w:val="center"/>
              <w:rPr>
                <w:rFonts w:ascii="Arial" w:hAnsi="Arial" w:cs="Arial"/>
                <w:sz w:val="20"/>
                <w:szCs w:val="20"/>
              </w:rPr>
            </w:pPr>
            <w:r>
              <w:rPr>
                <w:rFonts w:ascii="Arial" w:hAnsi="Arial" w:cs="Arial"/>
                <w:sz w:val="20"/>
                <w:szCs w:val="20"/>
              </w:rPr>
              <w:t>Dulaglutide, Exénatide, Liraglutide, Sémaglutide</w:t>
            </w:r>
          </w:p>
        </w:tc>
        <w:tc>
          <w:tcPr>
            <w:tcW w:w="3486" w:type="dxa"/>
            <w:shd w:val="clear" w:color="auto" w:fill="E2EFD9" w:themeFill="accent6" w:themeFillTint="33"/>
          </w:tcPr>
          <w:p w14:paraId="7F165AB1" w14:textId="77777777" w:rsidR="00ED4694" w:rsidRDefault="00ED4694" w:rsidP="00177C07">
            <w:pPr>
              <w:pStyle w:val="Sansinterligne"/>
              <w:jc w:val="both"/>
              <w:rPr>
                <w:rFonts w:ascii="Arial" w:hAnsi="Arial" w:cs="Arial"/>
                <w:sz w:val="20"/>
                <w:szCs w:val="20"/>
              </w:rPr>
            </w:pPr>
            <w:r>
              <w:rPr>
                <w:rFonts w:ascii="Arial" w:hAnsi="Arial" w:cs="Arial"/>
                <w:sz w:val="20"/>
                <w:szCs w:val="20"/>
              </w:rPr>
              <w:t>Miment action GLP-1 (cerveau, pancréas)</w:t>
            </w:r>
          </w:p>
        </w:tc>
      </w:tr>
      <w:tr w:rsidR="00ED4694" w14:paraId="394CDF11" w14:textId="77777777" w:rsidTr="00177C07">
        <w:tc>
          <w:tcPr>
            <w:tcW w:w="3485" w:type="dxa"/>
            <w:vMerge/>
            <w:shd w:val="clear" w:color="auto" w:fill="E2EFD9" w:themeFill="accent6" w:themeFillTint="33"/>
            <w:vAlign w:val="center"/>
          </w:tcPr>
          <w:p w14:paraId="4261E103" w14:textId="77777777" w:rsidR="00ED4694" w:rsidRDefault="00ED4694" w:rsidP="00177C07">
            <w:pPr>
              <w:pStyle w:val="Sansinterligne"/>
              <w:rPr>
                <w:rFonts w:ascii="Arial" w:hAnsi="Arial" w:cs="Arial"/>
                <w:sz w:val="20"/>
                <w:szCs w:val="20"/>
              </w:rPr>
            </w:pPr>
          </w:p>
        </w:tc>
        <w:tc>
          <w:tcPr>
            <w:tcW w:w="3485" w:type="dxa"/>
            <w:shd w:val="clear" w:color="auto" w:fill="E2EFD9" w:themeFill="accent6" w:themeFillTint="33"/>
            <w:vAlign w:val="center"/>
          </w:tcPr>
          <w:p w14:paraId="4002001D" w14:textId="77777777" w:rsidR="00ED4694" w:rsidRDefault="00ED4694" w:rsidP="00177C07">
            <w:pPr>
              <w:pStyle w:val="Sansinterligne"/>
              <w:jc w:val="center"/>
              <w:rPr>
                <w:rFonts w:ascii="Arial" w:hAnsi="Arial" w:cs="Arial"/>
                <w:sz w:val="20"/>
                <w:szCs w:val="20"/>
              </w:rPr>
            </w:pPr>
            <w:r>
              <w:rPr>
                <w:rFonts w:ascii="Arial" w:hAnsi="Arial" w:cs="Arial"/>
                <w:sz w:val="20"/>
                <w:szCs w:val="20"/>
              </w:rPr>
              <w:t>Saxagliptine, Sitagliptine, Vildagliptine</w:t>
            </w:r>
          </w:p>
        </w:tc>
        <w:tc>
          <w:tcPr>
            <w:tcW w:w="3486" w:type="dxa"/>
            <w:shd w:val="clear" w:color="auto" w:fill="E2EFD9" w:themeFill="accent6" w:themeFillTint="33"/>
          </w:tcPr>
          <w:p w14:paraId="27CB3214" w14:textId="77777777" w:rsidR="00ED4694" w:rsidRDefault="00ED4694" w:rsidP="00177C07">
            <w:pPr>
              <w:pStyle w:val="Sansinterligne"/>
              <w:jc w:val="both"/>
              <w:rPr>
                <w:rFonts w:ascii="Arial" w:hAnsi="Arial" w:cs="Arial"/>
                <w:sz w:val="20"/>
                <w:szCs w:val="20"/>
              </w:rPr>
            </w:pPr>
            <w:r w:rsidRPr="003D03A1">
              <w:rPr>
                <w:rFonts w:ascii="Arial" w:hAnsi="Arial" w:cs="Arial"/>
                <w:sz w:val="20"/>
                <w:szCs w:val="20"/>
              </w:rPr>
              <w:t>↓</w:t>
            </w:r>
            <w:r>
              <w:rPr>
                <w:rFonts w:ascii="Arial" w:hAnsi="Arial" w:cs="Arial"/>
                <w:sz w:val="20"/>
                <w:szCs w:val="20"/>
              </w:rPr>
              <w:t xml:space="preserve"> dégradation incrétines (GLP-1, GIP)</w:t>
            </w:r>
          </w:p>
        </w:tc>
      </w:tr>
      <w:tr w:rsidR="00ED4694" w14:paraId="6725F300" w14:textId="77777777" w:rsidTr="00177C07">
        <w:tc>
          <w:tcPr>
            <w:tcW w:w="3485" w:type="dxa"/>
            <w:shd w:val="clear" w:color="auto" w:fill="E2EFD9" w:themeFill="accent6" w:themeFillTint="33"/>
            <w:vAlign w:val="center"/>
          </w:tcPr>
          <w:p w14:paraId="551652AF" w14:textId="77777777" w:rsidR="00ED4694" w:rsidRDefault="00ED4694" w:rsidP="00177C07">
            <w:pPr>
              <w:pStyle w:val="Sansinterligne"/>
              <w:rPr>
                <w:rFonts w:ascii="Arial" w:hAnsi="Arial" w:cs="Arial"/>
                <w:sz w:val="20"/>
                <w:szCs w:val="20"/>
              </w:rPr>
            </w:pPr>
            <w:r>
              <w:rPr>
                <w:rFonts w:ascii="Arial" w:hAnsi="Arial" w:cs="Arial"/>
                <w:sz w:val="20"/>
                <w:szCs w:val="20"/>
              </w:rPr>
              <w:t>Inhibiteurs de SGLT2 = gliflozines</w:t>
            </w:r>
          </w:p>
        </w:tc>
        <w:tc>
          <w:tcPr>
            <w:tcW w:w="3485" w:type="dxa"/>
            <w:shd w:val="clear" w:color="auto" w:fill="E2EFD9" w:themeFill="accent6" w:themeFillTint="33"/>
            <w:vAlign w:val="center"/>
          </w:tcPr>
          <w:p w14:paraId="546EF6AA" w14:textId="77777777" w:rsidR="00ED4694" w:rsidRDefault="00ED4694" w:rsidP="00177C07">
            <w:pPr>
              <w:pStyle w:val="Sansinterligne"/>
              <w:jc w:val="center"/>
              <w:rPr>
                <w:rFonts w:ascii="Arial" w:hAnsi="Arial" w:cs="Arial"/>
                <w:sz w:val="20"/>
                <w:szCs w:val="20"/>
              </w:rPr>
            </w:pPr>
            <w:r>
              <w:rPr>
                <w:rFonts w:ascii="Arial" w:hAnsi="Arial" w:cs="Arial"/>
                <w:sz w:val="20"/>
                <w:szCs w:val="20"/>
              </w:rPr>
              <w:t>Canagliflozine, Dapagliflozine, Empagliflozine</w:t>
            </w:r>
          </w:p>
        </w:tc>
        <w:tc>
          <w:tcPr>
            <w:tcW w:w="3486" w:type="dxa"/>
            <w:shd w:val="clear" w:color="auto" w:fill="E2EFD9" w:themeFill="accent6" w:themeFillTint="33"/>
          </w:tcPr>
          <w:p w14:paraId="3FF9B199" w14:textId="77777777" w:rsidR="00ED4694" w:rsidRDefault="00ED4694" w:rsidP="00177C07">
            <w:pPr>
              <w:pStyle w:val="Sansinterligne"/>
              <w:jc w:val="both"/>
              <w:rPr>
                <w:rFonts w:ascii="Arial" w:hAnsi="Arial" w:cs="Arial"/>
                <w:sz w:val="20"/>
                <w:szCs w:val="20"/>
              </w:rPr>
            </w:pPr>
            <w:r>
              <w:rPr>
                <w:rFonts w:ascii="Arial" w:hAnsi="Arial" w:cs="Arial"/>
                <w:sz w:val="20"/>
                <w:szCs w:val="20"/>
              </w:rPr>
              <w:t>SGLT2 (rein)</w:t>
            </w:r>
          </w:p>
          <w:p w14:paraId="691F0C40" w14:textId="77777777" w:rsidR="00ED4694" w:rsidRDefault="00ED4694" w:rsidP="00177C07">
            <w:pPr>
              <w:pStyle w:val="Sansinterligne"/>
              <w:jc w:val="both"/>
              <w:rPr>
                <w:rFonts w:ascii="Arial" w:hAnsi="Arial" w:cs="Arial"/>
                <w:sz w:val="20"/>
                <w:szCs w:val="20"/>
              </w:rPr>
            </w:pPr>
            <w:r w:rsidRPr="003D03A1">
              <w:rPr>
                <w:rFonts w:ascii="Arial" w:hAnsi="Arial" w:cs="Arial"/>
                <w:sz w:val="20"/>
                <w:szCs w:val="20"/>
              </w:rPr>
              <w:t>↓</w:t>
            </w:r>
            <w:r>
              <w:rPr>
                <w:rFonts w:ascii="Arial" w:hAnsi="Arial" w:cs="Arial"/>
                <w:sz w:val="20"/>
                <w:szCs w:val="20"/>
              </w:rPr>
              <w:t xml:space="preserve"> réabsorption glucose</w:t>
            </w:r>
          </w:p>
        </w:tc>
      </w:tr>
      <w:tr w:rsidR="00ED4694" w14:paraId="74B9F5F4" w14:textId="77777777" w:rsidTr="00177C07">
        <w:tc>
          <w:tcPr>
            <w:tcW w:w="3485" w:type="dxa"/>
            <w:shd w:val="clear" w:color="auto" w:fill="E2EFD9" w:themeFill="accent6" w:themeFillTint="33"/>
            <w:vAlign w:val="center"/>
          </w:tcPr>
          <w:p w14:paraId="35E83B97" w14:textId="77777777" w:rsidR="00ED4694" w:rsidRDefault="00ED4694" w:rsidP="00177C07">
            <w:pPr>
              <w:pStyle w:val="Sansinterligne"/>
              <w:rPr>
                <w:rFonts w:ascii="Arial" w:hAnsi="Arial" w:cs="Arial"/>
                <w:sz w:val="20"/>
                <w:szCs w:val="20"/>
              </w:rPr>
            </w:pPr>
            <w:r>
              <w:rPr>
                <w:rFonts w:ascii="Arial" w:hAnsi="Arial" w:cs="Arial"/>
                <w:sz w:val="20"/>
                <w:szCs w:val="20"/>
              </w:rPr>
              <w:t>Inhibiteur d’</w:t>
            </w:r>
            <m:oMath>
              <m:r>
                <w:rPr>
                  <w:rFonts w:ascii="Cambria Math" w:hAnsi="Cambria Math" w:cs="Arial"/>
                  <w:sz w:val="20"/>
                  <w:szCs w:val="20"/>
                </w:rPr>
                <m:t>α</m:t>
              </m:r>
            </m:oMath>
            <w:r>
              <w:rPr>
                <w:rFonts w:ascii="Arial" w:eastAsiaTheme="minorEastAsia" w:hAnsi="Arial" w:cs="Arial"/>
                <w:sz w:val="20"/>
                <w:szCs w:val="20"/>
              </w:rPr>
              <w:t>-glucosidases</w:t>
            </w:r>
          </w:p>
        </w:tc>
        <w:tc>
          <w:tcPr>
            <w:tcW w:w="3485" w:type="dxa"/>
            <w:shd w:val="clear" w:color="auto" w:fill="E2EFD9" w:themeFill="accent6" w:themeFillTint="33"/>
            <w:vAlign w:val="center"/>
          </w:tcPr>
          <w:p w14:paraId="2942DB9C" w14:textId="77777777" w:rsidR="00ED4694" w:rsidRDefault="00ED4694" w:rsidP="00177C07">
            <w:pPr>
              <w:pStyle w:val="Sansinterligne"/>
              <w:jc w:val="center"/>
              <w:rPr>
                <w:rFonts w:ascii="Arial" w:hAnsi="Arial" w:cs="Arial"/>
                <w:sz w:val="20"/>
                <w:szCs w:val="20"/>
              </w:rPr>
            </w:pPr>
            <w:r>
              <w:rPr>
                <w:rFonts w:ascii="Arial" w:hAnsi="Arial" w:cs="Arial"/>
                <w:sz w:val="20"/>
                <w:szCs w:val="20"/>
              </w:rPr>
              <w:t>Acarbose</w:t>
            </w:r>
          </w:p>
        </w:tc>
        <w:tc>
          <w:tcPr>
            <w:tcW w:w="3486" w:type="dxa"/>
            <w:shd w:val="clear" w:color="auto" w:fill="E2EFD9" w:themeFill="accent6" w:themeFillTint="33"/>
          </w:tcPr>
          <w:p w14:paraId="04EFBBA7" w14:textId="77777777" w:rsidR="00ED4694" w:rsidRDefault="00ED4694" w:rsidP="00177C07">
            <w:pPr>
              <w:pStyle w:val="Sansinterligne"/>
              <w:jc w:val="both"/>
              <w:rPr>
                <w:rFonts w:ascii="Arial" w:eastAsiaTheme="minorEastAsia" w:hAnsi="Arial" w:cs="Arial"/>
                <w:sz w:val="20"/>
                <w:szCs w:val="20"/>
              </w:rPr>
            </w:pPr>
            <m:oMath>
              <m:r>
                <w:rPr>
                  <w:rFonts w:ascii="Cambria Math" w:hAnsi="Cambria Math" w:cs="Arial"/>
                  <w:sz w:val="20"/>
                  <w:szCs w:val="20"/>
                </w:rPr>
                <m:t>α</m:t>
              </m:r>
            </m:oMath>
            <w:r>
              <w:rPr>
                <w:rFonts w:ascii="Arial" w:eastAsiaTheme="minorEastAsia" w:hAnsi="Arial" w:cs="Arial"/>
                <w:sz w:val="20"/>
                <w:szCs w:val="20"/>
              </w:rPr>
              <w:t>-glucosidaes (intestin)</w:t>
            </w:r>
          </w:p>
          <w:p w14:paraId="7BFEB02F" w14:textId="77777777" w:rsidR="00ED4694" w:rsidRDefault="00ED4694" w:rsidP="00177C07">
            <w:pPr>
              <w:pStyle w:val="Sansinterligne"/>
              <w:jc w:val="both"/>
              <w:rPr>
                <w:rFonts w:ascii="Arial" w:hAnsi="Arial" w:cs="Arial"/>
                <w:sz w:val="20"/>
                <w:szCs w:val="20"/>
              </w:rPr>
            </w:pPr>
            <w:r w:rsidRPr="003D03A1">
              <w:rPr>
                <w:rFonts w:ascii="Arial" w:hAnsi="Arial" w:cs="Arial"/>
                <w:sz w:val="20"/>
                <w:szCs w:val="20"/>
              </w:rPr>
              <w:t>↓</w:t>
            </w:r>
            <w:r>
              <w:rPr>
                <w:rFonts w:ascii="Arial" w:hAnsi="Arial" w:cs="Arial"/>
                <w:sz w:val="20"/>
                <w:szCs w:val="20"/>
              </w:rPr>
              <w:t xml:space="preserve"> absorption sucres </w:t>
            </w:r>
          </w:p>
        </w:tc>
      </w:tr>
    </w:tbl>
    <w:p w14:paraId="1D1D8DA6" w14:textId="77777777" w:rsidR="00ED4694" w:rsidRDefault="00ED4694" w:rsidP="00ED4694">
      <w:pPr>
        <w:pStyle w:val="Sansinterligne"/>
        <w:jc w:val="both"/>
        <w:rPr>
          <w:rFonts w:cs="Calibri"/>
          <w:color w:val="000000" w:themeColor="text1"/>
          <w:sz w:val="20"/>
          <w:szCs w:val="20"/>
        </w:rPr>
      </w:pPr>
    </w:p>
    <w:p w14:paraId="11CFE476" w14:textId="77777777" w:rsidR="00ED4694" w:rsidRPr="0063686F" w:rsidRDefault="00ED4694" w:rsidP="00ED4694">
      <w:pPr>
        <w:pStyle w:val="Sansinterligne"/>
        <w:jc w:val="both"/>
        <w:rPr>
          <w:rFonts w:ascii="Arial" w:hAnsi="Arial" w:cs="Arial"/>
          <w:b/>
          <w:bCs/>
          <w:color w:val="000000" w:themeColor="text1"/>
          <w:sz w:val="20"/>
          <w:szCs w:val="20"/>
          <w:u w:val="single"/>
        </w:rPr>
      </w:pPr>
      <w:r w:rsidRPr="0063686F">
        <w:rPr>
          <w:rFonts w:ascii="Arial" w:hAnsi="Arial" w:cs="Arial"/>
          <w:b/>
          <w:bCs/>
          <w:color w:val="000000" w:themeColor="text1"/>
          <w:sz w:val="20"/>
          <w:szCs w:val="20"/>
          <w:highlight w:val="yellow"/>
          <w:u w:val="single"/>
        </w:rPr>
        <w:lastRenderedPageBreak/>
        <w:t>CM1</w:t>
      </w:r>
      <w:r w:rsidRPr="002D593D">
        <w:rPr>
          <w:rFonts w:ascii="Arial" w:hAnsi="Arial" w:cs="Arial"/>
          <w:b/>
          <w:bCs/>
          <w:color w:val="000000" w:themeColor="text1"/>
          <w:sz w:val="20"/>
          <w:szCs w:val="20"/>
          <w:highlight w:val="yellow"/>
          <w:u w:val="single"/>
        </w:rPr>
        <w:t>5</w:t>
      </w:r>
      <w:r w:rsidRPr="0063686F">
        <w:rPr>
          <w:rFonts w:ascii="Arial" w:hAnsi="Arial" w:cs="Arial"/>
          <w:b/>
          <w:bCs/>
          <w:color w:val="000000" w:themeColor="text1"/>
          <w:sz w:val="20"/>
          <w:szCs w:val="20"/>
          <w:u w:val="single"/>
        </w:rPr>
        <w:t xml:space="preserve"> - Pharmacie clinique et Diabète de type 2</w:t>
      </w:r>
      <w:r>
        <w:rPr>
          <w:rFonts w:ascii="Arial" w:hAnsi="Arial" w:cs="Arial"/>
          <w:b/>
          <w:bCs/>
          <w:color w:val="000000" w:themeColor="text1"/>
          <w:sz w:val="20"/>
          <w:szCs w:val="20"/>
          <w:u w:val="single"/>
        </w:rPr>
        <w:t> :</w:t>
      </w:r>
    </w:p>
    <w:p w14:paraId="6F7C3D75" w14:textId="77777777" w:rsidR="00ED4694" w:rsidRPr="0063686F" w:rsidRDefault="00ED4694" w:rsidP="00ED4694">
      <w:pPr>
        <w:pStyle w:val="Sansinterligne"/>
        <w:jc w:val="both"/>
        <w:rPr>
          <w:rFonts w:ascii="Arial" w:hAnsi="Arial" w:cs="Arial"/>
          <w:color w:val="000000" w:themeColor="text1"/>
          <w:sz w:val="20"/>
          <w:szCs w:val="20"/>
        </w:rPr>
      </w:pPr>
    </w:p>
    <w:p w14:paraId="0C4EB35C" w14:textId="77777777" w:rsidR="00ED4694" w:rsidRPr="0063686F" w:rsidRDefault="00ED4694" w:rsidP="00ED4694">
      <w:pPr>
        <w:pStyle w:val="Sansinterligne"/>
        <w:jc w:val="both"/>
        <w:rPr>
          <w:rFonts w:ascii="Arial" w:hAnsi="Arial" w:cs="Arial"/>
          <w:color w:val="000000" w:themeColor="text1"/>
          <w:sz w:val="20"/>
          <w:szCs w:val="20"/>
        </w:rPr>
      </w:pPr>
      <w:r w:rsidRPr="0063686F">
        <w:rPr>
          <w:rFonts w:ascii="Arial" w:hAnsi="Arial" w:cs="Arial"/>
          <w:noProof/>
          <w:color w:val="000000" w:themeColor="text1"/>
          <w:sz w:val="20"/>
          <w:szCs w:val="20"/>
        </w:rPr>
        <w:drawing>
          <wp:anchor distT="0" distB="0" distL="114300" distR="114300" simplePos="0" relativeHeight="251761664" behindDoc="1" locked="0" layoutInCell="1" allowOverlap="1" wp14:anchorId="79A3D71E" wp14:editId="1D80953C">
            <wp:simplePos x="0" y="0"/>
            <wp:positionH relativeFrom="column">
              <wp:posOffset>3243094</wp:posOffset>
            </wp:positionH>
            <wp:positionV relativeFrom="paragraph">
              <wp:posOffset>315632</wp:posOffset>
            </wp:positionV>
            <wp:extent cx="3608705" cy="1806575"/>
            <wp:effectExtent l="0" t="0" r="0" b="0"/>
            <wp:wrapTight wrapText="bothSides">
              <wp:wrapPolygon edited="0">
                <wp:start x="0" y="0"/>
                <wp:lineTo x="0" y="21410"/>
                <wp:lineTo x="21513" y="21410"/>
                <wp:lineTo x="21513" y="0"/>
                <wp:lineTo x="0" y="0"/>
              </wp:wrapPolygon>
            </wp:wrapTight>
            <wp:docPr id="80878962" name="Image 343" descr="page6image38136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6image3813694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608705" cy="1806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686F">
        <w:rPr>
          <w:rFonts w:ascii="Arial" w:hAnsi="Arial" w:cs="Arial"/>
          <w:color w:val="000000" w:themeColor="text1"/>
          <w:sz w:val="20"/>
          <w:szCs w:val="20"/>
        </w:rPr>
        <w:t>Monsieur M 85 ans, 75kg</w:t>
      </w:r>
      <w:r>
        <w:rPr>
          <w:rFonts w:ascii="Arial" w:hAnsi="Arial" w:cs="Arial"/>
          <w:color w:val="000000" w:themeColor="text1"/>
          <w:sz w:val="20"/>
          <w:szCs w:val="20"/>
        </w:rPr>
        <w:t> :</w:t>
      </w:r>
    </w:p>
    <w:p w14:paraId="42437BA8" w14:textId="77777777" w:rsidR="00ED4694" w:rsidRPr="0063686F" w:rsidRDefault="00ED4694" w:rsidP="00ED4694">
      <w:pPr>
        <w:pStyle w:val="Sansinterligne"/>
        <w:jc w:val="both"/>
        <w:rPr>
          <w:rFonts w:ascii="Arial" w:hAnsi="Arial" w:cs="Arial"/>
          <w:color w:val="000000" w:themeColor="text1"/>
          <w:sz w:val="20"/>
          <w:szCs w:val="20"/>
        </w:rPr>
      </w:pPr>
      <w:r w:rsidRPr="0063686F">
        <w:rPr>
          <w:rFonts w:ascii="Arial" w:hAnsi="Arial" w:cs="Arial"/>
          <w:color w:val="000000" w:themeColor="text1"/>
          <w:sz w:val="20"/>
          <w:szCs w:val="20"/>
        </w:rPr>
        <w:fldChar w:fldCharType="begin"/>
      </w:r>
      <w:r w:rsidRPr="0063686F">
        <w:rPr>
          <w:rFonts w:ascii="Arial" w:hAnsi="Arial" w:cs="Arial"/>
          <w:color w:val="000000" w:themeColor="text1"/>
          <w:sz w:val="20"/>
          <w:szCs w:val="20"/>
        </w:rPr>
        <w:instrText xml:space="preserve"> INCLUDEPICTURE "/Users/alienorprudhomme/Library/Group Containers/UBF8T346G9.ms/WebArchiveCopyPasteTempFiles/com.microsoft.Word/page5image555688224" \* MERGEFORMATINET </w:instrText>
      </w:r>
      <w:r w:rsidRPr="0063686F">
        <w:rPr>
          <w:rFonts w:ascii="Arial" w:hAnsi="Arial" w:cs="Arial"/>
          <w:color w:val="000000" w:themeColor="text1"/>
          <w:sz w:val="20"/>
          <w:szCs w:val="20"/>
        </w:rPr>
        <w:fldChar w:fldCharType="separate"/>
      </w:r>
      <w:r w:rsidRPr="0063686F">
        <w:rPr>
          <w:rFonts w:ascii="Arial" w:hAnsi="Arial" w:cs="Arial"/>
          <w:noProof/>
          <w:color w:val="000000" w:themeColor="text1"/>
          <w:sz w:val="20"/>
          <w:szCs w:val="20"/>
        </w:rPr>
        <w:drawing>
          <wp:anchor distT="0" distB="0" distL="114300" distR="114300" simplePos="0" relativeHeight="251762688" behindDoc="1" locked="0" layoutInCell="1" allowOverlap="1" wp14:anchorId="68E9D185" wp14:editId="6D17DA64">
            <wp:simplePos x="0" y="0"/>
            <wp:positionH relativeFrom="column">
              <wp:posOffset>5080</wp:posOffset>
            </wp:positionH>
            <wp:positionV relativeFrom="paragraph">
              <wp:posOffset>0</wp:posOffset>
            </wp:positionV>
            <wp:extent cx="3161665" cy="2291080"/>
            <wp:effectExtent l="0" t="0" r="635" b="0"/>
            <wp:wrapTight wrapText="bothSides">
              <wp:wrapPolygon edited="0">
                <wp:start x="0" y="0"/>
                <wp:lineTo x="0" y="21432"/>
                <wp:lineTo x="21518" y="21432"/>
                <wp:lineTo x="21518" y="0"/>
                <wp:lineTo x="0" y="0"/>
              </wp:wrapPolygon>
            </wp:wrapTight>
            <wp:docPr id="496278597" name="Image 345" descr="page5image55568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5image55568822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61665" cy="229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686F">
        <w:rPr>
          <w:rFonts w:ascii="Arial" w:hAnsi="Arial" w:cs="Arial"/>
          <w:color w:val="000000" w:themeColor="text1"/>
          <w:sz w:val="20"/>
          <w:szCs w:val="20"/>
        </w:rPr>
        <w:fldChar w:fldCharType="end"/>
      </w:r>
    </w:p>
    <w:p w14:paraId="31EBAE74" w14:textId="77777777" w:rsidR="00ED4694" w:rsidRDefault="00ED4694" w:rsidP="00ED4694">
      <w:pPr>
        <w:pStyle w:val="Sansinterligne"/>
        <w:jc w:val="both"/>
        <w:rPr>
          <w:rFonts w:ascii="Arial" w:hAnsi="Arial" w:cs="Arial"/>
          <w:color w:val="000000" w:themeColor="text1"/>
          <w:sz w:val="20"/>
          <w:szCs w:val="20"/>
        </w:rPr>
      </w:pPr>
      <w:r w:rsidRPr="0063686F">
        <w:rPr>
          <w:rFonts w:ascii="Arial" w:hAnsi="Arial" w:cs="Arial"/>
          <w:color w:val="000000" w:themeColor="text1"/>
          <w:sz w:val="20"/>
          <w:szCs w:val="20"/>
        </w:rPr>
        <w:fldChar w:fldCharType="begin"/>
      </w:r>
      <w:r w:rsidRPr="0063686F">
        <w:rPr>
          <w:rFonts w:ascii="Arial" w:hAnsi="Arial" w:cs="Arial"/>
          <w:color w:val="000000" w:themeColor="text1"/>
          <w:sz w:val="20"/>
          <w:szCs w:val="20"/>
        </w:rPr>
        <w:instrText xml:space="preserve"> INCLUDEPICTURE "/Users/alienorprudhomme/Library/Group Containers/UBF8T346G9.ms/WebArchiveCopyPasteTempFiles/com.microsoft.Word/page6image381369424" \* MERGEFORMATINET </w:instrText>
      </w:r>
      <w:r w:rsidRPr="0063686F">
        <w:rPr>
          <w:rFonts w:ascii="Arial" w:hAnsi="Arial" w:cs="Arial"/>
          <w:color w:val="000000" w:themeColor="text1"/>
          <w:sz w:val="20"/>
          <w:szCs w:val="20"/>
        </w:rPr>
        <w:fldChar w:fldCharType="separate"/>
      </w:r>
      <w:r w:rsidRPr="0063686F">
        <w:rPr>
          <w:rFonts w:ascii="Arial" w:hAnsi="Arial" w:cs="Arial"/>
          <w:color w:val="000000" w:themeColor="text1"/>
          <w:sz w:val="20"/>
          <w:szCs w:val="20"/>
        </w:rPr>
        <w:fldChar w:fldCharType="end"/>
      </w:r>
      <w:r w:rsidRPr="0063686F">
        <w:rPr>
          <w:rFonts w:ascii="Arial" w:hAnsi="Arial" w:cs="Arial"/>
          <w:color w:val="000000" w:themeColor="text1"/>
          <w:sz w:val="20"/>
          <w:szCs w:val="20"/>
        </w:rPr>
        <w:t xml:space="preserve"> </w:t>
      </w:r>
    </w:p>
    <w:p w14:paraId="39906A7D" w14:textId="77777777" w:rsidR="00ED4694" w:rsidRDefault="00ED4694" w:rsidP="00ED4694">
      <w:pPr>
        <w:pStyle w:val="Sansinterligne"/>
        <w:jc w:val="both"/>
        <w:rPr>
          <w:rFonts w:ascii="Arial" w:hAnsi="Arial" w:cs="Arial"/>
          <w:color w:val="000000" w:themeColor="text1"/>
          <w:sz w:val="20"/>
          <w:szCs w:val="20"/>
        </w:rPr>
      </w:pPr>
    </w:p>
    <w:p w14:paraId="745208C9" w14:textId="77777777" w:rsidR="00ED4694" w:rsidRPr="0063686F" w:rsidRDefault="00ED4694" w:rsidP="00ED4694">
      <w:pPr>
        <w:pStyle w:val="Sansinterligne"/>
        <w:jc w:val="both"/>
        <w:rPr>
          <w:rFonts w:ascii="Arial" w:hAnsi="Arial" w:cs="Arial"/>
          <w:color w:val="000000" w:themeColor="text1"/>
          <w:sz w:val="20"/>
          <w:szCs w:val="20"/>
        </w:rPr>
      </w:pPr>
    </w:p>
    <w:p w14:paraId="0A27FCE3" w14:textId="77777777" w:rsidR="00ED4694" w:rsidRPr="0063686F" w:rsidRDefault="00ED4694" w:rsidP="00ED4694">
      <w:pPr>
        <w:pStyle w:val="Sansinterligne"/>
        <w:jc w:val="both"/>
        <w:rPr>
          <w:rFonts w:ascii="Arial" w:hAnsi="Arial" w:cs="Arial"/>
          <w:color w:val="000000" w:themeColor="text1"/>
          <w:sz w:val="20"/>
          <w:szCs w:val="20"/>
        </w:rPr>
      </w:pPr>
      <w:r w:rsidRPr="0063686F">
        <w:rPr>
          <w:rFonts w:ascii="Arial" w:hAnsi="Arial" w:cs="Arial"/>
          <w:color w:val="000000" w:themeColor="text1"/>
          <w:sz w:val="20"/>
          <w:szCs w:val="20"/>
        </w:rPr>
        <w:t>Diabète de type 2 : Maladie évolu</w:t>
      </w:r>
      <w:r>
        <w:rPr>
          <w:rFonts w:ascii="Arial" w:hAnsi="Arial" w:cs="Arial"/>
          <w:color w:val="000000" w:themeColor="text1"/>
          <w:sz w:val="20"/>
          <w:szCs w:val="20"/>
        </w:rPr>
        <w:t>ti</w:t>
      </w:r>
      <w:r w:rsidRPr="0063686F">
        <w:rPr>
          <w:rFonts w:ascii="Arial" w:hAnsi="Arial" w:cs="Arial"/>
          <w:color w:val="000000" w:themeColor="text1"/>
          <w:sz w:val="20"/>
          <w:szCs w:val="20"/>
        </w:rPr>
        <w:t>ve bipolaire</w:t>
      </w:r>
      <w:r>
        <w:rPr>
          <w:rFonts w:ascii="Arial" w:hAnsi="Arial" w:cs="Arial"/>
          <w:color w:val="000000" w:themeColor="text1"/>
          <w:sz w:val="20"/>
          <w:szCs w:val="20"/>
        </w:rPr>
        <w:t>,</w:t>
      </w:r>
      <w:r w:rsidRPr="0063686F">
        <w:rPr>
          <w:rFonts w:ascii="Arial" w:hAnsi="Arial" w:cs="Arial"/>
          <w:color w:val="000000" w:themeColor="text1"/>
          <w:sz w:val="20"/>
          <w:szCs w:val="20"/>
        </w:rPr>
        <w:t xml:space="preserve"> </w:t>
      </w:r>
      <w:r>
        <w:rPr>
          <w:rFonts w:ascii="Arial" w:hAnsi="Arial" w:cs="Arial"/>
          <w:color w:val="000000" w:themeColor="text1"/>
          <w:sz w:val="20"/>
          <w:szCs w:val="20"/>
        </w:rPr>
        <w:t>g</w:t>
      </w:r>
      <w:r w:rsidRPr="0063686F">
        <w:rPr>
          <w:rFonts w:ascii="Arial" w:hAnsi="Arial" w:cs="Arial"/>
          <w:color w:val="000000" w:themeColor="text1"/>
          <w:sz w:val="20"/>
          <w:szCs w:val="20"/>
        </w:rPr>
        <w:t>rave et fréquente en France, sa prévalence a</w:t>
      </w:r>
      <w:r>
        <w:rPr>
          <w:rFonts w:ascii="Arial" w:hAnsi="Arial" w:cs="Arial"/>
          <w:color w:val="000000" w:themeColor="text1"/>
          <w:sz w:val="20"/>
          <w:szCs w:val="20"/>
        </w:rPr>
        <w:t>tt</w:t>
      </w:r>
      <w:r w:rsidRPr="0063686F">
        <w:rPr>
          <w:rFonts w:ascii="Arial" w:hAnsi="Arial" w:cs="Arial"/>
          <w:color w:val="000000" w:themeColor="text1"/>
          <w:sz w:val="20"/>
          <w:szCs w:val="20"/>
        </w:rPr>
        <w:t>eint 5% de la popula</w:t>
      </w:r>
      <w:r>
        <w:rPr>
          <w:rFonts w:ascii="Arial" w:hAnsi="Arial" w:cs="Arial"/>
          <w:color w:val="000000" w:themeColor="text1"/>
          <w:sz w:val="20"/>
          <w:szCs w:val="20"/>
        </w:rPr>
        <w:t>ti</w:t>
      </w:r>
      <w:r w:rsidRPr="0063686F">
        <w:rPr>
          <w:rFonts w:ascii="Arial" w:hAnsi="Arial" w:cs="Arial"/>
          <w:color w:val="000000" w:themeColor="text1"/>
          <w:sz w:val="20"/>
          <w:szCs w:val="20"/>
        </w:rPr>
        <w:t xml:space="preserve">on </w:t>
      </w:r>
    </w:p>
    <w:p w14:paraId="3B1D394D" w14:textId="77777777" w:rsidR="00ED4694" w:rsidRPr="0063686F" w:rsidRDefault="00ED4694" w:rsidP="00ED4694">
      <w:pPr>
        <w:pStyle w:val="Sansinterligne"/>
        <w:jc w:val="both"/>
        <w:rPr>
          <w:rFonts w:ascii="Arial" w:hAnsi="Arial" w:cs="Arial"/>
          <w:color w:val="000000" w:themeColor="text1"/>
          <w:sz w:val="20"/>
          <w:szCs w:val="20"/>
        </w:rPr>
      </w:pPr>
      <w:r w:rsidRPr="0063686F">
        <w:rPr>
          <w:rFonts w:ascii="Arial" w:hAnsi="Arial" w:cs="Arial"/>
          <w:color w:val="000000" w:themeColor="text1"/>
          <w:sz w:val="20"/>
          <w:szCs w:val="20"/>
        </w:rPr>
        <w:fldChar w:fldCharType="begin"/>
      </w:r>
      <w:r w:rsidRPr="0063686F">
        <w:rPr>
          <w:rFonts w:ascii="Arial" w:hAnsi="Arial" w:cs="Arial"/>
          <w:color w:val="000000" w:themeColor="text1"/>
          <w:sz w:val="20"/>
          <w:szCs w:val="20"/>
        </w:rPr>
        <w:instrText xml:space="preserve"> INCLUDEPICTURE "/Users/alienorprudhomme/Library/Group Containers/UBF8T346G9.ms/WebArchiveCopyPasteTempFiles/com.microsoft.Word/page7image268103920" \* MERGEFORMATINET </w:instrText>
      </w:r>
      <w:r w:rsidRPr="0063686F">
        <w:rPr>
          <w:rFonts w:ascii="Arial" w:hAnsi="Arial" w:cs="Arial"/>
          <w:color w:val="000000" w:themeColor="text1"/>
          <w:sz w:val="20"/>
          <w:szCs w:val="20"/>
        </w:rPr>
        <w:fldChar w:fldCharType="separate"/>
      </w:r>
      <w:r w:rsidRPr="0063686F">
        <w:rPr>
          <w:rFonts w:ascii="Arial" w:hAnsi="Arial" w:cs="Arial"/>
          <w:noProof/>
          <w:color w:val="000000" w:themeColor="text1"/>
          <w:sz w:val="20"/>
          <w:szCs w:val="20"/>
        </w:rPr>
        <w:drawing>
          <wp:anchor distT="0" distB="0" distL="114300" distR="114300" simplePos="0" relativeHeight="251763712" behindDoc="1" locked="0" layoutInCell="1" allowOverlap="1" wp14:anchorId="472230EE" wp14:editId="05BBE505">
            <wp:simplePos x="0" y="0"/>
            <wp:positionH relativeFrom="column">
              <wp:posOffset>5080</wp:posOffset>
            </wp:positionH>
            <wp:positionV relativeFrom="paragraph">
              <wp:posOffset>4445</wp:posOffset>
            </wp:positionV>
            <wp:extent cx="4532630" cy="2145665"/>
            <wp:effectExtent l="0" t="0" r="1270" b="635"/>
            <wp:wrapTight wrapText="bothSides">
              <wp:wrapPolygon edited="0">
                <wp:start x="0" y="0"/>
                <wp:lineTo x="0" y="21479"/>
                <wp:lineTo x="21546" y="21479"/>
                <wp:lineTo x="21546" y="0"/>
                <wp:lineTo x="0" y="0"/>
              </wp:wrapPolygon>
            </wp:wrapTight>
            <wp:docPr id="82416426" name="Image 341" descr="page7image26810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7image26810392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32630" cy="2145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686F">
        <w:rPr>
          <w:rFonts w:ascii="Arial" w:hAnsi="Arial" w:cs="Arial"/>
          <w:color w:val="000000" w:themeColor="text1"/>
          <w:sz w:val="20"/>
          <w:szCs w:val="20"/>
        </w:rPr>
        <w:fldChar w:fldCharType="end"/>
      </w:r>
    </w:p>
    <w:p w14:paraId="6B2C1896"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insuffisance de l’insulino-sécrétion par les cellules ß pancréatiques </w:t>
      </w:r>
    </w:p>
    <w:p w14:paraId="15B815A0"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insulinorésistance des tissus périphériques </w:t>
      </w:r>
    </w:p>
    <w:p w14:paraId="52225A97" w14:textId="77777777" w:rsidR="00ED4694" w:rsidRDefault="00ED4694" w:rsidP="00ED4694">
      <w:pPr>
        <w:pStyle w:val="Sansinterligne"/>
        <w:jc w:val="both"/>
        <w:rPr>
          <w:rFonts w:ascii="Arial" w:hAnsi="Arial" w:cs="Arial"/>
          <w:color w:val="000000" w:themeColor="text1"/>
          <w:sz w:val="20"/>
          <w:szCs w:val="20"/>
        </w:rPr>
      </w:pPr>
    </w:p>
    <w:p w14:paraId="0AFA26EE" w14:textId="77777777" w:rsidR="00ED4694" w:rsidRDefault="00ED4694" w:rsidP="00ED4694">
      <w:pPr>
        <w:pStyle w:val="Sansinterligne"/>
        <w:jc w:val="both"/>
        <w:rPr>
          <w:rFonts w:ascii="Arial" w:hAnsi="Arial" w:cs="Arial"/>
          <w:color w:val="000000" w:themeColor="text1"/>
          <w:sz w:val="20"/>
          <w:szCs w:val="20"/>
        </w:rPr>
      </w:pPr>
    </w:p>
    <w:p w14:paraId="39B4244B" w14:textId="77777777" w:rsidR="00ED4694" w:rsidRDefault="00ED4694" w:rsidP="00ED4694">
      <w:pPr>
        <w:pStyle w:val="Sansinterligne"/>
        <w:jc w:val="both"/>
        <w:rPr>
          <w:rFonts w:ascii="Arial" w:hAnsi="Arial" w:cs="Arial"/>
          <w:color w:val="000000" w:themeColor="text1"/>
          <w:sz w:val="20"/>
          <w:szCs w:val="20"/>
        </w:rPr>
      </w:pPr>
    </w:p>
    <w:p w14:paraId="4EE1350D" w14:textId="77777777" w:rsidR="00ED4694" w:rsidRDefault="00ED4694" w:rsidP="00ED4694">
      <w:pPr>
        <w:pStyle w:val="Sansinterligne"/>
        <w:jc w:val="both"/>
        <w:rPr>
          <w:rFonts w:ascii="Arial" w:hAnsi="Arial" w:cs="Arial"/>
          <w:color w:val="000000" w:themeColor="text1"/>
          <w:sz w:val="20"/>
          <w:szCs w:val="20"/>
        </w:rPr>
      </w:pPr>
    </w:p>
    <w:p w14:paraId="30BD0B77" w14:textId="77777777" w:rsidR="00ED4694" w:rsidRDefault="00ED4694" w:rsidP="00ED4694">
      <w:pPr>
        <w:pStyle w:val="Sansinterligne"/>
        <w:jc w:val="both"/>
        <w:rPr>
          <w:rFonts w:ascii="Arial" w:hAnsi="Arial" w:cs="Arial"/>
          <w:color w:val="000000" w:themeColor="text1"/>
          <w:sz w:val="20"/>
          <w:szCs w:val="20"/>
        </w:rPr>
      </w:pPr>
    </w:p>
    <w:p w14:paraId="5F6DA29B" w14:textId="77777777" w:rsidR="00ED4694" w:rsidRDefault="00ED4694" w:rsidP="00ED4694">
      <w:pPr>
        <w:pStyle w:val="Sansinterligne"/>
        <w:jc w:val="both"/>
        <w:rPr>
          <w:rFonts w:ascii="Arial" w:hAnsi="Arial" w:cs="Arial"/>
          <w:color w:val="000000" w:themeColor="text1"/>
          <w:sz w:val="20"/>
          <w:szCs w:val="20"/>
        </w:rPr>
      </w:pPr>
    </w:p>
    <w:p w14:paraId="0C03EE00" w14:textId="77777777" w:rsidR="00ED4694" w:rsidRDefault="00ED4694" w:rsidP="00ED4694">
      <w:pPr>
        <w:pStyle w:val="Sansinterligne"/>
        <w:jc w:val="both"/>
        <w:rPr>
          <w:rFonts w:ascii="Arial" w:hAnsi="Arial" w:cs="Arial"/>
          <w:color w:val="000000" w:themeColor="text1"/>
          <w:sz w:val="20"/>
          <w:szCs w:val="20"/>
        </w:rPr>
      </w:pPr>
    </w:p>
    <w:p w14:paraId="0DCE39BD" w14:textId="77777777" w:rsidR="00ED4694" w:rsidRDefault="00ED4694" w:rsidP="00ED4694">
      <w:pPr>
        <w:pStyle w:val="Sansinterligne"/>
        <w:jc w:val="both"/>
        <w:rPr>
          <w:rFonts w:ascii="Arial" w:hAnsi="Arial" w:cs="Arial"/>
          <w:color w:val="000000" w:themeColor="text1"/>
          <w:sz w:val="20"/>
          <w:szCs w:val="20"/>
        </w:rPr>
      </w:pPr>
    </w:p>
    <w:p w14:paraId="3B89C2EE" w14:textId="77777777" w:rsidR="00ED4694" w:rsidRDefault="00ED4694" w:rsidP="00ED4694">
      <w:pPr>
        <w:pStyle w:val="Sansinterligne"/>
        <w:jc w:val="both"/>
        <w:rPr>
          <w:rFonts w:ascii="Arial" w:hAnsi="Arial" w:cs="Arial"/>
          <w:color w:val="000000" w:themeColor="text1"/>
          <w:sz w:val="20"/>
          <w:szCs w:val="20"/>
        </w:rPr>
      </w:pPr>
    </w:p>
    <w:p w14:paraId="2F07F1F0" w14:textId="77777777" w:rsidR="00ED4694" w:rsidRDefault="00ED4694" w:rsidP="00ED4694">
      <w:pPr>
        <w:pStyle w:val="Sansinterligne"/>
        <w:jc w:val="both"/>
        <w:rPr>
          <w:rFonts w:ascii="Arial" w:hAnsi="Arial" w:cs="Arial"/>
          <w:color w:val="000000" w:themeColor="text1"/>
          <w:sz w:val="20"/>
          <w:szCs w:val="20"/>
        </w:rPr>
      </w:pPr>
    </w:p>
    <w:p w14:paraId="5ED956FB" w14:textId="77777777" w:rsidR="00ED4694" w:rsidRPr="00630722" w:rsidRDefault="00ED4694" w:rsidP="00ED4694">
      <w:pPr>
        <w:pStyle w:val="Sansinterligne"/>
        <w:numPr>
          <w:ilvl w:val="0"/>
          <w:numId w:val="236"/>
        </w:numPr>
        <w:jc w:val="both"/>
        <w:rPr>
          <w:rFonts w:ascii="Arial" w:hAnsi="Arial" w:cs="Arial"/>
          <w:b/>
          <w:bCs/>
          <w:color w:val="00B0F0"/>
          <w:sz w:val="20"/>
          <w:szCs w:val="20"/>
          <w:u w:val="single"/>
        </w:rPr>
      </w:pPr>
      <w:r w:rsidRPr="00630722">
        <w:rPr>
          <w:rFonts w:ascii="Arial" w:hAnsi="Arial" w:cs="Arial"/>
          <w:b/>
          <w:bCs/>
          <w:color w:val="00B0F0"/>
          <w:sz w:val="20"/>
          <w:szCs w:val="20"/>
          <w:u w:val="single"/>
        </w:rPr>
        <w:t xml:space="preserve">Stratégie thérapeutique </w:t>
      </w:r>
    </w:p>
    <w:p w14:paraId="52EAD05F" w14:textId="77777777" w:rsidR="00ED4694" w:rsidRDefault="00ED4694" w:rsidP="00ED4694">
      <w:pPr>
        <w:pStyle w:val="Sansinterligne"/>
        <w:jc w:val="both"/>
        <w:rPr>
          <w:rFonts w:ascii="Arial" w:hAnsi="Arial" w:cs="Arial"/>
          <w:color w:val="000000" w:themeColor="text1"/>
          <w:sz w:val="20"/>
          <w:szCs w:val="20"/>
        </w:rPr>
      </w:pPr>
      <w:r w:rsidRPr="0063686F">
        <w:rPr>
          <w:rFonts w:ascii="Arial" w:hAnsi="Arial" w:cs="Arial"/>
          <w:color w:val="000000" w:themeColor="text1"/>
          <w:sz w:val="20"/>
          <w:szCs w:val="20"/>
        </w:rPr>
        <w:t xml:space="preserve">Premier traitement du </w:t>
      </w:r>
      <w:r>
        <w:rPr>
          <w:rFonts w:ascii="Arial" w:hAnsi="Arial" w:cs="Arial"/>
          <w:color w:val="000000" w:themeColor="text1"/>
          <w:sz w:val="20"/>
          <w:szCs w:val="20"/>
        </w:rPr>
        <w:t xml:space="preserve">DT2 </w:t>
      </w:r>
      <w:r w:rsidRPr="0063686F">
        <w:rPr>
          <w:rFonts w:ascii="Arial" w:hAnsi="Arial" w:cs="Arial"/>
          <w:color w:val="000000" w:themeColor="text1"/>
          <w:sz w:val="20"/>
          <w:szCs w:val="20"/>
        </w:rPr>
        <w:t xml:space="preserve">: </w:t>
      </w:r>
      <w:r>
        <w:rPr>
          <w:rFonts w:ascii="Arial" w:hAnsi="Arial" w:cs="Arial"/>
          <w:color w:val="000000" w:themeColor="text1"/>
          <w:sz w:val="20"/>
          <w:szCs w:val="20"/>
        </w:rPr>
        <w:t>r</w:t>
      </w:r>
      <w:r w:rsidRPr="0063686F">
        <w:rPr>
          <w:rFonts w:ascii="Arial" w:hAnsi="Arial" w:cs="Arial"/>
          <w:color w:val="000000" w:themeColor="text1"/>
          <w:sz w:val="20"/>
          <w:szCs w:val="20"/>
        </w:rPr>
        <w:t>ègles diététiques</w:t>
      </w:r>
      <w:r>
        <w:rPr>
          <w:rFonts w:ascii="Arial" w:hAnsi="Arial" w:cs="Arial"/>
          <w:color w:val="000000" w:themeColor="text1"/>
          <w:sz w:val="20"/>
          <w:szCs w:val="20"/>
        </w:rPr>
        <w:t>, à</w:t>
      </w:r>
      <w:r w:rsidRPr="0063686F">
        <w:rPr>
          <w:rFonts w:ascii="Arial" w:hAnsi="Arial" w:cs="Arial"/>
          <w:color w:val="000000" w:themeColor="text1"/>
          <w:sz w:val="20"/>
          <w:szCs w:val="20"/>
        </w:rPr>
        <w:t xml:space="preserve"> maintenir toute la vie du pa</w:t>
      </w:r>
      <w:r>
        <w:rPr>
          <w:rFonts w:ascii="Arial" w:hAnsi="Arial" w:cs="Arial"/>
          <w:color w:val="000000" w:themeColor="text1"/>
          <w:sz w:val="20"/>
          <w:szCs w:val="20"/>
        </w:rPr>
        <w:t>ti</w:t>
      </w:r>
      <w:r w:rsidRPr="0063686F">
        <w:rPr>
          <w:rFonts w:ascii="Arial" w:hAnsi="Arial" w:cs="Arial"/>
          <w:color w:val="000000" w:themeColor="text1"/>
          <w:sz w:val="20"/>
          <w:szCs w:val="20"/>
        </w:rPr>
        <w:t>ent</w:t>
      </w:r>
      <w:r>
        <w:rPr>
          <w:rFonts w:ascii="Arial" w:hAnsi="Arial" w:cs="Arial"/>
          <w:color w:val="000000" w:themeColor="text1"/>
          <w:sz w:val="20"/>
          <w:szCs w:val="20"/>
        </w:rPr>
        <w:t xml:space="preserve">. </w:t>
      </w:r>
    </w:p>
    <w:p w14:paraId="1548A9A7" w14:textId="77777777" w:rsidR="00ED4694" w:rsidRPr="00524024" w:rsidRDefault="00ED4694" w:rsidP="00ED4694">
      <w:pPr>
        <w:pStyle w:val="Sansinterligne"/>
        <w:jc w:val="both"/>
        <w:rPr>
          <w:rFonts w:ascii="Arial" w:hAnsi="Arial" w:cs="Arial"/>
          <w:color w:val="000000" w:themeColor="text1"/>
          <w:sz w:val="20"/>
          <w:szCs w:val="20"/>
        </w:rPr>
      </w:pPr>
      <w:r w:rsidRPr="00524024">
        <w:rPr>
          <w:rFonts w:ascii="Arial" w:hAnsi="Arial" w:cs="Arial"/>
          <w:color w:val="000000" w:themeColor="text1"/>
          <w:sz w:val="20"/>
          <w:szCs w:val="20"/>
          <w:u w:val="single"/>
        </w:rPr>
        <w:t>Objectifs</w:t>
      </w:r>
      <w:r>
        <w:rPr>
          <w:rFonts w:ascii="Arial" w:hAnsi="Arial" w:cs="Arial"/>
          <w:color w:val="000000" w:themeColor="text1"/>
          <w:sz w:val="20"/>
          <w:szCs w:val="20"/>
        </w:rPr>
        <w:t xml:space="preserve"> </w:t>
      </w:r>
      <w:r w:rsidRPr="00524024">
        <w:rPr>
          <w:rFonts w:ascii="Arial" w:hAnsi="Arial" w:cs="Arial"/>
          <w:color w:val="000000" w:themeColor="text1"/>
          <w:sz w:val="20"/>
          <w:szCs w:val="20"/>
        </w:rPr>
        <w:t xml:space="preserve">: </w:t>
      </w:r>
    </w:p>
    <w:p w14:paraId="1FA116AE"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Limiter fluctua</w:t>
      </w:r>
      <w:r>
        <w:rPr>
          <w:rFonts w:ascii="Arial" w:hAnsi="Arial" w:cs="Arial"/>
          <w:color w:val="000000" w:themeColor="text1"/>
          <w:sz w:val="20"/>
          <w:szCs w:val="20"/>
        </w:rPr>
        <w:t>ti</w:t>
      </w:r>
      <w:r w:rsidRPr="0063686F">
        <w:rPr>
          <w:rFonts w:ascii="Arial" w:hAnsi="Arial" w:cs="Arial"/>
          <w:color w:val="000000" w:themeColor="text1"/>
          <w:sz w:val="20"/>
          <w:szCs w:val="20"/>
        </w:rPr>
        <w:t>ons glycémiques (correc</w:t>
      </w:r>
      <w:r>
        <w:rPr>
          <w:rFonts w:ascii="Arial" w:hAnsi="Arial" w:cs="Arial"/>
          <w:color w:val="000000" w:themeColor="text1"/>
          <w:sz w:val="20"/>
          <w:szCs w:val="20"/>
        </w:rPr>
        <w:t>ti</w:t>
      </w:r>
      <w:r w:rsidRPr="0063686F">
        <w:rPr>
          <w:rFonts w:ascii="Arial" w:hAnsi="Arial" w:cs="Arial"/>
          <w:color w:val="000000" w:themeColor="text1"/>
          <w:sz w:val="20"/>
          <w:szCs w:val="20"/>
        </w:rPr>
        <w:t xml:space="preserve">on 50%) </w:t>
      </w:r>
    </w:p>
    <w:p w14:paraId="01EFCEBB"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BB4BBD">
        <w:rPr>
          <w:rFonts w:ascii="Arial" w:hAnsi="Arial" w:cs="Arial"/>
          <w:color w:val="000000" w:themeColor="text1"/>
          <w:sz w:val="20"/>
          <w:szCs w:val="20"/>
        </w:rPr>
        <w:t xml:space="preserve">Maintenir profil lipidique non athérogéne </w:t>
      </w:r>
    </w:p>
    <w:p w14:paraId="67DA9447"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BB4BBD">
        <w:rPr>
          <w:rFonts w:ascii="Arial" w:hAnsi="Arial" w:cs="Arial"/>
          <w:color w:val="000000" w:themeColor="text1"/>
          <w:sz w:val="20"/>
          <w:szCs w:val="20"/>
        </w:rPr>
        <w:t xml:space="preserve">Perte de poids éventuelle (80 % DT2 ont un surpoids) </w:t>
      </w:r>
    </w:p>
    <w:p w14:paraId="4777586A" w14:textId="77777777" w:rsidR="00ED4694" w:rsidRPr="00BB4BBD" w:rsidRDefault="00ED4694" w:rsidP="00ED4694">
      <w:pPr>
        <w:pStyle w:val="Sansinterligne"/>
        <w:numPr>
          <w:ilvl w:val="0"/>
          <w:numId w:val="140"/>
        </w:numPr>
        <w:jc w:val="both"/>
        <w:rPr>
          <w:rFonts w:ascii="Arial" w:hAnsi="Arial" w:cs="Arial"/>
          <w:color w:val="000000" w:themeColor="text1"/>
          <w:sz w:val="20"/>
          <w:szCs w:val="20"/>
        </w:rPr>
      </w:pPr>
      <w:r w:rsidRPr="00BB4BBD">
        <w:rPr>
          <w:rFonts w:ascii="Arial" w:hAnsi="Arial" w:cs="Arial"/>
          <w:color w:val="000000" w:themeColor="text1"/>
          <w:sz w:val="20"/>
          <w:szCs w:val="20"/>
        </w:rPr>
        <w:t xml:space="preserve">En préservant projets de vie du patient </w:t>
      </w:r>
    </w:p>
    <w:p w14:paraId="4887A536" w14:textId="77777777" w:rsidR="00ED4694" w:rsidRPr="0063686F" w:rsidRDefault="00ED4694" w:rsidP="00ED4694">
      <w:pPr>
        <w:pStyle w:val="Sansinterligne"/>
        <w:jc w:val="both"/>
        <w:rPr>
          <w:rFonts w:ascii="Arial" w:hAnsi="Arial" w:cs="Arial"/>
          <w:color w:val="000000" w:themeColor="text1"/>
          <w:sz w:val="20"/>
          <w:szCs w:val="20"/>
        </w:rPr>
      </w:pPr>
      <w:r w:rsidRPr="00524024">
        <w:rPr>
          <w:rFonts w:ascii="Arial" w:hAnsi="Arial" w:cs="Arial"/>
          <w:color w:val="000000" w:themeColor="text1"/>
          <w:sz w:val="20"/>
          <w:szCs w:val="20"/>
          <w:u w:val="single"/>
        </w:rPr>
        <w:t>Conseils diététiques</w:t>
      </w:r>
      <w:r w:rsidRPr="0063686F">
        <w:rPr>
          <w:rFonts w:ascii="Arial" w:hAnsi="Arial" w:cs="Arial"/>
          <w:color w:val="000000" w:themeColor="text1"/>
          <w:sz w:val="20"/>
          <w:szCs w:val="20"/>
        </w:rPr>
        <w:t xml:space="preserve"> : diminuer apports de 20 à 30 %</w:t>
      </w:r>
      <w:r>
        <w:rPr>
          <w:rFonts w:ascii="Arial" w:hAnsi="Arial" w:cs="Arial"/>
          <w:color w:val="000000" w:themeColor="text1"/>
          <w:sz w:val="20"/>
          <w:szCs w:val="20"/>
        </w:rPr>
        <w:t> :</w:t>
      </w:r>
    </w:p>
    <w:p w14:paraId="16D9E621"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Adaptés au pa</w:t>
      </w:r>
      <w:r>
        <w:rPr>
          <w:rFonts w:ascii="Arial" w:hAnsi="Arial" w:cs="Arial"/>
          <w:color w:val="000000" w:themeColor="text1"/>
          <w:sz w:val="20"/>
          <w:szCs w:val="20"/>
        </w:rPr>
        <w:t>ti</w:t>
      </w:r>
      <w:r w:rsidRPr="0063686F">
        <w:rPr>
          <w:rFonts w:ascii="Arial" w:hAnsi="Arial" w:cs="Arial"/>
          <w:color w:val="000000" w:themeColor="text1"/>
          <w:sz w:val="20"/>
          <w:szCs w:val="20"/>
        </w:rPr>
        <w:t xml:space="preserve">ent, expliqués, négociés, diversifiés et </w:t>
      </w:r>
    </w:p>
    <w:p w14:paraId="405E4DD7"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Modifiés en fonc</w:t>
      </w:r>
      <w:r>
        <w:rPr>
          <w:rFonts w:ascii="Arial" w:hAnsi="Arial" w:cs="Arial"/>
          <w:color w:val="000000" w:themeColor="text1"/>
          <w:sz w:val="20"/>
          <w:szCs w:val="20"/>
        </w:rPr>
        <w:t>ti</w:t>
      </w:r>
      <w:r w:rsidRPr="0063686F">
        <w:rPr>
          <w:rFonts w:ascii="Arial" w:hAnsi="Arial" w:cs="Arial"/>
          <w:color w:val="000000" w:themeColor="text1"/>
          <w:sz w:val="20"/>
          <w:szCs w:val="20"/>
        </w:rPr>
        <w:t>on de l’évolu</w:t>
      </w:r>
      <w:r>
        <w:rPr>
          <w:rFonts w:ascii="Arial" w:hAnsi="Arial" w:cs="Arial"/>
          <w:color w:val="000000" w:themeColor="text1"/>
          <w:sz w:val="20"/>
          <w:szCs w:val="20"/>
        </w:rPr>
        <w:t>ti</w:t>
      </w:r>
      <w:r w:rsidRPr="0063686F">
        <w:rPr>
          <w:rFonts w:ascii="Arial" w:hAnsi="Arial" w:cs="Arial"/>
          <w:color w:val="000000" w:themeColor="text1"/>
          <w:sz w:val="20"/>
          <w:szCs w:val="20"/>
        </w:rPr>
        <w:t xml:space="preserve">on pondérale </w:t>
      </w:r>
    </w:p>
    <w:p w14:paraId="7CDD0060" w14:textId="77777777" w:rsidR="00ED4694" w:rsidRDefault="00ED4694" w:rsidP="00ED4694">
      <w:pPr>
        <w:pStyle w:val="Sansinterligne"/>
        <w:jc w:val="both"/>
        <w:rPr>
          <w:rFonts w:ascii="Arial" w:hAnsi="Arial" w:cs="Arial"/>
          <w:color w:val="000000" w:themeColor="text1"/>
          <w:sz w:val="20"/>
          <w:szCs w:val="20"/>
        </w:rPr>
      </w:pPr>
    </w:p>
    <w:p w14:paraId="456469D2" w14:textId="77777777" w:rsidR="00ED4694" w:rsidRPr="0063686F" w:rsidRDefault="00ED4694" w:rsidP="00ED4694">
      <w:pPr>
        <w:pStyle w:val="Sansinterligne"/>
        <w:jc w:val="both"/>
        <w:rPr>
          <w:rFonts w:ascii="Arial" w:hAnsi="Arial" w:cs="Arial"/>
          <w:color w:val="000000" w:themeColor="text1"/>
          <w:sz w:val="20"/>
          <w:szCs w:val="20"/>
        </w:rPr>
      </w:pPr>
      <w:r w:rsidRPr="00524024">
        <w:rPr>
          <w:rFonts w:ascii="Arial" w:hAnsi="Arial" w:cs="Arial"/>
          <w:color w:val="000000" w:themeColor="text1"/>
          <w:sz w:val="20"/>
          <w:szCs w:val="20"/>
          <w:u w:val="single"/>
        </w:rPr>
        <w:t>Le régime d’un diabétique</w:t>
      </w:r>
      <w:r>
        <w:rPr>
          <w:rFonts w:ascii="Arial" w:hAnsi="Arial" w:cs="Arial"/>
          <w:color w:val="000000" w:themeColor="text1"/>
          <w:sz w:val="20"/>
          <w:szCs w:val="20"/>
        </w:rPr>
        <w:t xml:space="preserve"> : il est interdit d’interdire </w:t>
      </w:r>
    </w:p>
    <w:p w14:paraId="383C7C60" w14:textId="77777777" w:rsidR="00ED4694" w:rsidRDefault="00ED4694" w:rsidP="00ED4694">
      <w:pPr>
        <w:pStyle w:val="Sansinterligne"/>
        <w:jc w:val="both"/>
        <w:rPr>
          <w:rFonts w:ascii="Arial" w:hAnsi="Arial" w:cs="Arial"/>
          <w:color w:val="000000" w:themeColor="text1"/>
          <w:sz w:val="20"/>
          <w:szCs w:val="20"/>
        </w:rPr>
      </w:pPr>
      <w:r>
        <w:rPr>
          <w:rFonts w:ascii="Arial" w:hAnsi="Arial" w:cs="Arial"/>
          <w:color w:val="000000" w:themeColor="text1"/>
          <w:sz w:val="20"/>
          <w:szCs w:val="20"/>
        </w:rPr>
        <w:t xml:space="preserve">En quantité et qualité </w:t>
      </w:r>
      <w:r w:rsidRPr="0063686F">
        <w:rPr>
          <w:rFonts w:ascii="Arial" w:hAnsi="Arial" w:cs="Arial"/>
          <w:color w:val="000000" w:themeColor="text1"/>
          <w:sz w:val="20"/>
          <w:szCs w:val="20"/>
        </w:rPr>
        <w:t>iden</w:t>
      </w:r>
      <w:r>
        <w:rPr>
          <w:rFonts w:ascii="Arial" w:hAnsi="Arial" w:cs="Arial"/>
          <w:color w:val="000000" w:themeColor="text1"/>
          <w:sz w:val="20"/>
          <w:szCs w:val="20"/>
        </w:rPr>
        <w:t>ti</w:t>
      </w:r>
      <w:r w:rsidRPr="0063686F">
        <w:rPr>
          <w:rFonts w:ascii="Arial" w:hAnsi="Arial" w:cs="Arial"/>
          <w:color w:val="000000" w:themeColor="text1"/>
          <w:sz w:val="20"/>
          <w:szCs w:val="20"/>
        </w:rPr>
        <w:t>que à celui d ’une personne non diabé</w:t>
      </w:r>
      <w:r>
        <w:rPr>
          <w:rFonts w:ascii="Arial" w:hAnsi="Arial" w:cs="Arial"/>
          <w:color w:val="000000" w:themeColor="text1"/>
          <w:sz w:val="20"/>
          <w:szCs w:val="20"/>
        </w:rPr>
        <w:t>ti</w:t>
      </w:r>
      <w:r w:rsidRPr="0063686F">
        <w:rPr>
          <w:rFonts w:ascii="Arial" w:hAnsi="Arial" w:cs="Arial"/>
          <w:color w:val="000000" w:themeColor="text1"/>
          <w:sz w:val="20"/>
          <w:szCs w:val="20"/>
        </w:rPr>
        <w:t>que de même âge, sexe poids et ac</w:t>
      </w:r>
      <w:r>
        <w:rPr>
          <w:rFonts w:ascii="Arial" w:hAnsi="Arial" w:cs="Arial"/>
          <w:color w:val="000000" w:themeColor="text1"/>
          <w:sz w:val="20"/>
          <w:szCs w:val="20"/>
        </w:rPr>
        <w:t>ti</w:t>
      </w:r>
      <w:r w:rsidRPr="0063686F">
        <w:rPr>
          <w:rFonts w:ascii="Arial" w:hAnsi="Arial" w:cs="Arial"/>
          <w:color w:val="000000" w:themeColor="text1"/>
          <w:sz w:val="20"/>
          <w:szCs w:val="20"/>
        </w:rPr>
        <w:t xml:space="preserve">vité </w:t>
      </w:r>
    </w:p>
    <w:p w14:paraId="037C359D" w14:textId="77777777" w:rsidR="00ED4694" w:rsidRDefault="00ED4694" w:rsidP="00ED4694">
      <w:pPr>
        <w:pStyle w:val="Sansinterligne"/>
        <w:jc w:val="both"/>
        <w:rPr>
          <w:rFonts w:ascii="Arial" w:hAnsi="Arial" w:cs="Arial"/>
          <w:color w:val="000000" w:themeColor="text1"/>
          <w:sz w:val="20"/>
          <w:szCs w:val="20"/>
        </w:rPr>
      </w:pPr>
      <w:r>
        <w:rPr>
          <w:rFonts w:ascii="Arial" w:hAnsi="Arial" w:cs="Arial"/>
          <w:color w:val="000000" w:themeColor="text1"/>
          <w:sz w:val="20"/>
          <w:szCs w:val="20"/>
        </w:rPr>
        <w:t xml:space="preserve">50% glucides, 35% lipides, 15% protéines. </w:t>
      </w:r>
    </w:p>
    <w:p w14:paraId="4F216721" w14:textId="77777777" w:rsidR="00ED4694" w:rsidRDefault="00ED4694" w:rsidP="00ED4694">
      <w:pPr>
        <w:pStyle w:val="Sansinterligne"/>
        <w:jc w:val="both"/>
        <w:rPr>
          <w:rFonts w:ascii="Arial" w:hAnsi="Arial" w:cs="Arial"/>
          <w:color w:val="000000" w:themeColor="text1"/>
          <w:sz w:val="20"/>
          <w:szCs w:val="20"/>
        </w:rPr>
      </w:pPr>
      <w:r w:rsidRPr="00524024">
        <w:rPr>
          <w:rFonts w:ascii="Arial" w:hAnsi="Arial" w:cs="Arial"/>
          <w:noProof/>
          <w:color w:val="000000" w:themeColor="text1"/>
          <w:sz w:val="20"/>
          <w:szCs w:val="20"/>
        </w:rPr>
        <w:drawing>
          <wp:anchor distT="0" distB="0" distL="114300" distR="114300" simplePos="0" relativeHeight="251764736" behindDoc="1" locked="0" layoutInCell="1" allowOverlap="1" wp14:anchorId="144D9A08" wp14:editId="77978296">
            <wp:simplePos x="0" y="0"/>
            <wp:positionH relativeFrom="column">
              <wp:posOffset>3313359</wp:posOffset>
            </wp:positionH>
            <wp:positionV relativeFrom="paragraph">
              <wp:posOffset>88123</wp:posOffset>
            </wp:positionV>
            <wp:extent cx="3390472" cy="1852352"/>
            <wp:effectExtent l="0" t="0" r="635" b="1905"/>
            <wp:wrapTight wrapText="bothSides">
              <wp:wrapPolygon edited="0">
                <wp:start x="0" y="0"/>
                <wp:lineTo x="0" y="21474"/>
                <wp:lineTo x="21523" y="21474"/>
                <wp:lineTo x="21523" y="0"/>
                <wp:lineTo x="0" y="0"/>
              </wp:wrapPolygon>
            </wp:wrapTight>
            <wp:docPr id="5368876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887653"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390472" cy="1852352"/>
                    </a:xfrm>
                    <a:prstGeom prst="rect">
                      <a:avLst/>
                    </a:prstGeom>
                  </pic:spPr>
                </pic:pic>
              </a:graphicData>
            </a:graphic>
            <wp14:sizeRelH relativeFrom="page">
              <wp14:pctWidth>0</wp14:pctWidth>
            </wp14:sizeRelH>
            <wp14:sizeRelV relativeFrom="page">
              <wp14:pctHeight>0</wp14:pctHeight>
            </wp14:sizeRelV>
          </wp:anchor>
        </w:drawing>
      </w:r>
    </w:p>
    <w:p w14:paraId="4F7E4570" w14:textId="77777777" w:rsidR="00ED4694" w:rsidRPr="0063686F" w:rsidRDefault="00ED4694" w:rsidP="00ED4694">
      <w:pPr>
        <w:pStyle w:val="Sansinterligne"/>
        <w:jc w:val="both"/>
        <w:rPr>
          <w:rFonts w:ascii="Arial" w:hAnsi="Arial" w:cs="Arial"/>
          <w:color w:val="000000" w:themeColor="text1"/>
          <w:sz w:val="20"/>
          <w:szCs w:val="20"/>
        </w:rPr>
      </w:pPr>
      <w:r w:rsidRPr="00524024">
        <w:rPr>
          <w:rFonts w:ascii="Arial" w:hAnsi="Arial" w:cs="Arial"/>
          <w:color w:val="000000" w:themeColor="text1"/>
          <w:sz w:val="20"/>
          <w:szCs w:val="20"/>
          <w:u w:val="single"/>
        </w:rPr>
        <w:t>Les repas</w:t>
      </w:r>
      <w:r>
        <w:rPr>
          <w:rFonts w:ascii="Arial" w:hAnsi="Arial" w:cs="Arial"/>
          <w:color w:val="000000" w:themeColor="text1"/>
          <w:sz w:val="20"/>
          <w:szCs w:val="20"/>
        </w:rPr>
        <w:t> </w:t>
      </w:r>
    </w:p>
    <w:p w14:paraId="3A3ABB78"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Structure des repas (différents groupes d'aliments) </w:t>
      </w:r>
    </w:p>
    <w:p w14:paraId="7A36C601"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24024">
        <w:rPr>
          <w:rFonts w:ascii="Arial" w:hAnsi="Arial" w:cs="Arial"/>
          <w:color w:val="000000" w:themeColor="text1"/>
          <w:sz w:val="20"/>
          <w:szCs w:val="20"/>
        </w:rPr>
        <w:t>Répartition des repas</w:t>
      </w:r>
      <w:r>
        <w:rPr>
          <w:rFonts w:ascii="Arial" w:hAnsi="Arial" w:cs="Arial"/>
          <w:color w:val="000000" w:themeColor="text1"/>
          <w:sz w:val="20"/>
          <w:szCs w:val="20"/>
        </w:rPr>
        <w:t> :</w:t>
      </w:r>
      <w:r w:rsidRPr="00524024">
        <w:rPr>
          <w:rFonts w:ascii="Arial" w:hAnsi="Arial" w:cs="Arial"/>
          <w:color w:val="000000" w:themeColor="text1"/>
          <w:sz w:val="20"/>
          <w:szCs w:val="20"/>
        </w:rPr>
        <w:t xml:space="preserve"> insister sur la régularité</w:t>
      </w:r>
      <w:r>
        <w:rPr>
          <w:rFonts w:ascii="Arial" w:hAnsi="Arial" w:cs="Arial"/>
          <w:color w:val="000000" w:themeColor="text1"/>
          <w:sz w:val="20"/>
          <w:szCs w:val="20"/>
        </w:rPr>
        <w:t xml:space="preserve">, </w:t>
      </w:r>
      <w:r w:rsidRPr="00524024">
        <w:rPr>
          <w:rFonts w:ascii="Arial" w:hAnsi="Arial" w:cs="Arial"/>
          <w:color w:val="000000" w:themeColor="text1"/>
          <w:sz w:val="20"/>
          <w:szCs w:val="20"/>
        </w:rPr>
        <w:t>à adapter en fonction des rythmes</w:t>
      </w:r>
      <w:r>
        <w:rPr>
          <w:rFonts w:ascii="Arial" w:hAnsi="Arial" w:cs="Arial"/>
          <w:color w:val="000000" w:themeColor="text1"/>
          <w:sz w:val="20"/>
          <w:szCs w:val="20"/>
        </w:rPr>
        <w:t xml:space="preserve">, </w:t>
      </w:r>
      <w:r w:rsidRPr="00524024">
        <w:rPr>
          <w:rFonts w:ascii="Arial" w:hAnsi="Arial" w:cs="Arial"/>
          <w:color w:val="000000" w:themeColor="text1"/>
          <w:sz w:val="20"/>
          <w:szCs w:val="20"/>
        </w:rPr>
        <w:t xml:space="preserve">ne pas sauter de repas </w:t>
      </w:r>
    </w:p>
    <w:p w14:paraId="22570548"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524024">
        <w:rPr>
          <w:rFonts w:ascii="Arial" w:hAnsi="Arial" w:cs="Arial"/>
          <w:color w:val="000000" w:themeColor="text1"/>
          <w:sz w:val="20"/>
          <w:szCs w:val="20"/>
        </w:rPr>
        <w:t xml:space="preserve">Prendre le temps de manger à table </w:t>
      </w:r>
    </w:p>
    <w:p w14:paraId="7F726ACD"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Donner des conseils simples</w:t>
      </w:r>
    </w:p>
    <w:p w14:paraId="63783DE5" w14:textId="77777777" w:rsidR="00ED4694" w:rsidRDefault="00ED4694" w:rsidP="00ED4694">
      <w:pPr>
        <w:pStyle w:val="Sansinterligne"/>
        <w:jc w:val="both"/>
        <w:rPr>
          <w:rFonts w:ascii="Arial" w:hAnsi="Arial" w:cs="Arial"/>
          <w:color w:val="000000" w:themeColor="text1"/>
          <w:sz w:val="20"/>
          <w:szCs w:val="20"/>
        </w:rPr>
      </w:pPr>
    </w:p>
    <w:p w14:paraId="16EB6B1C" w14:textId="77777777" w:rsidR="00ED4694" w:rsidRPr="00524024" w:rsidRDefault="00ED4694" w:rsidP="00ED4694">
      <w:pPr>
        <w:pStyle w:val="Sansinterligne"/>
        <w:jc w:val="both"/>
        <w:rPr>
          <w:rFonts w:ascii="Arial" w:hAnsi="Arial" w:cs="Arial"/>
          <w:color w:val="000000" w:themeColor="text1"/>
          <w:sz w:val="20"/>
          <w:szCs w:val="20"/>
        </w:rPr>
      </w:pPr>
    </w:p>
    <w:p w14:paraId="6078E0BE" w14:textId="77777777" w:rsidR="00ED4694" w:rsidRDefault="00ED4694" w:rsidP="00ED4694">
      <w:pPr>
        <w:pStyle w:val="Sansinterligne"/>
        <w:jc w:val="both"/>
        <w:rPr>
          <w:rFonts w:ascii="Arial" w:hAnsi="Arial" w:cs="Arial"/>
          <w:color w:val="000000" w:themeColor="text1"/>
          <w:sz w:val="20"/>
          <w:szCs w:val="20"/>
        </w:rPr>
      </w:pPr>
    </w:p>
    <w:p w14:paraId="1852D57B" w14:textId="77777777" w:rsidR="00ED4694" w:rsidRDefault="00ED4694" w:rsidP="00ED4694">
      <w:pPr>
        <w:pStyle w:val="Sansinterligne"/>
        <w:jc w:val="both"/>
        <w:rPr>
          <w:rFonts w:ascii="Arial" w:hAnsi="Arial" w:cs="Arial"/>
          <w:color w:val="000000" w:themeColor="text1"/>
          <w:sz w:val="20"/>
          <w:szCs w:val="20"/>
        </w:rPr>
      </w:pPr>
    </w:p>
    <w:p w14:paraId="3CD49E35" w14:textId="77777777" w:rsidR="00ED4694" w:rsidRDefault="00ED4694" w:rsidP="00ED4694">
      <w:pPr>
        <w:pStyle w:val="Sansinterligne"/>
        <w:jc w:val="both"/>
        <w:rPr>
          <w:rFonts w:ascii="Arial" w:hAnsi="Arial" w:cs="Arial"/>
          <w:color w:val="000000" w:themeColor="text1"/>
          <w:sz w:val="20"/>
          <w:szCs w:val="20"/>
        </w:rPr>
      </w:pPr>
    </w:p>
    <w:p w14:paraId="43C63EE1" w14:textId="77777777" w:rsidR="00ED4694" w:rsidRDefault="00ED4694" w:rsidP="00ED4694">
      <w:pPr>
        <w:pStyle w:val="Sansinterligne"/>
        <w:jc w:val="both"/>
        <w:rPr>
          <w:rFonts w:ascii="Arial" w:hAnsi="Arial" w:cs="Arial"/>
          <w:color w:val="000000" w:themeColor="text1"/>
          <w:sz w:val="20"/>
          <w:szCs w:val="20"/>
        </w:rPr>
      </w:pPr>
    </w:p>
    <w:p w14:paraId="27671F99" w14:textId="77777777" w:rsidR="00ED4694" w:rsidRDefault="00ED4694" w:rsidP="00ED4694">
      <w:pPr>
        <w:pStyle w:val="Sansinterligne"/>
        <w:jc w:val="both"/>
        <w:rPr>
          <w:rFonts w:ascii="Arial" w:hAnsi="Arial" w:cs="Arial"/>
          <w:color w:val="000000" w:themeColor="text1"/>
          <w:sz w:val="20"/>
          <w:szCs w:val="20"/>
        </w:rPr>
      </w:pPr>
    </w:p>
    <w:p w14:paraId="3A33EC9A" w14:textId="77777777" w:rsidR="00ED4694" w:rsidRPr="00524024" w:rsidRDefault="00ED4694" w:rsidP="00ED4694">
      <w:pPr>
        <w:pStyle w:val="Sansinterligne"/>
        <w:jc w:val="both"/>
        <w:rPr>
          <w:rFonts w:ascii="Arial" w:hAnsi="Arial" w:cs="Arial"/>
          <w:color w:val="000000" w:themeColor="text1"/>
          <w:sz w:val="20"/>
          <w:szCs w:val="20"/>
        </w:rPr>
      </w:pPr>
      <w:r w:rsidRPr="00524024">
        <w:rPr>
          <w:rFonts w:ascii="Arial" w:hAnsi="Arial" w:cs="Arial"/>
          <w:color w:val="000000" w:themeColor="text1"/>
          <w:sz w:val="20"/>
          <w:szCs w:val="20"/>
          <w:u w:val="single"/>
        </w:rPr>
        <w:lastRenderedPageBreak/>
        <w:t xml:space="preserve">L’exercice physique </w:t>
      </w:r>
      <w:r>
        <w:rPr>
          <w:rFonts w:ascii="Arial" w:hAnsi="Arial" w:cs="Arial"/>
          <w:color w:val="000000" w:themeColor="text1"/>
          <w:sz w:val="20"/>
          <w:szCs w:val="20"/>
        </w:rPr>
        <w:t xml:space="preserve">(et non sport) </w:t>
      </w:r>
    </w:p>
    <w:p w14:paraId="75089660"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3 heures par semaine</w:t>
      </w:r>
      <w:r>
        <w:rPr>
          <w:rFonts w:ascii="Arial" w:hAnsi="Arial" w:cs="Arial"/>
          <w:color w:val="000000" w:themeColor="text1"/>
          <w:sz w:val="20"/>
          <w:szCs w:val="20"/>
        </w:rPr>
        <w:t xml:space="preserve">, </w:t>
      </w:r>
      <w:r w:rsidRPr="00524024">
        <w:rPr>
          <w:rFonts w:ascii="Arial" w:hAnsi="Arial" w:cs="Arial"/>
          <w:color w:val="000000" w:themeColor="text1"/>
          <w:sz w:val="20"/>
          <w:szCs w:val="20"/>
        </w:rPr>
        <w:t>par tranches d ’1/2 h au moins</w:t>
      </w:r>
    </w:p>
    <w:p w14:paraId="657DD72F" w14:textId="77777777" w:rsidR="00ED4694" w:rsidRPr="00524024" w:rsidRDefault="00ED4694" w:rsidP="00ED4694">
      <w:pPr>
        <w:pStyle w:val="Sansinterligne"/>
        <w:numPr>
          <w:ilvl w:val="0"/>
          <w:numId w:val="140"/>
        </w:numPr>
        <w:jc w:val="both"/>
        <w:rPr>
          <w:rFonts w:ascii="Arial" w:hAnsi="Arial" w:cs="Arial"/>
          <w:color w:val="000000" w:themeColor="text1"/>
          <w:sz w:val="20"/>
          <w:szCs w:val="20"/>
        </w:rPr>
      </w:pPr>
      <w:r w:rsidRPr="00524024">
        <w:rPr>
          <w:rFonts w:ascii="Arial" w:hAnsi="Arial" w:cs="Arial"/>
          <w:color w:val="000000" w:themeColor="text1"/>
          <w:sz w:val="20"/>
          <w:szCs w:val="20"/>
        </w:rPr>
        <w:t>Respecter les capacités des uns et des autres</w:t>
      </w:r>
      <w:r>
        <w:rPr>
          <w:rFonts w:ascii="Arial" w:hAnsi="Arial" w:cs="Arial"/>
          <w:color w:val="000000" w:themeColor="text1"/>
          <w:sz w:val="20"/>
          <w:szCs w:val="20"/>
        </w:rPr>
        <w:t xml:space="preserve"> : </w:t>
      </w:r>
      <w:r w:rsidRPr="00524024">
        <w:rPr>
          <w:rFonts w:ascii="Arial" w:hAnsi="Arial" w:cs="Arial"/>
          <w:color w:val="000000" w:themeColor="text1"/>
          <w:sz w:val="20"/>
          <w:szCs w:val="20"/>
        </w:rPr>
        <w:t xml:space="preserve">âge, poids, problème orthopédique </w:t>
      </w:r>
    </w:p>
    <w:p w14:paraId="27B51F16"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Attention</w:t>
      </w:r>
      <w:r w:rsidRPr="0063686F">
        <w:rPr>
          <w:rFonts w:ascii="Arial" w:hAnsi="Arial" w:cs="Arial"/>
          <w:color w:val="000000" w:themeColor="text1"/>
          <w:sz w:val="20"/>
          <w:szCs w:val="20"/>
        </w:rPr>
        <w:t xml:space="preserve">, bilan cardiologique préalable recommandé lors de la reprise de </w:t>
      </w:r>
      <w:r>
        <w:rPr>
          <w:rFonts w:ascii="Arial" w:hAnsi="Arial" w:cs="Arial"/>
          <w:color w:val="000000" w:themeColor="text1"/>
          <w:sz w:val="20"/>
          <w:szCs w:val="20"/>
        </w:rPr>
        <w:t>activité</w:t>
      </w:r>
    </w:p>
    <w:p w14:paraId="6A764FE1"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Activité physique modérée</w:t>
      </w:r>
      <w:r>
        <w:rPr>
          <w:rFonts w:ascii="Arial" w:hAnsi="Arial" w:cs="Arial"/>
          <w:color w:val="000000" w:themeColor="text1"/>
          <w:sz w:val="20"/>
          <w:szCs w:val="20"/>
        </w:rPr>
        <w:t xml:space="preserve"> : </w:t>
      </w:r>
      <w:r w:rsidRPr="0063686F">
        <w:rPr>
          <w:rFonts w:ascii="Arial" w:hAnsi="Arial" w:cs="Arial"/>
          <w:color w:val="000000" w:themeColor="text1"/>
          <w:sz w:val="20"/>
          <w:szCs w:val="20"/>
        </w:rPr>
        <w:t xml:space="preserve">marche rapide, vélo "plaisir", natation, jardinage... </w:t>
      </w:r>
    </w:p>
    <w:p w14:paraId="57E3501D" w14:textId="77777777" w:rsidR="00ED4694" w:rsidRPr="00524024" w:rsidRDefault="00ED4694" w:rsidP="00ED4694">
      <w:pPr>
        <w:pStyle w:val="Sansinterligne"/>
        <w:numPr>
          <w:ilvl w:val="0"/>
          <w:numId w:val="140"/>
        </w:numPr>
        <w:jc w:val="both"/>
        <w:rPr>
          <w:rFonts w:ascii="Arial" w:hAnsi="Arial" w:cs="Arial"/>
          <w:color w:val="000000" w:themeColor="text1"/>
          <w:sz w:val="20"/>
          <w:szCs w:val="20"/>
        </w:rPr>
      </w:pPr>
      <w:r w:rsidRPr="00524024">
        <w:rPr>
          <w:rFonts w:ascii="Arial" w:hAnsi="Arial" w:cs="Arial"/>
          <w:color w:val="000000" w:themeColor="text1"/>
          <w:sz w:val="20"/>
          <w:szCs w:val="20"/>
        </w:rPr>
        <w:t>Bénéfices démontrés</w:t>
      </w:r>
      <w:r>
        <w:rPr>
          <w:rFonts w:ascii="Arial" w:hAnsi="Arial" w:cs="Arial"/>
          <w:color w:val="000000" w:themeColor="text1"/>
          <w:sz w:val="20"/>
          <w:szCs w:val="20"/>
        </w:rPr>
        <w:t xml:space="preserve"> : </w:t>
      </w:r>
      <w:r w:rsidRPr="00524024">
        <w:rPr>
          <w:rFonts w:ascii="Arial" w:hAnsi="Arial" w:cs="Arial"/>
          <w:color w:val="000000" w:themeColor="text1"/>
          <w:sz w:val="20"/>
          <w:szCs w:val="20"/>
        </w:rPr>
        <w:t>Améliore la Sensibilité à Insuline (foie, muscle)</w:t>
      </w:r>
      <w:r>
        <w:rPr>
          <w:rFonts w:ascii="Arial" w:hAnsi="Arial" w:cs="Arial"/>
          <w:color w:val="000000" w:themeColor="text1"/>
          <w:sz w:val="20"/>
          <w:szCs w:val="20"/>
        </w:rPr>
        <w:t>, p</w:t>
      </w:r>
      <w:r w:rsidRPr="00524024">
        <w:rPr>
          <w:rFonts w:ascii="Arial" w:hAnsi="Arial" w:cs="Arial"/>
          <w:color w:val="000000" w:themeColor="text1"/>
          <w:sz w:val="20"/>
          <w:szCs w:val="20"/>
        </w:rPr>
        <w:t xml:space="preserve">ronostic vasculaire </w:t>
      </w:r>
    </w:p>
    <w:p w14:paraId="46855F85" w14:textId="77777777" w:rsidR="00ED4694" w:rsidRPr="00C21666" w:rsidRDefault="00ED4694" w:rsidP="00ED4694">
      <w:pPr>
        <w:pStyle w:val="Sansinterligne"/>
        <w:numPr>
          <w:ilvl w:val="0"/>
          <w:numId w:val="140"/>
        </w:numPr>
        <w:jc w:val="both"/>
        <w:rPr>
          <w:rFonts w:ascii="Arial" w:hAnsi="Arial" w:cs="Arial"/>
          <w:color w:val="000000" w:themeColor="text1"/>
          <w:sz w:val="20"/>
          <w:szCs w:val="20"/>
        </w:rPr>
      </w:pPr>
      <w:r w:rsidRPr="00C21666">
        <w:rPr>
          <w:rFonts w:ascii="Arial" w:hAnsi="Arial" w:cs="Arial"/>
          <w:noProof/>
          <w:color w:val="000000" w:themeColor="text1"/>
          <w:sz w:val="20"/>
          <w:szCs w:val="20"/>
        </w:rPr>
        <w:drawing>
          <wp:anchor distT="0" distB="0" distL="114300" distR="114300" simplePos="0" relativeHeight="251765760" behindDoc="1" locked="0" layoutInCell="1" allowOverlap="1" wp14:anchorId="205C3FBE" wp14:editId="0E061D4A">
            <wp:simplePos x="0" y="0"/>
            <wp:positionH relativeFrom="column">
              <wp:posOffset>3578860</wp:posOffset>
            </wp:positionH>
            <wp:positionV relativeFrom="paragraph">
              <wp:posOffset>125730</wp:posOffset>
            </wp:positionV>
            <wp:extent cx="3074670" cy="1664970"/>
            <wp:effectExtent l="0" t="0" r="0" b="0"/>
            <wp:wrapTight wrapText="bothSides">
              <wp:wrapPolygon edited="0">
                <wp:start x="0" y="0"/>
                <wp:lineTo x="0" y="21419"/>
                <wp:lineTo x="21502" y="21419"/>
                <wp:lineTo x="21502" y="0"/>
                <wp:lineTo x="0" y="0"/>
              </wp:wrapPolygon>
            </wp:wrapTight>
            <wp:docPr id="19198832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883270"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074670" cy="1664970"/>
                    </a:xfrm>
                    <a:prstGeom prst="rect">
                      <a:avLst/>
                    </a:prstGeom>
                  </pic:spPr>
                </pic:pic>
              </a:graphicData>
            </a:graphic>
            <wp14:sizeRelH relativeFrom="page">
              <wp14:pctWidth>0</wp14:pctWidth>
            </wp14:sizeRelH>
            <wp14:sizeRelV relativeFrom="page">
              <wp14:pctHeight>0</wp14:pctHeight>
            </wp14:sizeRelV>
          </wp:anchor>
        </w:drawing>
      </w:r>
      <w:r w:rsidRPr="0063686F">
        <w:rPr>
          <w:rFonts w:ascii="Arial" w:hAnsi="Arial" w:cs="Arial"/>
          <w:noProof/>
          <w:color w:val="000000" w:themeColor="text1"/>
          <w:sz w:val="20"/>
          <w:szCs w:val="20"/>
        </w:rPr>
        <w:drawing>
          <wp:anchor distT="0" distB="0" distL="114300" distR="114300" simplePos="0" relativeHeight="251766784" behindDoc="1" locked="0" layoutInCell="1" allowOverlap="1" wp14:anchorId="1B9E69C4" wp14:editId="274C3B6D">
            <wp:simplePos x="0" y="0"/>
            <wp:positionH relativeFrom="column">
              <wp:posOffset>230505</wp:posOffset>
            </wp:positionH>
            <wp:positionV relativeFrom="paragraph">
              <wp:posOffset>255494</wp:posOffset>
            </wp:positionV>
            <wp:extent cx="3151505" cy="1536065"/>
            <wp:effectExtent l="0" t="0" r="0" b="635"/>
            <wp:wrapTight wrapText="bothSides">
              <wp:wrapPolygon edited="0">
                <wp:start x="0" y="0"/>
                <wp:lineTo x="0" y="21430"/>
                <wp:lineTo x="21500" y="21430"/>
                <wp:lineTo x="21500" y="0"/>
                <wp:lineTo x="0" y="0"/>
              </wp:wrapPolygon>
            </wp:wrapTight>
            <wp:docPr id="1593002720" name="Image 288" descr="page20image31396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age20image31396752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151505" cy="1536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686F">
        <w:rPr>
          <w:rFonts w:ascii="Arial" w:hAnsi="Arial" w:cs="Arial"/>
          <w:color w:val="000000" w:themeColor="text1"/>
          <w:sz w:val="20"/>
          <w:szCs w:val="20"/>
        </w:rPr>
        <w:t xml:space="preserve">Réduction du traitement, meilleure qualité de vie .... </w:t>
      </w:r>
    </w:p>
    <w:p w14:paraId="05AE5C3E" w14:textId="77777777" w:rsidR="00ED4694" w:rsidRPr="0063686F" w:rsidRDefault="00ED4694" w:rsidP="00ED4694">
      <w:pPr>
        <w:pStyle w:val="Sansinterligne"/>
        <w:jc w:val="both"/>
        <w:rPr>
          <w:rFonts w:ascii="Arial" w:hAnsi="Arial" w:cs="Arial"/>
          <w:color w:val="000000" w:themeColor="text1"/>
          <w:sz w:val="20"/>
          <w:szCs w:val="20"/>
        </w:rPr>
      </w:pPr>
      <w:r w:rsidRPr="0063686F">
        <w:rPr>
          <w:rFonts w:ascii="Arial" w:hAnsi="Arial" w:cs="Arial"/>
          <w:color w:val="000000" w:themeColor="text1"/>
          <w:sz w:val="20"/>
          <w:szCs w:val="20"/>
        </w:rPr>
        <w:fldChar w:fldCharType="begin"/>
      </w:r>
      <w:r w:rsidRPr="0063686F">
        <w:rPr>
          <w:rFonts w:ascii="Arial" w:hAnsi="Arial" w:cs="Arial"/>
          <w:color w:val="000000" w:themeColor="text1"/>
          <w:sz w:val="20"/>
          <w:szCs w:val="20"/>
        </w:rPr>
        <w:instrText xml:space="preserve"> INCLUDEPICTURE "/Users/alienorprudhomme/Library/Group Containers/UBF8T346G9.ms/WebArchiveCopyPasteTempFiles/com.microsoft.Word/page20image313967520" \* MERGEFORMATINET </w:instrText>
      </w:r>
      <w:r w:rsidRPr="0063686F">
        <w:rPr>
          <w:rFonts w:ascii="Arial" w:hAnsi="Arial" w:cs="Arial"/>
          <w:color w:val="000000" w:themeColor="text1"/>
          <w:sz w:val="20"/>
          <w:szCs w:val="20"/>
        </w:rPr>
        <w:fldChar w:fldCharType="separate"/>
      </w:r>
      <w:r w:rsidRPr="0063686F">
        <w:rPr>
          <w:rFonts w:ascii="Arial" w:hAnsi="Arial" w:cs="Arial"/>
          <w:color w:val="000000" w:themeColor="text1"/>
          <w:sz w:val="20"/>
          <w:szCs w:val="20"/>
        </w:rPr>
        <w:fldChar w:fldCharType="end"/>
      </w:r>
      <w:r w:rsidRPr="00C21666">
        <w:rPr>
          <w:noProof/>
        </w:rPr>
        <w:t xml:space="preserve"> </w:t>
      </w:r>
    </w:p>
    <w:p w14:paraId="0D1571B8" w14:textId="77777777" w:rsidR="00ED4694" w:rsidRDefault="00ED4694" w:rsidP="00ED4694">
      <w:pPr>
        <w:pStyle w:val="Sansinterligne"/>
        <w:jc w:val="center"/>
        <w:rPr>
          <w:rFonts w:ascii="Arial" w:hAnsi="Arial" w:cs="Arial"/>
          <w:color w:val="000000" w:themeColor="text1"/>
          <w:sz w:val="20"/>
          <w:szCs w:val="20"/>
        </w:rPr>
      </w:pPr>
      <w:r w:rsidRPr="00EA4EC5">
        <w:rPr>
          <w:rFonts w:ascii="Arial" w:hAnsi="Arial" w:cs="Arial"/>
          <w:noProof/>
          <w:color w:val="000000" w:themeColor="text1"/>
          <w:sz w:val="20"/>
          <w:szCs w:val="20"/>
        </w:rPr>
        <w:drawing>
          <wp:anchor distT="0" distB="0" distL="114300" distR="114300" simplePos="0" relativeHeight="251767808" behindDoc="1" locked="0" layoutInCell="1" allowOverlap="1" wp14:anchorId="3290996B" wp14:editId="705A6906">
            <wp:simplePos x="0" y="0"/>
            <wp:positionH relativeFrom="column">
              <wp:posOffset>61577</wp:posOffset>
            </wp:positionH>
            <wp:positionV relativeFrom="paragraph">
              <wp:posOffset>3126105</wp:posOffset>
            </wp:positionV>
            <wp:extent cx="3406624" cy="1706567"/>
            <wp:effectExtent l="0" t="0" r="0" b="0"/>
            <wp:wrapTight wrapText="bothSides">
              <wp:wrapPolygon edited="0">
                <wp:start x="0" y="0"/>
                <wp:lineTo x="0" y="21383"/>
                <wp:lineTo x="21503" y="21383"/>
                <wp:lineTo x="21503" y="0"/>
                <wp:lineTo x="0" y="0"/>
              </wp:wrapPolygon>
            </wp:wrapTight>
            <wp:docPr id="2591904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190474"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406624" cy="1706567"/>
                    </a:xfrm>
                    <a:prstGeom prst="rect">
                      <a:avLst/>
                    </a:prstGeom>
                  </pic:spPr>
                </pic:pic>
              </a:graphicData>
            </a:graphic>
            <wp14:sizeRelH relativeFrom="page">
              <wp14:pctWidth>0</wp14:pctWidth>
            </wp14:sizeRelH>
            <wp14:sizeRelV relativeFrom="page">
              <wp14:pctHeight>0</wp14:pctHeight>
            </wp14:sizeRelV>
          </wp:anchor>
        </w:drawing>
      </w:r>
      <w:r w:rsidRPr="00EA4EC5">
        <w:rPr>
          <w:rFonts w:ascii="Arial" w:hAnsi="Arial" w:cs="Arial"/>
          <w:noProof/>
          <w:color w:val="000000" w:themeColor="text1"/>
          <w:sz w:val="20"/>
          <w:szCs w:val="20"/>
        </w:rPr>
        <w:drawing>
          <wp:anchor distT="0" distB="0" distL="114300" distR="114300" simplePos="0" relativeHeight="251768832" behindDoc="1" locked="0" layoutInCell="1" allowOverlap="1" wp14:anchorId="577BEC23" wp14:editId="481ED634">
            <wp:simplePos x="0" y="0"/>
            <wp:positionH relativeFrom="column">
              <wp:posOffset>3704563</wp:posOffset>
            </wp:positionH>
            <wp:positionV relativeFrom="paragraph">
              <wp:posOffset>3125470</wp:posOffset>
            </wp:positionV>
            <wp:extent cx="2949575" cy="1706245"/>
            <wp:effectExtent l="0" t="0" r="0" b="0"/>
            <wp:wrapTight wrapText="bothSides">
              <wp:wrapPolygon edited="0">
                <wp:start x="0" y="0"/>
                <wp:lineTo x="0" y="21383"/>
                <wp:lineTo x="21484" y="21383"/>
                <wp:lineTo x="21484" y="0"/>
                <wp:lineTo x="0" y="0"/>
              </wp:wrapPolygon>
            </wp:wrapTight>
            <wp:docPr id="7442008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200840"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949575" cy="1706245"/>
                    </a:xfrm>
                    <a:prstGeom prst="rect">
                      <a:avLst/>
                    </a:prstGeom>
                  </pic:spPr>
                </pic:pic>
              </a:graphicData>
            </a:graphic>
            <wp14:sizeRelH relativeFrom="page">
              <wp14:pctWidth>0</wp14:pctWidth>
            </wp14:sizeRelH>
            <wp14:sizeRelV relativeFrom="page">
              <wp14:pctHeight>0</wp14:pctHeight>
            </wp14:sizeRelV>
          </wp:anchor>
        </w:drawing>
      </w:r>
      <w:r w:rsidRPr="0063686F">
        <w:rPr>
          <w:rFonts w:ascii="Arial" w:hAnsi="Arial" w:cs="Arial"/>
          <w:color w:val="000000" w:themeColor="text1"/>
          <w:sz w:val="20"/>
          <w:szCs w:val="20"/>
        </w:rPr>
        <w:fldChar w:fldCharType="begin"/>
      </w:r>
      <w:r w:rsidRPr="0063686F">
        <w:rPr>
          <w:rFonts w:ascii="Arial" w:hAnsi="Arial" w:cs="Arial"/>
          <w:color w:val="000000" w:themeColor="text1"/>
          <w:sz w:val="20"/>
          <w:szCs w:val="20"/>
        </w:rPr>
        <w:instrText xml:space="preserve"> INCLUDEPICTURE "/Users/alienorprudhomme/Library/Group Containers/UBF8T346G9.ms/WebArchiveCopyPasteTempFiles/com.microsoft.Word/page23image314176736" \* MERGEFORMATINET </w:instrText>
      </w:r>
      <w:r w:rsidRPr="0063686F">
        <w:rPr>
          <w:rFonts w:ascii="Arial" w:hAnsi="Arial" w:cs="Arial"/>
          <w:color w:val="000000" w:themeColor="text1"/>
          <w:sz w:val="20"/>
          <w:szCs w:val="20"/>
        </w:rPr>
        <w:fldChar w:fldCharType="separate"/>
      </w:r>
      <w:r w:rsidRPr="0063686F">
        <w:rPr>
          <w:rFonts w:ascii="Arial" w:hAnsi="Arial" w:cs="Arial"/>
          <w:noProof/>
          <w:color w:val="000000" w:themeColor="text1"/>
          <w:sz w:val="20"/>
          <w:szCs w:val="20"/>
        </w:rPr>
        <w:drawing>
          <wp:inline distT="0" distB="0" distL="0" distR="0" wp14:anchorId="620C5A69" wp14:editId="0EF55FF7">
            <wp:extent cx="4609414" cy="2979868"/>
            <wp:effectExtent l="0" t="0" r="1270" b="5080"/>
            <wp:docPr id="1893410463" name="Image 264" descr="page23image31417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age23image31417673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39056" cy="2999031"/>
                    </a:xfrm>
                    <a:prstGeom prst="rect">
                      <a:avLst/>
                    </a:prstGeom>
                    <a:noFill/>
                    <a:ln>
                      <a:noFill/>
                    </a:ln>
                  </pic:spPr>
                </pic:pic>
              </a:graphicData>
            </a:graphic>
          </wp:inline>
        </w:drawing>
      </w:r>
      <w:r w:rsidRPr="0063686F">
        <w:rPr>
          <w:rFonts w:ascii="Arial" w:hAnsi="Arial" w:cs="Arial"/>
          <w:color w:val="000000" w:themeColor="text1"/>
          <w:sz w:val="20"/>
          <w:szCs w:val="20"/>
        </w:rPr>
        <w:fldChar w:fldCharType="end"/>
      </w:r>
    </w:p>
    <w:p w14:paraId="0AB8665B" w14:textId="77777777" w:rsidR="00ED4694" w:rsidRDefault="00ED4694" w:rsidP="00ED4694">
      <w:pPr>
        <w:pStyle w:val="Sansinterligne"/>
        <w:rPr>
          <w:rFonts w:ascii="Arial" w:hAnsi="Arial" w:cs="Arial"/>
          <w:color w:val="000000" w:themeColor="text1"/>
          <w:sz w:val="20"/>
          <w:szCs w:val="20"/>
        </w:rPr>
      </w:pPr>
      <w:r w:rsidRPr="00EA4EC5">
        <w:rPr>
          <w:rFonts w:ascii="Arial" w:hAnsi="Arial" w:cs="Arial"/>
          <w:noProof/>
          <w:color w:val="000000" w:themeColor="text1"/>
          <w:sz w:val="20"/>
          <w:szCs w:val="20"/>
        </w:rPr>
        <w:drawing>
          <wp:anchor distT="0" distB="0" distL="114300" distR="114300" simplePos="0" relativeHeight="251770880" behindDoc="1" locked="0" layoutInCell="1" allowOverlap="1" wp14:anchorId="766F36D5" wp14:editId="23977ABF">
            <wp:simplePos x="0" y="0"/>
            <wp:positionH relativeFrom="column">
              <wp:posOffset>3700145</wp:posOffset>
            </wp:positionH>
            <wp:positionV relativeFrom="paragraph">
              <wp:posOffset>2057400</wp:posOffset>
            </wp:positionV>
            <wp:extent cx="2775585" cy="1509395"/>
            <wp:effectExtent l="0" t="0" r="5715" b="1905"/>
            <wp:wrapTight wrapText="bothSides">
              <wp:wrapPolygon edited="0">
                <wp:start x="0" y="0"/>
                <wp:lineTo x="0" y="21446"/>
                <wp:lineTo x="21546" y="21446"/>
                <wp:lineTo x="21546" y="0"/>
                <wp:lineTo x="0" y="0"/>
              </wp:wrapPolygon>
            </wp:wrapTight>
            <wp:docPr id="314705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0583" nam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775585" cy="1509395"/>
                    </a:xfrm>
                    <a:prstGeom prst="rect">
                      <a:avLst/>
                    </a:prstGeom>
                  </pic:spPr>
                </pic:pic>
              </a:graphicData>
            </a:graphic>
            <wp14:sizeRelH relativeFrom="page">
              <wp14:pctWidth>0</wp14:pctWidth>
            </wp14:sizeRelH>
            <wp14:sizeRelV relativeFrom="page">
              <wp14:pctHeight>0</wp14:pctHeight>
            </wp14:sizeRelV>
          </wp:anchor>
        </w:drawing>
      </w:r>
      <w:r w:rsidRPr="00EA4EC5">
        <w:rPr>
          <w:rFonts w:ascii="Arial" w:hAnsi="Arial" w:cs="Arial"/>
          <w:noProof/>
          <w:color w:val="000000" w:themeColor="text1"/>
          <w:sz w:val="20"/>
          <w:szCs w:val="20"/>
        </w:rPr>
        <w:drawing>
          <wp:anchor distT="0" distB="0" distL="114300" distR="114300" simplePos="0" relativeHeight="251769856" behindDoc="1" locked="0" layoutInCell="1" allowOverlap="1" wp14:anchorId="054CC47C" wp14:editId="5AA68654">
            <wp:simplePos x="0" y="0"/>
            <wp:positionH relativeFrom="column">
              <wp:posOffset>-99060</wp:posOffset>
            </wp:positionH>
            <wp:positionV relativeFrom="paragraph">
              <wp:posOffset>2058079</wp:posOffset>
            </wp:positionV>
            <wp:extent cx="3557905" cy="1169035"/>
            <wp:effectExtent l="0" t="0" r="0" b="0"/>
            <wp:wrapTight wrapText="bothSides">
              <wp:wrapPolygon edited="0">
                <wp:start x="0" y="0"/>
                <wp:lineTo x="0" y="21354"/>
                <wp:lineTo x="21511" y="21354"/>
                <wp:lineTo x="21511" y="0"/>
                <wp:lineTo x="0" y="0"/>
              </wp:wrapPolygon>
            </wp:wrapTight>
            <wp:docPr id="431324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2444"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557905" cy="1169035"/>
                    </a:xfrm>
                    <a:prstGeom prst="rect">
                      <a:avLst/>
                    </a:prstGeom>
                  </pic:spPr>
                </pic:pic>
              </a:graphicData>
            </a:graphic>
            <wp14:sizeRelH relativeFrom="page">
              <wp14:pctWidth>0</wp14:pctWidth>
            </wp14:sizeRelH>
            <wp14:sizeRelV relativeFrom="page">
              <wp14:pctHeight>0</wp14:pctHeight>
            </wp14:sizeRelV>
          </wp:anchor>
        </w:drawing>
      </w:r>
    </w:p>
    <w:p w14:paraId="5F3B619C" w14:textId="77777777" w:rsidR="00ED4694" w:rsidRPr="0063686F" w:rsidRDefault="00ED4694" w:rsidP="00ED4694">
      <w:pPr>
        <w:pStyle w:val="Sansinterligne"/>
        <w:rPr>
          <w:rFonts w:ascii="Arial" w:hAnsi="Arial" w:cs="Arial"/>
          <w:color w:val="000000" w:themeColor="text1"/>
          <w:sz w:val="20"/>
          <w:szCs w:val="20"/>
        </w:rPr>
      </w:pPr>
    </w:p>
    <w:p w14:paraId="041C927D" w14:textId="77777777" w:rsidR="00ED4694" w:rsidRPr="0063686F" w:rsidRDefault="00ED4694" w:rsidP="00ED4694">
      <w:pPr>
        <w:pStyle w:val="Sansinterligne"/>
        <w:jc w:val="both"/>
        <w:rPr>
          <w:rFonts w:ascii="Arial" w:hAnsi="Arial" w:cs="Arial"/>
          <w:color w:val="000000" w:themeColor="text1"/>
          <w:sz w:val="20"/>
          <w:szCs w:val="20"/>
        </w:rPr>
      </w:pPr>
    </w:p>
    <w:p w14:paraId="572C7FB4" w14:textId="4BE74BDB" w:rsidR="00ED4694" w:rsidRDefault="00ED4694" w:rsidP="00ED4694">
      <w:pPr>
        <w:pStyle w:val="Sansinterligne"/>
        <w:jc w:val="both"/>
        <w:rPr>
          <w:rFonts w:ascii="Arial" w:hAnsi="Arial" w:cs="Arial"/>
          <w:color w:val="000000" w:themeColor="text1"/>
          <w:sz w:val="20"/>
          <w:szCs w:val="20"/>
        </w:rPr>
      </w:pPr>
      <w:r w:rsidRPr="002B7A31">
        <w:rPr>
          <w:rFonts w:ascii="Arial" w:hAnsi="Arial" w:cs="Arial"/>
          <w:noProof/>
          <w:color w:val="000000" w:themeColor="text1"/>
          <w:sz w:val="20"/>
          <w:szCs w:val="20"/>
        </w:rPr>
        <w:lastRenderedPageBreak/>
        <w:drawing>
          <wp:anchor distT="0" distB="0" distL="114300" distR="114300" simplePos="0" relativeHeight="251776000" behindDoc="1" locked="0" layoutInCell="1" allowOverlap="1" wp14:anchorId="2EAEB541" wp14:editId="7F6C518E">
            <wp:simplePos x="0" y="0"/>
            <wp:positionH relativeFrom="column">
              <wp:posOffset>5080</wp:posOffset>
            </wp:positionH>
            <wp:positionV relativeFrom="paragraph">
              <wp:posOffset>3851398</wp:posOffset>
            </wp:positionV>
            <wp:extent cx="3435684" cy="1270000"/>
            <wp:effectExtent l="0" t="0" r="6350" b="0"/>
            <wp:wrapTight wrapText="bothSides">
              <wp:wrapPolygon edited="0">
                <wp:start x="0" y="0"/>
                <wp:lineTo x="0" y="21384"/>
                <wp:lineTo x="21560" y="21384"/>
                <wp:lineTo x="21560" y="0"/>
                <wp:lineTo x="0" y="0"/>
              </wp:wrapPolygon>
            </wp:wrapTight>
            <wp:docPr id="1824177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7743"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435684" cy="1270000"/>
                    </a:xfrm>
                    <a:prstGeom prst="rect">
                      <a:avLst/>
                    </a:prstGeom>
                  </pic:spPr>
                </pic:pic>
              </a:graphicData>
            </a:graphic>
            <wp14:sizeRelH relativeFrom="page">
              <wp14:pctWidth>0</wp14:pctWidth>
            </wp14:sizeRelH>
            <wp14:sizeRelV relativeFrom="page">
              <wp14:pctHeight>0</wp14:pctHeight>
            </wp14:sizeRelV>
          </wp:anchor>
        </w:drawing>
      </w:r>
      <w:r w:rsidRPr="002B7A31">
        <w:rPr>
          <w:rFonts w:ascii="Arial" w:hAnsi="Arial" w:cs="Arial"/>
          <w:noProof/>
          <w:color w:val="000000" w:themeColor="text1"/>
          <w:sz w:val="20"/>
          <w:szCs w:val="20"/>
        </w:rPr>
        <w:drawing>
          <wp:anchor distT="0" distB="0" distL="114300" distR="114300" simplePos="0" relativeHeight="251778048" behindDoc="1" locked="0" layoutInCell="1" allowOverlap="1" wp14:anchorId="7981B7B5" wp14:editId="416B3B73">
            <wp:simplePos x="0" y="0"/>
            <wp:positionH relativeFrom="column">
              <wp:posOffset>3582297</wp:posOffset>
            </wp:positionH>
            <wp:positionV relativeFrom="paragraph">
              <wp:posOffset>3844738</wp:posOffset>
            </wp:positionV>
            <wp:extent cx="3257550" cy="1270913"/>
            <wp:effectExtent l="0" t="0" r="0" b="0"/>
            <wp:wrapTight wrapText="bothSides">
              <wp:wrapPolygon edited="0">
                <wp:start x="0" y="0"/>
                <wp:lineTo x="0" y="21373"/>
                <wp:lineTo x="21474" y="21373"/>
                <wp:lineTo x="21474" y="0"/>
                <wp:lineTo x="0" y="0"/>
              </wp:wrapPolygon>
            </wp:wrapTight>
            <wp:docPr id="10657480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748047"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257550" cy="1270913"/>
                    </a:xfrm>
                    <a:prstGeom prst="rect">
                      <a:avLst/>
                    </a:prstGeom>
                  </pic:spPr>
                </pic:pic>
              </a:graphicData>
            </a:graphic>
            <wp14:sizeRelH relativeFrom="page">
              <wp14:pctWidth>0</wp14:pctWidth>
            </wp14:sizeRelH>
            <wp14:sizeRelV relativeFrom="page">
              <wp14:pctHeight>0</wp14:pctHeight>
            </wp14:sizeRelV>
          </wp:anchor>
        </w:drawing>
      </w:r>
      <w:r w:rsidRPr="00EA4EC5">
        <w:rPr>
          <w:rFonts w:ascii="Arial" w:hAnsi="Arial" w:cs="Arial"/>
          <w:noProof/>
          <w:color w:val="000000" w:themeColor="text1"/>
          <w:sz w:val="20"/>
          <w:szCs w:val="20"/>
        </w:rPr>
        <w:drawing>
          <wp:anchor distT="0" distB="0" distL="114300" distR="114300" simplePos="0" relativeHeight="251771904" behindDoc="1" locked="0" layoutInCell="1" allowOverlap="1" wp14:anchorId="2094C34A" wp14:editId="0614AB54">
            <wp:simplePos x="0" y="0"/>
            <wp:positionH relativeFrom="column">
              <wp:posOffset>3471050</wp:posOffset>
            </wp:positionH>
            <wp:positionV relativeFrom="paragraph">
              <wp:posOffset>10160</wp:posOffset>
            </wp:positionV>
            <wp:extent cx="3303270" cy="1767840"/>
            <wp:effectExtent l="0" t="0" r="0" b="0"/>
            <wp:wrapTight wrapText="bothSides">
              <wp:wrapPolygon edited="0">
                <wp:start x="0" y="0"/>
                <wp:lineTo x="0" y="21414"/>
                <wp:lineTo x="21509" y="21414"/>
                <wp:lineTo x="21509" y="0"/>
                <wp:lineTo x="0" y="0"/>
              </wp:wrapPolygon>
            </wp:wrapTight>
            <wp:docPr id="21256291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629104"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303270" cy="1767840"/>
                    </a:xfrm>
                    <a:prstGeom prst="rect">
                      <a:avLst/>
                    </a:prstGeom>
                  </pic:spPr>
                </pic:pic>
              </a:graphicData>
            </a:graphic>
            <wp14:sizeRelH relativeFrom="page">
              <wp14:pctWidth>0</wp14:pctWidth>
            </wp14:sizeRelH>
            <wp14:sizeRelV relativeFrom="page">
              <wp14:pctHeight>0</wp14:pctHeight>
            </wp14:sizeRelV>
          </wp:anchor>
        </w:drawing>
      </w:r>
      <w:r w:rsidRPr="00EA4EC5">
        <w:rPr>
          <w:noProof/>
        </w:rPr>
        <w:drawing>
          <wp:anchor distT="0" distB="0" distL="114300" distR="114300" simplePos="0" relativeHeight="251774976" behindDoc="1" locked="0" layoutInCell="1" allowOverlap="1" wp14:anchorId="61FD7265" wp14:editId="4A4881C0">
            <wp:simplePos x="0" y="0"/>
            <wp:positionH relativeFrom="column">
              <wp:posOffset>3509010</wp:posOffset>
            </wp:positionH>
            <wp:positionV relativeFrom="paragraph">
              <wp:posOffset>1964055</wp:posOffset>
            </wp:positionV>
            <wp:extent cx="3270885" cy="1650365"/>
            <wp:effectExtent l="0" t="0" r="5715" b="635"/>
            <wp:wrapTight wrapText="bothSides">
              <wp:wrapPolygon edited="0">
                <wp:start x="0" y="0"/>
                <wp:lineTo x="0" y="21442"/>
                <wp:lineTo x="21554" y="21442"/>
                <wp:lineTo x="21554" y="0"/>
                <wp:lineTo x="0" y="0"/>
              </wp:wrapPolygon>
            </wp:wrapTight>
            <wp:docPr id="13913290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329009"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270885" cy="1650365"/>
                    </a:xfrm>
                    <a:prstGeom prst="rect">
                      <a:avLst/>
                    </a:prstGeom>
                  </pic:spPr>
                </pic:pic>
              </a:graphicData>
            </a:graphic>
            <wp14:sizeRelH relativeFrom="page">
              <wp14:pctWidth>0</wp14:pctWidth>
            </wp14:sizeRelH>
            <wp14:sizeRelV relativeFrom="page">
              <wp14:pctHeight>0</wp14:pctHeight>
            </wp14:sizeRelV>
          </wp:anchor>
        </w:drawing>
      </w:r>
      <w:r w:rsidRPr="00EA4EC5">
        <w:rPr>
          <w:rFonts w:ascii="Arial" w:hAnsi="Arial" w:cs="Arial"/>
          <w:noProof/>
          <w:color w:val="000000" w:themeColor="text1"/>
          <w:sz w:val="20"/>
          <w:szCs w:val="20"/>
        </w:rPr>
        <w:drawing>
          <wp:anchor distT="0" distB="0" distL="114300" distR="114300" simplePos="0" relativeHeight="251773952" behindDoc="1" locked="0" layoutInCell="1" allowOverlap="1" wp14:anchorId="37566B9F" wp14:editId="096B79F2">
            <wp:simplePos x="0" y="0"/>
            <wp:positionH relativeFrom="column">
              <wp:posOffset>8701</wp:posOffset>
            </wp:positionH>
            <wp:positionV relativeFrom="paragraph">
              <wp:posOffset>1959998</wp:posOffset>
            </wp:positionV>
            <wp:extent cx="3207385" cy="1717675"/>
            <wp:effectExtent l="0" t="0" r="5715" b="0"/>
            <wp:wrapTight wrapText="bothSides">
              <wp:wrapPolygon edited="0">
                <wp:start x="0" y="0"/>
                <wp:lineTo x="0" y="21400"/>
                <wp:lineTo x="21553" y="21400"/>
                <wp:lineTo x="21553" y="0"/>
                <wp:lineTo x="0" y="0"/>
              </wp:wrapPolygon>
            </wp:wrapTight>
            <wp:docPr id="7868967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96743"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207385" cy="1717675"/>
                    </a:xfrm>
                    <a:prstGeom prst="rect">
                      <a:avLst/>
                    </a:prstGeom>
                  </pic:spPr>
                </pic:pic>
              </a:graphicData>
            </a:graphic>
            <wp14:sizeRelH relativeFrom="page">
              <wp14:pctWidth>0</wp14:pctWidth>
            </wp14:sizeRelH>
            <wp14:sizeRelV relativeFrom="page">
              <wp14:pctHeight>0</wp14:pctHeight>
            </wp14:sizeRelV>
          </wp:anchor>
        </w:drawing>
      </w:r>
      <w:r w:rsidRPr="00EA4EC5">
        <w:rPr>
          <w:rFonts w:ascii="Arial" w:hAnsi="Arial" w:cs="Arial"/>
          <w:noProof/>
          <w:color w:val="000000" w:themeColor="text1"/>
          <w:sz w:val="20"/>
          <w:szCs w:val="20"/>
        </w:rPr>
        <w:drawing>
          <wp:anchor distT="0" distB="0" distL="114300" distR="114300" simplePos="0" relativeHeight="251772928" behindDoc="1" locked="0" layoutInCell="1" allowOverlap="1" wp14:anchorId="7B3201D1" wp14:editId="487CA503">
            <wp:simplePos x="0" y="0"/>
            <wp:positionH relativeFrom="column">
              <wp:posOffset>10633</wp:posOffset>
            </wp:positionH>
            <wp:positionV relativeFrom="paragraph">
              <wp:posOffset>108</wp:posOffset>
            </wp:positionV>
            <wp:extent cx="3303447" cy="1768205"/>
            <wp:effectExtent l="0" t="0" r="0" b="0"/>
            <wp:wrapTight wrapText="bothSides">
              <wp:wrapPolygon edited="0">
                <wp:start x="0" y="0"/>
                <wp:lineTo x="0" y="21414"/>
                <wp:lineTo x="21509" y="21414"/>
                <wp:lineTo x="21509" y="0"/>
                <wp:lineTo x="0" y="0"/>
              </wp:wrapPolygon>
            </wp:wrapTight>
            <wp:docPr id="19981414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14147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308423" cy="1770869"/>
                    </a:xfrm>
                    <a:prstGeom prst="rect">
                      <a:avLst/>
                    </a:prstGeom>
                  </pic:spPr>
                </pic:pic>
              </a:graphicData>
            </a:graphic>
            <wp14:sizeRelH relativeFrom="page">
              <wp14:pctWidth>0</wp14:pctWidth>
            </wp14:sizeRelH>
            <wp14:sizeRelV relativeFrom="page">
              <wp14:pctHeight>0</wp14:pctHeight>
            </wp14:sizeRelV>
          </wp:anchor>
        </w:drawing>
      </w:r>
      <w:r w:rsidRPr="00EA4EC5">
        <w:rPr>
          <w:noProof/>
        </w:rPr>
        <w:t xml:space="preserve"> </w:t>
      </w:r>
      <w:r w:rsidR="005A3502">
        <w:rPr>
          <w:noProof/>
        </w:rPr>
        <w:t xml:space="preserve"> </w:t>
      </w:r>
    </w:p>
    <w:p w14:paraId="612C025E" w14:textId="77777777" w:rsidR="00ED4694" w:rsidRPr="0063686F" w:rsidRDefault="00ED4694" w:rsidP="00ED4694">
      <w:pPr>
        <w:pStyle w:val="Sansinterligne"/>
        <w:jc w:val="both"/>
        <w:rPr>
          <w:rFonts w:ascii="Arial" w:hAnsi="Arial" w:cs="Arial"/>
          <w:color w:val="000000" w:themeColor="text1"/>
          <w:sz w:val="20"/>
          <w:szCs w:val="20"/>
        </w:rPr>
      </w:pPr>
    </w:p>
    <w:p w14:paraId="7063B227" w14:textId="77777777" w:rsidR="00ED4694" w:rsidRPr="0063686F" w:rsidRDefault="00ED4694" w:rsidP="00ED4694">
      <w:pPr>
        <w:pStyle w:val="Sansinterligne"/>
        <w:jc w:val="both"/>
        <w:rPr>
          <w:rFonts w:ascii="Arial" w:hAnsi="Arial" w:cs="Arial"/>
          <w:color w:val="000000" w:themeColor="text1"/>
          <w:sz w:val="20"/>
          <w:szCs w:val="20"/>
        </w:rPr>
      </w:pPr>
      <w:r w:rsidRPr="0063686F">
        <w:rPr>
          <w:rFonts w:ascii="Arial" w:hAnsi="Arial" w:cs="Arial"/>
          <w:color w:val="000000" w:themeColor="text1"/>
          <w:sz w:val="20"/>
          <w:szCs w:val="20"/>
        </w:rPr>
        <w:fldChar w:fldCharType="begin"/>
      </w:r>
      <w:r w:rsidRPr="0063686F">
        <w:rPr>
          <w:rFonts w:ascii="Arial" w:hAnsi="Arial" w:cs="Arial"/>
          <w:color w:val="000000" w:themeColor="text1"/>
          <w:sz w:val="20"/>
          <w:szCs w:val="20"/>
        </w:rPr>
        <w:instrText xml:space="preserve"> INCLUDEPICTURE "/Users/alienorprudhomme/Library/Group Containers/UBF8T346G9.ms/WebArchiveCopyPasteTempFiles/com.microsoft.Word/page39image315261328" \* MERGEFORMATINET </w:instrText>
      </w:r>
      <w:r w:rsidRPr="0063686F">
        <w:rPr>
          <w:rFonts w:ascii="Arial" w:hAnsi="Arial" w:cs="Arial"/>
          <w:color w:val="000000" w:themeColor="text1"/>
          <w:sz w:val="20"/>
          <w:szCs w:val="20"/>
        </w:rPr>
        <w:fldChar w:fldCharType="separate"/>
      </w:r>
      <w:r w:rsidRPr="0063686F">
        <w:rPr>
          <w:rFonts w:ascii="Arial" w:hAnsi="Arial" w:cs="Arial"/>
          <w:color w:val="000000" w:themeColor="text1"/>
          <w:sz w:val="20"/>
          <w:szCs w:val="20"/>
        </w:rPr>
        <w:fldChar w:fldCharType="end"/>
      </w:r>
    </w:p>
    <w:p w14:paraId="3BB6727C" w14:textId="77777777" w:rsidR="00ED4694" w:rsidRDefault="00ED4694" w:rsidP="00ED4694">
      <w:pPr>
        <w:pStyle w:val="Sansinterligne"/>
        <w:jc w:val="both"/>
        <w:rPr>
          <w:rFonts w:ascii="Arial" w:hAnsi="Arial" w:cs="Arial"/>
          <w:color w:val="000000" w:themeColor="text1"/>
          <w:sz w:val="20"/>
          <w:szCs w:val="20"/>
        </w:rPr>
      </w:pPr>
      <w:r w:rsidRPr="0063686F">
        <w:rPr>
          <w:rFonts w:ascii="Arial" w:hAnsi="Arial" w:cs="Arial"/>
          <w:noProof/>
          <w:color w:val="000000" w:themeColor="text1"/>
          <w:sz w:val="20"/>
          <w:szCs w:val="20"/>
        </w:rPr>
        <w:drawing>
          <wp:anchor distT="0" distB="0" distL="114300" distR="114300" simplePos="0" relativeHeight="251777024" behindDoc="1" locked="0" layoutInCell="1" allowOverlap="1" wp14:anchorId="70D3481E" wp14:editId="7482938B">
            <wp:simplePos x="0" y="0"/>
            <wp:positionH relativeFrom="column">
              <wp:posOffset>3688118</wp:posOffset>
            </wp:positionH>
            <wp:positionV relativeFrom="paragraph">
              <wp:posOffset>15240</wp:posOffset>
            </wp:positionV>
            <wp:extent cx="3146425" cy="1339215"/>
            <wp:effectExtent l="0" t="0" r="3175" b="0"/>
            <wp:wrapTight wrapText="bothSides">
              <wp:wrapPolygon edited="0">
                <wp:start x="0" y="0"/>
                <wp:lineTo x="0" y="21303"/>
                <wp:lineTo x="21535" y="21303"/>
                <wp:lineTo x="21535" y="0"/>
                <wp:lineTo x="0" y="0"/>
              </wp:wrapPolygon>
            </wp:wrapTight>
            <wp:docPr id="1799497392" name="Image 201" descr="page39image31526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ge39image31526132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146425" cy="1339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686F">
        <w:rPr>
          <w:rFonts w:ascii="Arial" w:hAnsi="Arial" w:cs="Arial"/>
          <w:color w:val="000000" w:themeColor="text1"/>
          <w:sz w:val="20"/>
          <w:szCs w:val="20"/>
        </w:rPr>
        <w:t>- chez les patients contrôlés de manière inadéquate par la metformine seule à la dose maximale tolérée ;</w:t>
      </w:r>
    </w:p>
    <w:p w14:paraId="6152E3AD" w14:textId="77777777" w:rsidR="00ED4694" w:rsidRPr="0063686F" w:rsidRDefault="00ED4694" w:rsidP="00ED4694">
      <w:pPr>
        <w:pStyle w:val="Sansinterligne"/>
        <w:jc w:val="both"/>
        <w:rPr>
          <w:rFonts w:ascii="Arial" w:hAnsi="Arial" w:cs="Arial"/>
          <w:color w:val="000000" w:themeColor="text1"/>
          <w:sz w:val="20"/>
          <w:szCs w:val="20"/>
        </w:rPr>
      </w:pPr>
      <w:r w:rsidRPr="0063686F">
        <w:rPr>
          <w:rFonts w:ascii="Arial" w:hAnsi="Arial" w:cs="Arial"/>
          <w:color w:val="000000" w:themeColor="text1"/>
          <w:sz w:val="20"/>
          <w:szCs w:val="20"/>
        </w:rPr>
        <w:t xml:space="preserve">- en association avec un sulfamide hypoglycémiant, chez les patients dont le contrôle glycémique est insuffisant à la dose maximale de metformine associée à un sulfamide hypoglycémiant ; </w:t>
      </w:r>
    </w:p>
    <w:p w14:paraId="43F53B84" w14:textId="77777777" w:rsidR="00ED4694" w:rsidRDefault="00ED4694" w:rsidP="00ED4694">
      <w:pPr>
        <w:pStyle w:val="Sansinterligne"/>
        <w:jc w:val="both"/>
        <w:rPr>
          <w:rFonts w:ascii="Arial" w:hAnsi="Arial" w:cs="Arial"/>
          <w:color w:val="000000" w:themeColor="text1"/>
          <w:sz w:val="20"/>
          <w:szCs w:val="20"/>
        </w:rPr>
      </w:pPr>
      <w:r w:rsidRPr="0063686F">
        <w:rPr>
          <w:rFonts w:ascii="Arial" w:hAnsi="Arial" w:cs="Arial"/>
          <w:color w:val="000000" w:themeColor="text1"/>
          <w:sz w:val="20"/>
          <w:szCs w:val="20"/>
        </w:rPr>
        <w:t>- en association avec l'insuline, chez les patients dont le contrôle glycémique est insuffisant à la dose maximale de metformine associée à l'insuline ;</w:t>
      </w:r>
    </w:p>
    <w:p w14:paraId="31F8FE5C" w14:textId="77777777" w:rsidR="00ED4694" w:rsidRDefault="00ED4694" w:rsidP="00ED4694">
      <w:pPr>
        <w:pStyle w:val="Sansinterligne"/>
        <w:jc w:val="both"/>
        <w:rPr>
          <w:rFonts w:ascii="Arial" w:hAnsi="Arial" w:cs="Arial"/>
          <w:color w:val="000000" w:themeColor="text1"/>
          <w:sz w:val="20"/>
          <w:szCs w:val="20"/>
        </w:rPr>
      </w:pPr>
      <w:r w:rsidRPr="0063686F">
        <w:rPr>
          <w:rFonts w:ascii="Arial" w:hAnsi="Arial" w:cs="Arial"/>
          <w:color w:val="000000" w:themeColor="text1"/>
          <w:sz w:val="20"/>
          <w:szCs w:val="20"/>
        </w:rPr>
        <w:t xml:space="preserve">- chez les patients déjà traités par l'association gliflozine et metformine sous la forme de comprimés séparés. </w:t>
      </w:r>
    </w:p>
    <w:p w14:paraId="3842ED3C" w14:textId="77777777" w:rsidR="00ED4694" w:rsidRDefault="00ED4694" w:rsidP="00ED4694">
      <w:pPr>
        <w:pStyle w:val="Sansinterligne"/>
        <w:jc w:val="both"/>
        <w:rPr>
          <w:rFonts w:ascii="Arial" w:hAnsi="Arial" w:cs="Arial"/>
          <w:color w:val="000000" w:themeColor="text1"/>
          <w:sz w:val="20"/>
          <w:szCs w:val="20"/>
        </w:rPr>
      </w:pPr>
    </w:p>
    <w:p w14:paraId="7A93DA27" w14:textId="77777777" w:rsidR="00ED4694" w:rsidRPr="0063686F" w:rsidRDefault="00ED4694" w:rsidP="00ED4694">
      <w:pPr>
        <w:pStyle w:val="Sansinterligne"/>
        <w:jc w:val="both"/>
        <w:rPr>
          <w:rFonts w:ascii="Arial" w:hAnsi="Arial" w:cs="Arial"/>
          <w:color w:val="000000" w:themeColor="text1"/>
          <w:sz w:val="20"/>
          <w:szCs w:val="20"/>
        </w:rPr>
      </w:pPr>
      <w:r>
        <w:rPr>
          <w:rFonts w:ascii="Arial" w:hAnsi="Arial" w:cs="Arial"/>
          <w:color w:val="000000" w:themeColor="text1"/>
          <w:sz w:val="20"/>
          <w:szCs w:val="20"/>
        </w:rPr>
        <w:t>L</w:t>
      </w:r>
      <w:r w:rsidRPr="0063686F">
        <w:rPr>
          <w:rFonts w:ascii="Arial" w:hAnsi="Arial" w:cs="Arial"/>
          <w:color w:val="000000" w:themeColor="text1"/>
          <w:sz w:val="20"/>
          <w:szCs w:val="20"/>
        </w:rPr>
        <w:t xml:space="preserve">e risque cardiovasculaire du patient doit être pris en compte et orienter le choix du traitement, indépendamment de la valeur basale de l’HbA1c ou de la cible d’HbA1c. </w:t>
      </w:r>
    </w:p>
    <w:p w14:paraId="152515B0" w14:textId="77777777" w:rsidR="00ED4694" w:rsidRPr="0063686F" w:rsidRDefault="00ED4694" w:rsidP="00ED4694">
      <w:pPr>
        <w:pStyle w:val="Sansinterligne"/>
        <w:jc w:val="both"/>
        <w:rPr>
          <w:rFonts w:ascii="Arial" w:hAnsi="Arial" w:cs="Arial"/>
          <w:color w:val="000000" w:themeColor="text1"/>
          <w:sz w:val="20"/>
          <w:szCs w:val="20"/>
        </w:rPr>
      </w:pPr>
      <w:r w:rsidRPr="0044772D">
        <w:rPr>
          <w:rFonts w:ascii="Arial" w:hAnsi="Arial" w:cs="Arial"/>
          <w:b/>
          <w:bCs/>
          <w:color w:val="000000" w:themeColor="text1"/>
          <w:sz w:val="20"/>
          <w:szCs w:val="20"/>
        </w:rPr>
        <w:t>Première intention du diabète de type 2 reste la metformi</w:t>
      </w:r>
      <w:r w:rsidRPr="0063686F">
        <w:rPr>
          <w:rFonts w:ascii="Arial" w:hAnsi="Arial" w:cs="Arial"/>
          <w:color w:val="000000" w:themeColor="text1"/>
          <w:sz w:val="20"/>
          <w:szCs w:val="20"/>
        </w:rPr>
        <w:t>ne associée aux mesures hygiéno-diététiques.</w:t>
      </w:r>
      <w:r>
        <w:rPr>
          <w:rFonts w:ascii="Arial" w:hAnsi="Arial" w:cs="Arial"/>
          <w:color w:val="000000" w:themeColor="text1"/>
          <w:sz w:val="20"/>
          <w:szCs w:val="20"/>
        </w:rPr>
        <w:t xml:space="preserve"> </w:t>
      </w:r>
      <w:r w:rsidRPr="0063686F">
        <w:rPr>
          <w:rFonts w:ascii="Arial" w:hAnsi="Arial" w:cs="Arial"/>
          <w:color w:val="000000" w:themeColor="text1"/>
          <w:sz w:val="20"/>
          <w:szCs w:val="20"/>
        </w:rPr>
        <w:t>Chez les patients avec une maladie cardiovasculaire</w:t>
      </w:r>
      <w:r>
        <w:rPr>
          <w:rFonts w:ascii="Arial" w:hAnsi="Arial" w:cs="Arial"/>
          <w:color w:val="000000" w:themeColor="text1"/>
          <w:sz w:val="20"/>
          <w:szCs w:val="20"/>
        </w:rPr>
        <w:t xml:space="preserve"> </w:t>
      </w:r>
      <w:r w:rsidRPr="0063686F">
        <w:rPr>
          <w:rFonts w:ascii="Arial" w:hAnsi="Arial" w:cs="Arial"/>
          <w:color w:val="000000" w:themeColor="text1"/>
          <w:sz w:val="20"/>
          <w:szCs w:val="20"/>
        </w:rPr>
        <w:t xml:space="preserve">avérée, le traitement de seconde ligne est un agoniste du GLP-1 ou une gliflozine ayant apporté la preuve d’un bénéfice cardiovasculaire. </w:t>
      </w:r>
    </w:p>
    <w:p w14:paraId="4ABDBCCE" w14:textId="77777777" w:rsidR="00ED4694" w:rsidRPr="0063686F" w:rsidRDefault="00ED4694" w:rsidP="00ED4694">
      <w:pPr>
        <w:pStyle w:val="Sansinterligne"/>
        <w:jc w:val="both"/>
        <w:rPr>
          <w:rFonts w:ascii="Arial" w:hAnsi="Arial" w:cs="Arial"/>
          <w:color w:val="000000" w:themeColor="text1"/>
          <w:sz w:val="20"/>
          <w:szCs w:val="20"/>
        </w:rPr>
      </w:pPr>
      <w:r w:rsidRPr="0063686F">
        <w:rPr>
          <w:rFonts w:ascii="Arial" w:hAnsi="Arial" w:cs="Arial"/>
          <w:color w:val="000000" w:themeColor="text1"/>
          <w:sz w:val="20"/>
          <w:szCs w:val="20"/>
        </w:rPr>
        <w:t>Le choix peut se porter sur l’une ou l’autre de ces classes</w:t>
      </w:r>
      <w:r>
        <w:rPr>
          <w:rFonts w:ascii="Arial" w:hAnsi="Arial" w:cs="Arial"/>
          <w:color w:val="000000" w:themeColor="text1"/>
          <w:sz w:val="20"/>
          <w:szCs w:val="20"/>
        </w:rPr>
        <w:t xml:space="preserve"> </w:t>
      </w:r>
      <w:r w:rsidRPr="0063686F">
        <w:rPr>
          <w:rFonts w:ascii="Arial" w:hAnsi="Arial" w:cs="Arial"/>
          <w:color w:val="000000" w:themeColor="text1"/>
          <w:sz w:val="20"/>
          <w:szCs w:val="20"/>
        </w:rPr>
        <w:t xml:space="preserve">lorsque le tableau clinique prédominant est celui d’une maladie athéromateuse, en tenant compte des préférences du patient, mais aussi du coût plus élevé des agonistes du GLP-1. </w:t>
      </w:r>
    </w:p>
    <w:p w14:paraId="6C0109B1" w14:textId="77777777" w:rsidR="00ED4694" w:rsidRPr="0063686F" w:rsidRDefault="00ED4694" w:rsidP="00ED4694">
      <w:pPr>
        <w:pStyle w:val="Sansinterligne"/>
        <w:jc w:val="both"/>
        <w:rPr>
          <w:rFonts w:ascii="Arial" w:hAnsi="Arial" w:cs="Arial"/>
          <w:color w:val="000000" w:themeColor="text1"/>
          <w:sz w:val="20"/>
          <w:szCs w:val="20"/>
        </w:rPr>
      </w:pPr>
    </w:p>
    <w:p w14:paraId="7EDDC9DA" w14:textId="77777777" w:rsidR="00ED4694" w:rsidRPr="0063686F" w:rsidRDefault="00ED4694" w:rsidP="00ED4694">
      <w:pPr>
        <w:pStyle w:val="Sansinterligne"/>
        <w:jc w:val="both"/>
        <w:rPr>
          <w:rFonts w:ascii="Arial" w:hAnsi="Arial" w:cs="Arial"/>
          <w:color w:val="000000" w:themeColor="text1"/>
          <w:sz w:val="20"/>
          <w:szCs w:val="20"/>
        </w:rPr>
      </w:pPr>
    </w:p>
    <w:p w14:paraId="1D95A875" w14:textId="77777777" w:rsidR="00ED4694" w:rsidRPr="0063686F" w:rsidRDefault="00ED4694" w:rsidP="00ED4694">
      <w:pPr>
        <w:pStyle w:val="Sansinterligne"/>
        <w:jc w:val="both"/>
        <w:rPr>
          <w:rFonts w:ascii="Arial" w:hAnsi="Arial" w:cs="Arial"/>
          <w:color w:val="000000" w:themeColor="text1"/>
          <w:sz w:val="20"/>
          <w:szCs w:val="20"/>
        </w:rPr>
      </w:pPr>
    </w:p>
    <w:p w14:paraId="116C5883" w14:textId="77777777" w:rsidR="00ED4694" w:rsidRPr="0063686F" w:rsidRDefault="00ED4694" w:rsidP="00ED4694">
      <w:pPr>
        <w:pStyle w:val="Sansinterligne"/>
        <w:jc w:val="center"/>
        <w:rPr>
          <w:rFonts w:ascii="Arial" w:hAnsi="Arial" w:cs="Arial"/>
          <w:color w:val="000000" w:themeColor="text1"/>
          <w:sz w:val="20"/>
          <w:szCs w:val="20"/>
        </w:rPr>
      </w:pPr>
      <w:r w:rsidRPr="0063686F">
        <w:rPr>
          <w:rFonts w:ascii="Arial" w:hAnsi="Arial" w:cs="Arial"/>
          <w:color w:val="000000" w:themeColor="text1"/>
          <w:sz w:val="20"/>
          <w:szCs w:val="20"/>
        </w:rPr>
        <w:lastRenderedPageBreak/>
        <w:fldChar w:fldCharType="begin"/>
      </w:r>
      <w:r w:rsidRPr="0063686F">
        <w:rPr>
          <w:rFonts w:ascii="Arial" w:hAnsi="Arial" w:cs="Arial"/>
          <w:color w:val="000000" w:themeColor="text1"/>
          <w:sz w:val="20"/>
          <w:szCs w:val="20"/>
        </w:rPr>
        <w:instrText xml:space="preserve"> INCLUDEPICTURE "/Users/alienorprudhomme/Library/Group Containers/UBF8T346G9.ms/WebArchiveCopyPasteTempFiles/com.microsoft.Word/page43image315222304" \* MERGEFORMATINET </w:instrText>
      </w:r>
      <w:r w:rsidRPr="0063686F">
        <w:rPr>
          <w:rFonts w:ascii="Arial" w:hAnsi="Arial" w:cs="Arial"/>
          <w:color w:val="000000" w:themeColor="text1"/>
          <w:sz w:val="20"/>
          <w:szCs w:val="20"/>
        </w:rPr>
        <w:fldChar w:fldCharType="separate"/>
      </w:r>
      <w:r w:rsidRPr="0063686F">
        <w:rPr>
          <w:rFonts w:ascii="Arial" w:hAnsi="Arial" w:cs="Arial"/>
          <w:noProof/>
          <w:color w:val="000000" w:themeColor="text1"/>
          <w:sz w:val="20"/>
          <w:szCs w:val="20"/>
        </w:rPr>
        <w:drawing>
          <wp:inline distT="0" distB="0" distL="0" distR="0" wp14:anchorId="506323DF" wp14:editId="0663FCE7">
            <wp:extent cx="5516672" cy="3729789"/>
            <wp:effectExtent l="0" t="0" r="0" b="4445"/>
            <wp:docPr id="1722048957" name="Image 189" descr="page43image31522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page43image31522230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525559" cy="3735798"/>
                    </a:xfrm>
                    <a:prstGeom prst="rect">
                      <a:avLst/>
                    </a:prstGeom>
                    <a:noFill/>
                    <a:ln>
                      <a:noFill/>
                    </a:ln>
                  </pic:spPr>
                </pic:pic>
              </a:graphicData>
            </a:graphic>
          </wp:inline>
        </w:drawing>
      </w:r>
      <w:r w:rsidRPr="0063686F">
        <w:rPr>
          <w:rFonts w:ascii="Arial" w:hAnsi="Arial" w:cs="Arial"/>
          <w:color w:val="000000" w:themeColor="text1"/>
          <w:sz w:val="20"/>
          <w:szCs w:val="20"/>
        </w:rPr>
        <w:fldChar w:fldCharType="end"/>
      </w:r>
    </w:p>
    <w:p w14:paraId="048C626D" w14:textId="77777777" w:rsidR="00ED4694" w:rsidRDefault="00ED4694" w:rsidP="00ED4694">
      <w:pPr>
        <w:pStyle w:val="Sansinterligne"/>
        <w:jc w:val="both"/>
        <w:rPr>
          <w:rFonts w:ascii="Arial" w:hAnsi="Arial" w:cs="Arial"/>
          <w:color w:val="000000" w:themeColor="text1"/>
          <w:sz w:val="20"/>
          <w:szCs w:val="20"/>
        </w:rPr>
      </w:pPr>
    </w:p>
    <w:p w14:paraId="18A891FE" w14:textId="77777777" w:rsidR="00ED4694" w:rsidRPr="00BB4BBD" w:rsidRDefault="00ED4694" w:rsidP="00ED4694">
      <w:pPr>
        <w:pStyle w:val="Sansinterligne"/>
        <w:jc w:val="both"/>
        <w:rPr>
          <w:rFonts w:ascii="Arial" w:hAnsi="Arial" w:cs="Arial"/>
          <w:color w:val="000000" w:themeColor="text1"/>
          <w:sz w:val="20"/>
          <w:szCs w:val="20"/>
          <w:u w:val="single"/>
        </w:rPr>
      </w:pPr>
      <w:r w:rsidRPr="00BB4BBD">
        <w:rPr>
          <w:rFonts w:ascii="Arial" w:hAnsi="Arial" w:cs="Arial"/>
          <w:color w:val="000000" w:themeColor="text1"/>
          <w:sz w:val="20"/>
          <w:szCs w:val="20"/>
          <w:u w:val="single"/>
        </w:rPr>
        <w:t xml:space="preserve">Le recours à l’insuline dans le diabète de type 2 </w:t>
      </w:r>
    </w:p>
    <w:p w14:paraId="15F57F10"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Quasiment inévitable à moyen ou long terme </w:t>
      </w:r>
    </w:p>
    <w:p w14:paraId="06184EB9"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FE6A15">
        <w:rPr>
          <w:rFonts w:ascii="Arial" w:hAnsi="Arial" w:cs="Arial"/>
          <w:color w:val="000000" w:themeColor="text1"/>
          <w:sz w:val="20"/>
          <w:szCs w:val="20"/>
        </w:rPr>
        <w:t xml:space="preserve">Dû à l’épuisement progressif de la sécrétion d’insuline </w:t>
      </w:r>
    </w:p>
    <w:p w14:paraId="6D90D4BD"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FE6A15">
        <w:rPr>
          <w:rFonts w:ascii="Arial" w:hAnsi="Arial" w:cs="Arial"/>
          <w:color w:val="000000" w:themeColor="text1"/>
          <w:sz w:val="20"/>
          <w:szCs w:val="20"/>
        </w:rPr>
        <w:t xml:space="preserve">Ne pas retarder ni en menacer le patient </w:t>
      </w:r>
    </w:p>
    <w:p w14:paraId="683E4614"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A</w:t>
      </w:r>
      <w:r w:rsidRPr="00FE6A15">
        <w:rPr>
          <w:rFonts w:ascii="Arial" w:hAnsi="Arial" w:cs="Arial"/>
          <w:color w:val="000000" w:themeColor="text1"/>
          <w:sz w:val="20"/>
          <w:szCs w:val="20"/>
        </w:rPr>
        <w:t xml:space="preserve">méliore remarquablement les résultats si mise en route assez tôt </w:t>
      </w:r>
    </w:p>
    <w:p w14:paraId="38134B00" w14:textId="77777777" w:rsidR="00ED4694" w:rsidRPr="00FE6A15" w:rsidRDefault="00ED4694" w:rsidP="00ED4694">
      <w:pPr>
        <w:pStyle w:val="Sansinterligne"/>
        <w:numPr>
          <w:ilvl w:val="0"/>
          <w:numId w:val="140"/>
        </w:numPr>
        <w:jc w:val="both"/>
        <w:rPr>
          <w:rFonts w:ascii="Arial" w:hAnsi="Arial" w:cs="Arial"/>
          <w:color w:val="000000" w:themeColor="text1"/>
          <w:sz w:val="20"/>
          <w:szCs w:val="20"/>
        </w:rPr>
      </w:pPr>
      <w:r w:rsidRPr="00FE6A15">
        <w:rPr>
          <w:rFonts w:ascii="Arial" w:hAnsi="Arial" w:cs="Arial"/>
          <w:color w:val="000000" w:themeColor="text1"/>
          <w:sz w:val="20"/>
          <w:szCs w:val="20"/>
        </w:rPr>
        <w:t>Peut être transitoire</w:t>
      </w:r>
      <w:r>
        <w:rPr>
          <w:rFonts w:ascii="Arial" w:hAnsi="Arial" w:cs="Arial"/>
          <w:color w:val="000000" w:themeColor="text1"/>
          <w:sz w:val="20"/>
          <w:szCs w:val="20"/>
        </w:rPr>
        <w:t xml:space="preserve"> : </w:t>
      </w:r>
      <w:r w:rsidRPr="00FE6A15">
        <w:rPr>
          <w:rFonts w:ascii="Arial" w:hAnsi="Arial" w:cs="Arial"/>
          <w:color w:val="000000" w:themeColor="text1"/>
          <w:sz w:val="20"/>
          <w:szCs w:val="20"/>
        </w:rPr>
        <w:t xml:space="preserve">chirurgie, maladie intercurrente, accident cardiaque, traitement par corticoïdes, grossesse </w:t>
      </w:r>
    </w:p>
    <w:p w14:paraId="573121C1" w14:textId="77777777" w:rsidR="00ED4694" w:rsidRDefault="00ED4694" w:rsidP="00ED4694">
      <w:pPr>
        <w:pStyle w:val="Sansinterligne"/>
        <w:jc w:val="both"/>
        <w:rPr>
          <w:rFonts w:ascii="Arial" w:hAnsi="Arial" w:cs="Arial"/>
          <w:color w:val="000000" w:themeColor="text1"/>
          <w:sz w:val="20"/>
          <w:szCs w:val="20"/>
        </w:rPr>
      </w:pPr>
    </w:p>
    <w:p w14:paraId="12E8D264" w14:textId="77777777" w:rsidR="00ED4694" w:rsidRPr="00BB4BBD" w:rsidRDefault="00ED4694" w:rsidP="00ED4694">
      <w:pPr>
        <w:pStyle w:val="Sansinterligne"/>
        <w:jc w:val="both"/>
        <w:rPr>
          <w:rFonts w:ascii="Arial" w:hAnsi="Arial" w:cs="Arial"/>
          <w:color w:val="000000" w:themeColor="text1"/>
          <w:sz w:val="20"/>
          <w:szCs w:val="20"/>
          <w:u w:val="single"/>
        </w:rPr>
      </w:pPr>
      <w:r w:rsidRPr="00BB4BBD">
        <w:rPr>
          <w:rFonts w:ascii="Arial" w:hAnsi="Arial" w:cs="Arial"/>
          <w:color w:val="000000" w:themeColor="text1"/>
          <w:sz w:val="20"/>
          <w:szCs w:val="20"/>
          <w:u w:val="single"/>
        </w:rPr>
        <w:t xml:space="preserve">Dans le diabète de type 2 : insuline si... </w:t>
      </w:r>
    </w:p>
    <w:p w14:paraId="08DC01AD"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Si associa</w:t>
      </w:r>
      <w:r>
        <w:rPr>
          <w:rFonts w:ascii="Arial" w:hAnsi="Arial" w:cs="Arial"/>
          <w:color w:val="000000" w:themeColor="text1"/>
          <w:sz w:val="20"/>
          <w:szCs w:val="20"/>
        </w:rPr>
        <w:t>tio</w:t>
      </w:r>
      <w:r w:rsidRPr="0063686F">
        <w:rPr>
          <w:rFonts w:ascii="Arial" w:hAnsi="Arial" w:cs="Arial"/>
          <w:color w:val="000000" w:themeColor="text1"/>
          <w:sz w:val="20"/>
          <w:szCs w:val="20"/>
        </w:rPr>
        <w:t>n an</w:t>
      </w:r>
      <w:r>
        <w:rPr>
          <w:rFonts w:ascii="Arial" w:hAnsi="Arial" w:cs="Arial"/>
          <w:color w:val="000000" w:themeColor="text1"/>
          <w:sz w:val="20"/>
          <w:szCs w:val="20"/>
        </w:rPr>
        <w:t>tidi</w:t>
      </w:r>
      <w:r w:rsidRPr="0063686F">
        <w:rPr>
          <w:rFonts w:ascii="Arial" w:hAnsi="Arial" w:cs="Arial"/>
          <w:color w:val="000000" w:themeColor="text1"/>
          <w:sz w:val="20"/>
          <w:szCs w:val="20"/>
        </w:rPr>
        <w:t>abéti</w:t>
      </w:r>
      <w:r>
        <w:rPr>
          <w:rFonts w:ascii="Arial" w:hAnsi="Arial" w:cs="Arial"/>
          <w:color w:val="000000" w:themeColor="text1"/>
          <w:sz w:val="20"/>
          <w:szCs w:val="20"/>
        </w:rPr>
        <w:t>qu</w:t>
      </w:r>
      <w:r w:rsidRPr="0063686F">
        <w:rPr>
          <w:rFonts w:ascii="Arial" w:hAnsi="Arial" w:cs="Arial"/>
          <w:color w:val="000000" w:themeColor="text1"/>
          <w:sz w:val="20"/>
          <w:szCs w:val="20"/>
        </w:rPr>
        <w:t>es oraux insuffisant</w:t>
      </w:r>
      <w:r>
        <w:rPr>
          <w:rFonts w:ascii="Arial" w:hAnsi="Arial" w:cs="Arial"/>
          <w:color w:val="000000" w:themeColor="text1"/>
          <w:sz w:val="20"/>
          <w:szCs w:val="20"/>
        </w:rPr>
        <w:t xml:space="preserve">e, </w:t>
      </w:r>
      <w:r w:rsidRPr="00FE6A15">
        <w:rPr>
          <w:rFonts w:ascii="Arial" w:hAnsi="Arial" w:cs="Arial"/>
          <w:color w:val="000000" w:themeColor="text1"/>
          <w:sz w:val="20"/>
          <w:szCs w:val="20"/>
        </w:rPr>
        <w:t>et plus de 1% d’HbA1c à gagne</w:t>
      </w:r>
    </w:p>
    <w:p w14:paraId="7B38F7ED"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FE6A15">
        <w:rPr>
          <w:rFonts w:ascii="Arial" w:hAnsi="Arial" w:cs="Arial"/>
          <w:color w:val="000000" w:themeColor="text1"/>
          <w:sz w:val="20"/>
          <w:szCs w:val="20"/>
        </w:rPr>
        <w:t xml:space="preserve">Si intolérance et plus de 1% d’HbA1c à gagner </w:t>
      </w:r>
    </w:p>
    <w:p w14:paraId="538C3423" w14:textId="77777777" w:rsidR="00ED4694" w:rsidRPr="00FE6A15" w:rsidRDefault="00ED4694" w:rsidP="00ED4694">
      <w:pPr>
        <w:pStyle w:val="Sansinterligne"/>
        <w:numPr>
          <w:ilvl w:val="0"/>
          <w:numId w:val="140"/>
        </w:numPr>
        <w:jc w:val="both"/>
        <w:rPr>
          <w:rFonts w:ascii="Arial" w:hAnsi="Arial" w:cs="Arial"/>
          <w:color w:val="000000" w:themeColor="text1"/>
          <w:sz w:val="20"/>
          <w:szCs w:val="20"/>
        </w:rPr>
      </w:pPr>
      <w:r w:rsidRPr="00FE6A15">
        <w:rPr>
          <w:rFonts w:ascii="Arial" w:hAnsi="Arial" w:cs="Arial"/>
          <w:color w:val="000000" w:themeColor="text1"/>
          <w:sz w:val="20"/>
          <w:szCs w:val="20"/>
        </w:rPr>
        <w:t>D’emblée</w:t>
      </w:r>
      <w:r>
        <w:rPr>
          <w:rFonts w:ascii="Arial" w:hAnsi="Arial" w:cs="Arial"/>
          <w:color w:val="000000" w:themeColor="text1"/>
          <w:sz w:val="20"/>
          <w:szCs w:val="20"/>
        </w:rPr>
        <w:t xml:space="preserve"> : </w:t>
      </w:r>
      <w:r w:rsidRPr="00FE6A15">
        <w:rPr>
          <w:rFonts w:ascii="Arial" w:hAnsi="Arial" w:cs="Arial"/>
          <w:color w:val="000000" w:themeColor="text1"/>
          <w:sz w:val="20"/>
          <w:szCs w:val="20"/>
        </w:rPr>
        <w:t xml:space="preserve">si HbA1c &gt; 10% et glycémie &gt; 3g/L </w:t>
      </w:r>
    </w:p>
    <w:p w14:paraId="44B8F210" w14:textId="77777777" w:rsidR="00ED4694" w:rsidRDefault="00ED4694" w:rsidP="00ED4694">
      <w:pPr>
        <w:pStyle w:val="Sansinterligne"/>
        <w:jc w:val="both"/>
        <w:rPr>
          <w:rFonts w:ascii="Arial" w:hAnsi="Arial" w:cs="Arial"/>
          <w:color w:val="000000" w:themeColor="text1"/>
          <w:sz w:val="20"/>
          <w:szCs w:val="20"/>
        </w:rPr>
      </w:pPr>
      <w:r w:rsidRPr="0063686F">
        <w:rPr>
          <w:rFonts w:ascii="Arial" w:hAnsi="Arial" w:cs="Arial"/>
          <w:color w:val="000000" w:themeColor="text1"/>
          <w:sz w:val="20"/>
          <w:szCs w:val="20"/>
        </w:rPr>
        <w:t>La « nouvelle » pra</w:t>
      </w:r>
      <w:r>
        <w:rPr>
          <w:rFonts w:ascii="Arial" w:hAnsi="Arial" w:cs="Arial"/>
          <w:color w:val="000000" w:themeColor="text1"/>
          <w:sz w:val="20"/>
          <w:szCs w:val="20"/>
        </w:rPr>
        <w:t>ti</w:t>
      </w:r>
      <w:r w:rsidRPr="0063686F">
        <w:rPr>
          <w:rFonts w:ascii="Arial" w:hAnsi="Arial" w:cs="Arial"/>
          <w:color w:val="000000" w:themeColor="text1"/>
          <w:sz w:val="20"/>
          <w:szCs w:val="20"/>
        </w:rPr>
        <w:t xml:space="preserve">que de l’insulinothérapie : tenter de normaliser en premier la glycémie à jeun </w:t>
      </w:r>
    </w:p>
    <w:p w14:paraId="062B375E" w14:textId="77777777" w:rsidR="00ED4694" w:rsidRDefault="00ED4694" w:rsidP="00ED4694">
      <w:pPr>
        <w:pStyle w:val="Sansinterligne"/>
        <w:jc w:val="both"/>
        <w:rPr>
          <w:rFonts w:ascii="Arial" w:hAnsi="Arial" w:cs="Arial"/>
          <w:color w:val="000000" w:themeColor="text1"/>
          <w:sz w:val="20"/>
          <w:szCs w:val="20"/>
        </w:rPr>
      </w:pPr>
      <w:r w:rsidRPr="00BB4BBD">
        <w:rPr>
          <w:rFonts w:ascii="Arial" w:hAnsi="Arial" w:cs="Arial"/>
          <w:noProof/>
          <w:color w:val="000000" w:themeColor="text1"/>
          <w:sz w:val="20"/>
          <w:szCs w:val="20"/>
        </w:rPr>
        <w:drawing>
          <wp:anchor distT="0" distB="0" distL="114300" distR="114300" simplePos="0" relativeHeight="251793408" behindDoc="1" locked="0" layoutInCell="1" allowOverlap="1" wp14:anchorId="44E9EA0E" wp14:editId="5CC50781">
            <wp:simplePos x="0" y="0"/>
            <wp:positionH relativeFrom="column">
              <wp:posOffset>-128434</wp:posOffset>
            </wp:positionH>
            <wp:positionV relativeFrom="paragraph">
              <wp:posOffset>141085</wp:posOffset>
            </wp:positionV>
            <wp:extent cx="3510280" cy="1794510"/>
            <wp:effectExtent l="0" t="0" r="0" b="0"/>
            <wp:wrapTight wrapText="bothSides">
              <wp:wrapPolygon edited="0">
                <wp:start x="0" y="0"/>
                <wp:lineTo x="0" y="21401"/>
                <wp:lineTo x="21491" y="21401"/>
                <wp:lineTo x="21491" y="0"/>
                <wp:lineTo x="0" y="0"/>
              </wp:wrapPolygon>
            </wp:wrapTight>
            <wp:docPr id="763939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93902"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510280" cy="1794510"/>
                    </a:xfrm>
                    <a:prstGeom prst="rect">
                      <a:avLst/>
                    </a:prstGeom>
                  </pic:spPr>
                </pic:pic>
              </a:graphicData>
            </a:graphic>
            <wp14:sizeRelH relativeFrom="page">
              <wp14:pctWidth>0</wp14:pctWidth>
            </wp14:sizeRelH>
            <wp14:sizeRelV relativeFrom="page">
              <wp14:pctHeight>0</wp14:pctHeight>
            </wp14:sizeRelV>
          </wp:anchor>
        </w:drawing>
      </w:r>
      <w:r w:rsidRPr="00BB4BBD">
        <w:rPr>
          <w:rFonts w:ascii="Arial" w:hAnsi="Arial" w:cs="Arial"/>
          <w:noProof/>
          <w:color w:val="000000" w:themeColor="text1"/>
          <w:sz w:val="20"/>
          <w:szCs w:val="20"/>
        </w:rPr>
        <w:drawing>
          <wp:anchor distT="0" distB="0" distL="114300" distR="114300" simplePos="0" relativeHeight="251794432" behindDoc="1" locked="0" layoutInCell="1" allowOverlap="1" wp14:anchorId="0DBDD9B3" wp14:editId="475568D7">
            <wp:simplePos x="0" y="0"/>
            <wp:positionH relativeFrom="column">
              <wp:posOffset>3549536</wp:posOffset>
            </wp:positionH>
            <wp:positionV relativeFrom="paragraph">
              <wp:posOffset>159606</wp:posOffset>
            </wp:positionV>
            <wp:extent cx="3297555" cy="1779270"/>
            <wp:effectExtent l="0" t="0" r="4445" b="0"/>
            <wp:wrapTight wrapText="bothSides">
              <wp:wrapPolygon edited="0">
                <wp:start x="0" y="0"/>
                <wp:lineTo x="0" y="21430"/>
                <wp:lineTo x="21546" y="21430"/>
                <wp:lineTo x="21546" y="0"/>
                <wp:lineTo x="0" y="0"/>
              </wp:wrapPolygon>
            </wp:wrapTight>
            <wp:docPr id="16302729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272917"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297555" cy="1779270"/>
                    </a:xfrm>
                    <a:prstGeom prst="rect">
                      <a:avLst/>
                    </a:prstGeom>
                  </pic:spPr>
                </pic:pic>
              </a:graphicData>
            </a:graphic>
            <wp14:sizeRelH relativeFrom="page">
              <wp14:pctWidth>0</wp14:pctWidth>
            </wp14:sizeRelH>
            <wp14:sizeRelV relativeFrom="page">
              <wp14:pctHeight>0</wp14:pctHeight>
            </wp14:sizeRelV>
          </wp:anchor>
        </w:drawing>
      </w:r>
    </w:p>
    <w:p w14:paraId="42F7C5AC" w14:textId="77777777" w:rsidR="00ED4694" w:rsidRDefault="00ED4694" w:rsidP="00ED4694">
      <w:pPr>
        <w:pStyle w:val="Sansinterligne"/>
        <w:jc w:val="both"/>
        <w:rPr>
          <w:rFonts w:ascii="Arial" w:hAnsi="Arial" w:cs="Arial"/>
          <w:color w:val="000000" w:themeColor="text1"/>
          <w:sz w:val="20"/>
          <w:szCs w:val="20"/>
        </w:rPr>
      </w:pPr>
      <w:r w:rsidRPr="00BB4BBD">
        <w:rPr>
          <w:rFonts w:ascii="Arial" w:hAnsi="Arial" w:cs="Arial"/>
          <w:noProof/>
          <w:color w:val="000000" w:themeColor="text1"/>
          <w:sz w:val="20"/>
          <w:szCs w:val="20"/>
        </w:rPr>
        <w:drawing>
          <wp:anchor distT="0" distB="0" distL="114300" distR="114300" simplePos="0" relativeHeight="251796480" behindDoc="1" locked="0" layoutInCell="1" allowOverlap="1" wp14:anchorId="32A3DE84" wp14:editId="539C42B2">
            <wp:simplePos x="0" y="0"/>
            <wp:positionH relativeFrom="column">
              <wp:posOffset>4561205</wp:posOffset>
            </wp:positionH>
            <wp:positionV relativeFrom="paragraph">
              <wp:posOffset>2076450</wp:posOffset>
            </wp:positionV>
            <wp:extent cx="2284095" cy="1831340"/>
            <wp:effectExtent l="0" t="0" r="1905" b="0"/>
            <wp:wrapTight wrapText="bothSides">
              <wp:wrapPolygon edited="0">
                <wp:start x="0" y="0"/>
                <wp:lineTo x="0" y="21420"/>
                <wp:lineTo x="21498" y="21420"/>
                <wp:lineTo x="21498" y="0"/>
                <wp:lineTo x="0" y="0"/>
              </wp:wrapPolygon>
            </wp:wrapTight>
            <wp:docPr id="3732001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00115"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284095" cy="1831340"/>
                    </a:xfrm>
                    <a:prstGeom prst="rect">
                      <a:avLst/>
                    </a:prstGeom>
                  </pic:spPr>
                </pic:pic>
              </a:graphicData>
            </a:graphic>
            <wp14:sizeRelH relativeFrom="page">
              <wp14:pctWidth>0</wp14:pctWidth>
            </wp14:sizeRelH>
            <wp14:sizeRelV relativeFrom="page">
              <wp14:pctHeight>0</wp14:pctHeight>
            </wp14:sizeRelV>
          </wp:anchor>
        </w:drawing>
      </w:r>
    </w:p>
    <w:p w14:paraId="36673DFD" w14:textId="77777777" w:rsidR="00ED4694" w:rsidRPr="00BB4BBD" w:rsidRDefault="00ED4694" w:rsidP="00ED4694">
      <w:pPr>
        <w:pStyle w:val="Sansinterligne"/>
        <w:jc w:val="both"/>
        <w:rPr>
          <w:rFonts w:ascii="Arial" w:hAnsi="Arial" w:cs="Arial"/>
          <w:color w:val="000000" w:themeColor="text1"/>
          <w:sz w:val="20"/>
          <w:szCs w:val="20"/>
          <w:u w:val="single"/>
        </w:rPr>
      </w:pPr>
      <w:r w:rsidRPr="00BB4BBD">
        <w:rPr>
          <w:rFonts w:ascii="Arial" w:hAnsi="Arial" w:cs="Arial"/>
          <w:color w:val="000000" w:themeColor="text1"/>
          <w:sz w:val="20"/>
          <w:szCs w:val="20"/>
          <w:u w:val="single"/>
        </w:rPr>
        <w:t xml:space="preserve">La pratique de l’insuline recommandée </w:t>
      </w:r>
    </w:p>
    <w:p w14:paraId="31C1D8F8"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insuline basale au coucher </w:t>
      </w:r>
    </w:p>
    <w:p w14:paraId="74AD7590"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FE6A15">
        <w:rPr>
          <w:rFonts w:ascii="Arial" w:hAnsi="Arial" w:cs="Arial"/>
          <w:color w:val="000000" w:themeColor="text1"/>
          <w:sz w:val="20"/>
          <w:szCs w:val="20"/>
        </w:rPr>
        <w:t>NPH (insulatard ou umuline NPH) sauf</w:t>
      </w:r>
      <w:r>
        <w:rPr>
          <w:rFonts w:ascii="Arial" w:hAnsi="Arial" w:cs="Arial"/>
          <w:color w:val="000000" w:themeColor="text1"/>
          <w:sz w:val="20"/>
          <w:szCs w:val="20"/>
        </w:rPr>
        <w:t xml:space="preserve"> </w:t>
      </w:r>
      <w:r w:rsidRPr="00FE6A15">
        <w:rPr>
          <w:rFonts w:ascii="Arial" w:hAnsi="Arial" w:cs="Arial"/>
          <w:color w:val="000000" w:themeColor="text1"/>
          <w:sz w:val="20"/>
          <w:szCs w:val="20"/>
        </w:rPr>
        <w:t>si coronarien</w:t>
      </w:r>
      <w:r>
        <w:rPr>
          <w:rFonts w:ascii="Arial" w:hAnsi="Arial" w:cs="Arial"/>
          <w:color w:val="000000" w:themeColor="text1"/>
          <w:sz w:val="20"/>
          <w:szCs w:val="20"/>
        </w:rPr>
        <w:t xml:space="preserve">, </w:t>
      </w:r>
      <w:r w:rsidRPr="00FE6A15">
        <w:rPr>
          <w:rFonts w:ascii="Arial" w:hAnsi="Arial" w:cs="Arial"/>
          <w:color w:val="000000" w:themeColor="text1"/>
          <w:sz w:val="20"/>
          <w:szCs w:val="20"/>
        </w:rPr>
        <w:t xml:space="preserve">si </w:t>
      </w:r>
    </w:p>
    <w:p w14:paraId="3D83FC7D" w14:textId="77777777" w:rsidR="00ED4694" w:rsidRDefault="00ED4694" w:rsidP="00ED4694">
      <w:pPr>
        <w:pStyle w:val="Sansinterligne"/>
        <w:ind w:left="360"/>
        <w:jc w:val="both"/>
        <w:rPr>
          <w:rFonts w:ascii="Arial" w:hAnsi="Arial" w:cs="Arial"/>
          <w:color w:val="000000" w:themeColor="text1"/>
          <w:sz w:val="20"/>
          <w:szCs w:val="20"/>
        </w:rPr>
      </w:pPr>
      <w:r w:rsidRPr="00FE6A15">
        <w:rPr>
          <w:rFonts w:ascii="Arial" w:hAnsi="Arial" w:cs="Arial"/>
          <w:color w:val="000000" w:themeColor="text1"/>
          <w:sz w:val="20"/>
          <w:szCs w:val="20"/>
        </w:rPr>
        <w:t>peur des hypoglycémie</w:t>
      </w:r>
      <w:r>
        <w:rPr>
          <w:rFonts w:ascii="Arial" w:hAnsi="Arial" w:cs="Arial"/>
          <w:color w:val="000000" w:themeColor="text1"/>
          <w:sz w:val="20"/>
          <w:szCs w:val="20"/>
        </w:rPr>
        <w:t xml:space="preserve">s, </w:t>
      </w:r>
      <w:r w:rsidRPr="00FE6A15">
        <w:rPr>
          <w:rFonts w:ascii="Arial" w:hAnsi="Arial" w:cs="Arial"/>
          <w:color w:val="000000" w:themeColor="text1"/>
          <w:sz w:val="20"/>
          <w:szCs w:val="20"/>
        </w:rPr>
        <w:t xml:space="preserve">si sujet âgé </w:t>
      </w:r>
      <w:r>
        <w:rPr>
          <w:rFonts w:ascii="Arial" w:hAnsi="Arial" w:cs="Arial"/>
          <w:color w:val="000000" w:themeColor="text1"/>
          <w:sz w:val="20"/>
          <w:szCs w:val="20"/>
        </w:rPr>
        <w:t>(</w:t>
      </w:r>
      <w:r w:rsidRPr="00FE6A15">
        <w:rPr>
          <w:rFonts w:ascii="Arial" w:hAnsi="Arial" w:cs="Arial"/>
          <w:color w:val="000000" w:themeColor="text1"/>
          <w:sz w:val="20"/>
          <w:szCs w:val="20"/>
        </w:rPr>
        <w:t>glargine ou detemir</w:t>
      </w:r>
      <w:r>
        <w:rPr>
          <w:rFonts w:ascii="Arial" w:hAnsi="Arial" w:cs="Arial"/>
          <w:color w:val="000000" w:themeColor="text1"/>
          <w:sz w:val="20"/>
          <w:szCs w:val="20"/>
        </w:rPr>
        <w:t>)</w:t>
      </w:r>
    </w:p>
    <w:p w14:paraId="0B7A25E6"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FE6A15">
        <w:rPr>
          <w:rFonts w:ascii="Arial" w:hAnsi="Arial" w:cs="Arial"/>
          <w:color w:val="000000" w:themeColor="text1"/>
          <w:sz w:val="20"/>
          <w:szCs w:val="20"/>
        </w:rPr>
        <w:t xml:space="preserve">Garder à ce stade la meJormine et les sulfamides </w:t>
      </w:r>
    </w:p>
    <w:p w14:paraId="680C9DE7" w14:textId="77777777" w:rsidR="00ED4694" w:rsidRPr="00BB4BBD" w:rsidRDefault="00ED4694" w:rsidP="00ED4694">
      <w:pPr>
        <w:pStyle w:val="Sansinterligne"/>
        <w:jc w:val="both"/>
        <w:rPr>
          <w:rFonts w:ascii="Arial" w:hAnsi="Arial" w:cs="Arial"/>
          <w:color w:val="000000" w:themeColor="text1"/>
          <w:sz w:val="13"/>
          <w:szCs w:val="13"/>
        </w:rPr>
      </w:pPr>
    </w:p>
    <w:p w14:paraId="47128D58" w14:textId="77777777" w:rsidR="00ED4694" w:rsidRPr="00BB4BBD" w:rsidRDefault="00ED4694" w:rsidP="00ED4694">
      <w:pPr>
        <w:pStyle w:val="Sansinterligne"/>
        <w:jc w:val="both"/>
        <w:rPr>
          <w:rFonts w:ascii="Arial" w:hAnsi="Arial" w:cs="Arial"/>
          <w:color w:val="000000" w:themeColor="text1"/>
          <w:sz w:val="20"/>
          <w:szCs w:val="20"/>
          <w:u w:val="single"/>
        </w:rPr>
      </w:pPr>
      <w:r w:rsidRPr="00BB4BBD">
        <w:rPr>
          <w:rFonts w:ascii="Arial" w:hAnsi="Arial" w:cs="Arial"/>
          <w:noProof/>
          <w:color w:val="000000" w:themeColor="text1"/>
          <w:sz w:val="20"/>
          <w:szCs w:val="20"/>
        </w:rPr>
        <w:drawing>
          <wp:anchor distT="0" distB="0" distL="114300" distR="114300" simplePos="0" relativeHeight="251795456" behindDoc="1" locked="0" layoutInCell="1" allowOverlap="1" wp14:anchorId="2CB79137" wp14:editId="194AA9B3">
            <wp:simplePos x="0" y="0"/>
            <wp:positionH relativeFrom="column">
              <wp:posOffset>-10795</wp:posOffset>
            </wp:positionH>
            <wp:positionV relativeFrom="paragraph">
              <wp:posOffset>150495</wp:posOffset>
            </wp:positionV>
            <wp:extent cx="2129790" cy="970915"/>
            <wp:effectExtent l="0" t="0" r="3810" b="0"/>
            <wp:wrapTight wrapText="bothSides">
              <wp:wrapPolygon edited="0">
                <wp:start x="0" y="0"/>
                <wp:lineTo x="0" y="21190"/>
                <wp:lineTo x="21510" y="21190"/>
                <wp:lineTo x="21510" y="0"/>
                <wp:lineTo x="0" y="0"/>
              </wp:wrapPolygon>
            </wp:wrapTight>
            <wp:docPr id="5178281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28148"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129790" cy="970915"/>
                    </a:xfrm>
                    <a:prstGeom prst="rect">
                      <a:avLst/>
                    </a:prstGeom>
                  </pic:spPr>
                </pic:pic>
              </a:graphicData>
            </a:graphic>
            <wp14:sizeRelH relativeFrom="page">
              <wp14:pctWidth>0</wp14:pctWidth>
            </wp14:sizeRelH>
            <wp14:sizeRelV relativeFrom="page">
              <wp14:pctHeight>0</wp14:pctHeight>
            </wp14:sizeRelV>
          </wp:anchor>
        </w:drawing>
      </w:r>
      <w:r w:rsidRPr="00BB4BBD">
        <w:rPr>
          <w:rFonts w:ascii="Arial" w:hAnsi="Arial" w:cs="Arial"/>
          <w:color w:val="000000" w:themeColor="text1"/>
          <w:sz w:val="20"/>
          <w:szCs w:val="20"/>
          <w:u w:val="single"/>
        </w:rPr>
        <w:t>Insulinothérapie au coucher </w:t>
      </w:r>
    </w:p>
    <w:p w14:paraId="2DC54E6C" w14:textId="77777777" w:rsidR="00ED4694" w:rsidRDefault="00ED4694" w:rsidP="00ED4694">
      <w:pPr>
        <w:pStyle w:val="Sansinterligne"/>
        <w:jc w:val="both"/>
        <w:rPr>
          <w:rFonts w:ascii="Arial" w:hAnsi="Arial" w:cs="Arial"/>
          <w:color w:val="000000" w:themeColor="text1"/>
          <w:sz w:val="20"/>
          <w:szCs w:val="20"/>
        </w:rPr>
      </w:pPr>
    </w:p>
    <w:p w14:paraId="055E5CD4" w14:textId="77777777" w:rsidR="00ED4694" w:rsidRDefault="00ED4694" w:rsidP="00ED4694">
      <w:pPr>
        <w:pStyle w:val="Sansinterligne"/>
        <w:jc w:val="both"/>
        <w:rPr>
          <w:rFonts w:ascii="Arial" w:hAnsi="Arial" w:cs="Arial"/>
          <w:color w:val="000000" w:themeColor="text1"/>
          <w:sz w:val="20"/>
          <w:szCs w:val="20"/>
        </w:rPr>
      </w:pPr>
    </w:p>
    <w:p w14:paraId="101BF175" w14:textId="77777777" w:rsidR="00ED4694" w:rsidRDefault="00ED4694" w:rsidP="00ED4694">
      <w:pPr>
        <w:pStyle w:val="Sansinterligne"/>
        <w:jc w:val="both"/>
        <w:rPr>
          <w:rFonts w:ascii="Arial" w:hAnsi="Arial" w:cs="Arial"/>
          <w:color w:val="000000" w:themeColor="text1"/>
          <w:sz w:val="20"/>
          <w:szCs w:val="20"/>
        </w:rPr>
      </w:pPr>
    </w:p>
    <w:p w14:paraId="1B0AD113" w14:textId="77777777" w:rsidR="00ED4694" w:rsidRDefault="00ED4694" w:rsidP="00ED4694">
      <w:pPr>
        <w:pStyle w:val="Sansinterligne"/>
        <w:jc w:val="both"/>
        <w:rPr>
          <w:rFonts w:ascii="Arial" w:hAnsi="Arial" w:cs="Arial"/>
          <w:color w:val="000000" w:themeColor="text1"/>
          <w:sz w:val="20"/>
          <w:szCs w:val="20"/>
        </w:rPr>
      </w:pPr>
    </w:p>
    <w:p w14:paraId="090388E4" w14:textId="77777777" w:rsidR="00ED4694" w:rsidRDefault="00ED4694" w:rsidP="00ED4694">
      <w:pPr>
        <w:pStyle w:val="Sansinterligne"/>
        <w:jc w:val="both"/>
        <w:rPr>
          <w:rFonts w:ascii="Arial" w:hAnsi="Arial" w:cs="Arial"/>
          <w:color w:val="000000" w:themeColor="text1"/>
          <w:sz w:val="20"/>
          <w:szCs w:val="20"/>
        </w:rPr>
      </w:pPr>
    </w:p>
    <w:p w14:paraId="67A75523" w14:textId="77777777" w:rsidR="00ED4694" w:rsidRDefault="00ED4694" w:rsidP="00ED4694">
      <w:pPr>
        <w:pStyle w:val="Sansinterligne"/>
        <w:jc w:val="both"/>
        <w:rPr>
          <w:rFonts w:ascii="Arial" w:hAnsi="Arial" w:cs="Arial"/>
          <w:color w:val="000000" w:themeColor="text1"/>
          <w:sz w:val="20"/>
          <w:szCs w:val="20"/>
        </w:rPr>
      </w:pPr>
    </w:p>
    <w:p w14:paraId="197A1667" w14:textId="77777777" w:rsidR="00ED4694" w:rsidRDefault="00ED4694" w:rsidP="00ED4694">
      <w:pPr>
        <w:pStyle w:val="Sansinterligne"/>
        <w:jc w:val="both"/>
        <w:rPr>
          <w:rFonts w:ascii="Arial" w:hAnsi="Arial" w:cs="Arial"/>
          <w:color w:val="000000" w:themeColor="text1"/>
          <w:sz w:val="20"/>
          <w:szCs w:val="20"/>
        </w:rPr>
      </w:pPr>
    </w:p>
    <w:p w14:paraId="7BBA3C77" w14:textId="77777777" w:rsidR="00ED4694" w:rsidRPr="00FE6A15" w:rsidRDefault="00ED4694" w:rsidP="00ED4694">
      <w:pPr>
        <w:pStyle w:val="Sansinterligne"/>
        <w:jc w:val="both"/>
        <w:rPr>
          <w:rFonts w:ascii="Arial" w:hAnsi="Arial" w:cs="Arial"/>
          <w:color w:val="000000" w:themeColor="text1"/>
          <w:sz w:val="20"/>
          <w:szCs w:val="20"/>
          <w:u w:val="single"/>
        </w:rPr>
      </w:pPr>
      <w:r w:rsidRPr="00FE6A15">
        <w:rPr>
          <w:rFonts w:ascii="Arial" w:hAnsi="Arial" w:cs="Arial"/>
          <w:color w:val="000000" w:themeColor="text1"/>
          <w:sz w:val="20"/>
          <w:szCs w:val="20"/>
          <w:u w:val="single"/>
        </w:rPr>
        <w:t>Insuline Humaine isophane NPH</w:t>
      </w:r>
      <w:r>
        <w:rPr>
          <w:rFonts w:ascii="Arial" w:hAnsi="Arial" w:cs="Arial"/>
          <w:color w:val="000000" w:themeColor="text1"/>
          <w:sz w:val="20"/>
          <w:szCs w:val="20"/>
          <w:u w:val="single"/>
        </w:rPr>
        <w:t> :</w:t>
      </w:r>
    </w:p>
    <w:p w14:paraId="32AE9346" w14:textId="77777777" w:rsidR="00ED4694" w:rsidRDefault="00ED4694" w:rsidP="00ED4694">
      <w:pPr>
        <w:pStyle w:val="Sansinterligne"/>
        <w:jc w:val="center"/>
        <w:rPr>
          <w:rFonts w:ascii="Arial" w:hAnsi="Arial" w:cs="Arial"/>
          <w:color w:val="000000" w:themeColor="text1"/>
          <w:sz w:val="20"/>
          <w:szCs w:val="20"/>
        </w:rPr>
      </w:pPr>
      <w:r w:rsidRPr="0063686F">
        <w:rPr>
          <w:rFonts w:ascii="Arial" w:hAnsi="Arial" w:cs="Arial"/>
          <w:color w:val="000000" w:themeColor="text1"/>
          <w:sz w:val="20"/>
          <w:szCs w:val="20"/>
        </w:rPr>
        <w:fldChar w:fldCharType="begin"/>
      </w:r>
      <w:r w:rsidRPr="0063686F">
        <w:rPr>
          <w:rFonts w:ascii="Arial" w:hAnsi="Arial" w:cs="Arial"/>
          <w:color w:val="000000" w:themeColor="text1"/>
          <w:sz w:val="20"/>
          <w:szCs w:val="20"/>
        </w:rPr>
        <w:instrText xml:space="preserve"> INCLUDEPICTURE "/Users/alienorprudhomme/Library/Group Containers/UBF8T346G9.ms/WebArchiveCopyPasteTempFiles/com.microsoft.Word/page51image368192448" \* MERGEFORMATINET </w:instrText>
      </w:r>
      <w:r w:rsidRPr="0063686F">
        <w:rPr>
          <w:rFonts w:ascii="Arial" w:hAnsi="Arial" w:cs="Arial"/>
          <w:color w:val="000000" w:themeColor="text1"/>
          <w:sz w:val="20"/>
          <w:szCs w:val="20"/>
        </w:rPr>
        <w:fldChar w:fldCharType="separate"/>
      </w:r>
      <w:r w:rsidRPr="0063686F">
        <w:rPr>
          <w:rFonts w:ascii="Arial" w:hAnsi="Arial" w:cs="Arial"/>
          <w:noProof/>
          <w:color w:val="000000" w:themeColor="text1"/>
          <w:sz w:val="20"/>
          <w:szCs w:val="20"/>
        </w:rPr>
        <w:drawing>
          <wp:inline distT="0" distB="0" distL="0" distR="0" wp14:anchorId="605CECC6" wp14:editId="67F46356">
            <wp:extent cx="1204506" cy="1667176"/>
            <wp:effectExtent l="0" t="0" r="2540" b="0"/>
            <wp:docPr id="357576232" name="Image 174" descr="page51image36819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age51image368192448"/>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20720" cy="1689619"/>
                    </a:xfrm>
                    <a:prstGeom prst="rect">
                      <a:avLst/>
                    </a:prstGeom>
                    <a:noFill/>
                    <a:ln>
                      <a:noFill/>
                    </a:ln>
                  </pic:spPr>
                </pic:pic>
              </a:graphicData>
            </a:graphic>
          </wp:inline>
        </w:drawing>
      </w:r>
      <w:r w:rsidRPr="0063686F">
        <w:rPr>
          <w:rFonts w:ascii="Arial" w:hAnsi="Arial" w:cs="Arial"/>
          <w:color w:val="000000" w:themeColor="text1"/>
          <w:sz w:val="20"/>
          <w:szCs w:val="20"/>
        </w:rPr>
        <w:fldChar w:fldCharType="end"/>
      </w:r>
      <w:r w:rsidRPr="0063686F">
        <w:rPr>
          <w:rFonts w:ascii="Arial" w:hAnsi="Arial" w:cs="Arial"/>
          <w:color w:val="000000" w:themeColor="text1"/>
          <w:sz w:val="20"/>
          <w:szCs w:val="20"/>
        </w:rPr>
        <w:fldChar w:fldCharType="begin"/>
      </w:r>
      <w:r w:rsidRPr="0063686F">
        <w:rPr>
          <w:rFonts w:ascii="Arial" w:hAnsi="Arial" w:cs="Arial"/>
          <w:color w:val="000000" w:themeColor="text1"/>
          <w:sz w:val="20"/>
          <w:szCs w:val="20"/>
        </w:rPr>
        <w:instrText xml:space="preserve"> INCLUDEPICTURE "/Users/alienorprudhomme/Library/Group Containers/UBF8T346G9.ms/WebArchiveCopyPasteTempFiles/com.microsoft.Word/page51image368192752" \* MERGEFORMATINET </w:instrText>
      </w:r>
      <w:r w:rsidRPr="0063686F">
        <w:rPr>
          <w:rFonts w:ascii="Arial" w:hAnsi="Arial" w:cs="Arial"/>
          <w:color w:val="000000" w:themeColor="text1"/>
          <w:sz w:val="20"/>
          <w:szCs w:val="20"/>
        </w:rPr>
        <w:fldChar w:fldCharType="separate"/>
      </w:r>
      <w:r w:rsidRPr="0063686F">
        <w:rPr>
          <w:rFonts w:ascii="Arial" w:hAnsi="Arial" w:cs="Arial"/>
          <w:noProof/>
          <w:color w:val="000000" w:themeColor="text1"/>
          <w:sz w:val="20"/>
          <w:szCs w:val="20"/>
        </w:rPr>
        <w:drawing>
          <wp:inline distT="0" distB="0" distL="0" distR="0" wp14:anchorId="2593BA4D" wp14:editId="2F5EF091">
            <wp:extent cx="2370221" cy="1641626"/>
            <wp:effectExtent l="0" t="0" r="5080" b="0"/>
            <wp:docPr id="1203704824" name="Image 173" descr="page51image36819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51image36819275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400896" cy="1662872"/>
                    </a:xfrm>
                    <a:prstGeom prst="rect">
                      <a:avLst/>
                    </a:prstGeom>
                    <a:noFill/>
                    <a:ln>
                      <a:noFill/>
                    </a:ln>
                  </pic:spPr>
                </pic:pic>
              </a:graphicData>
            </a:graphic>
          </wp:inline>
        </w:drawing>
      </w:r>
      <w:r w:rsidRPr="0063686F">
        <w:rPr>
          <w:rFonts w:ascii="Arial" w:hAnsi="Arial" w:cs="Arial"/>
          <w:color w:val="000000" w:themeColor="text1"/>
          <w:sz w:val="20"/>
          <w:szCs w:val="20"/>
        </w:rPr>
        <w:fldChar w:fldCharType="end"/>
      </w:r>
      <w:r w:rsidRPr="0063686F">
        <w:rPr>
          <w:rFonts w:ascii="Arial" w:hAnsi="Arial" w:cs="Arial"/>
          <w:color w:val="000000" w:themeColor="text1"/>
          <w:sz w:val="20"/>
          <w:szCs w:val="20"/>
        </w:rPr>
        <w:fldChar w:fldCharType="begin"/>
      </w:r>
      <w:r w:rsidRPr="0063686F">
        <w:rPr>
          <w:rFonts w:ascii="Arial" w:hAnsi="Arial" w:cs="Arial"/>
          <w:color w:val="000000" w:themeColor="text1"/>
          <w:sz w:val="20"/>
          <w:szCs w:val="20"/>
        </w:rPr>
        <w:instrText xml:space="preserve"> INCLUDEPICTURE "/Users/alienorprudhomme/Library/Group Containers/UBF8T346G9.ms/WebArchiveCopyPasteTempFiles/com.microsoft.Word/page51image368193056" \* MERGEFORMATINET </w:instrText>
      </w:r>
      <w:r w:rsidRPr="0063686F">
        <w:rPr>
          <w:rFonts w:ascii="Arial" w:hAnsi="Arial" w:cs="Arial"/>
          <w:color w:val="000000" w:themeColor="text1"/>
          <w:sz w:val="20"/>
          <w:szCs w:val="20"/>
        </w:rPr>
        <w:fldChar w:fldCharType="separate"/>
      </w:r>
      <w:r w:rsidRPr="0063686F">
        <w:rPr>
          <w:rFonts w:ascii="Arial" w:hAnsi="Arial" w:cs="Arial"/>
          <w:noProof/>
          <w:color w:val="000000" w:themeColor="text1"/>
          <w:sz w:val="20"/>
          <w:szCs w:val="20"/>
        </w:rPr>
        <w:drawing>
          <wp:inline distT="0" distB="0" distL="0" distR="0" wp14:anchorId="683FC749" wp14:editId="71CD28D6">
            <wp:extent cx="1443789" cy="1618761"/>
            <wp:effectExtent l="0" t="0" r="4445" b="0"/>
            <wp:docPr id="1691648275" name="Image 172" descr="page51image36819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age51image36819305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469139" cy="1647183"/>
                    </a:xfrm>
                    <a:prstGeom prst="rect">
                      <a:avLst/>
                    </a:prstGeom>
                    <a:noFill/>
                    <a:ln>
                      <a:noFill/>
                    </a:ln>
                  </pic:spPr>
                </pic:pic>
              </a:graphicData>
            </a:graphic>
          </wp:inline>
        </w:drawing>
      </w:r>
      <w:r w:rsidRPr="0063686F">
        <w:rPr>
          <w:rFonts w:ascii="Arial" w:hAnsi="Arial" w:cs="Arial"/>
          <w:color w:val="000000" w:themeColor="text1"/>
          <w:sz w:val="20"/>
          <w:szCs w:val="20"/>
        </w:rPr>
        <w:fldChar w:fldCharType="end"/>
      </w:r>
      <w:r w:rsidRPr="0063686F">
        <w:rPr>
          <w:rFonts w:ascii="Arial" w:hAnsi="Arial" w:cs="Arial"/>
          <w:color w:val="000000" w:themeColor="text1"/>
          <w:sz w:val="20"/>
          <w:szCs w:val="20"/>
        </w:rPr>
        <w:fldChar w:fldCharType="begin"/>
      </w:r>
      <w:r w:rsidRPr="0063686F">
        <w:rPr>
          <w:rFonts w:ascii="Arial" w:hAnsi="Arial" w:cs="Arial"/>
          <w:color w:val="000000" w:themeColor="text1"/>
          <w:sz w:val="20"/>
          <w:szCs w:val="20"/>
        </w:rPr>
        <w:instrText xml:space="preserve"> INCLUDEPICTURE "/Users/alienorprudhomme/Library/Group Containers/UBF8T346G9.ms/WebArchiveCopyPasteTempFiles/com.microsoft.Word/page51image368193664" \* MERGEFORMATINET </w:instrText>
      </w:r>
      <w:r w:rsidRPr="0063686F">
        <w:rPr>
          <w:rFonts w:ascii="Arial" w:hAnsi="Arial" w:cs="Arial"/>
          <w:color w:val="000000" w:themeColor="text1"/>
          <w:sz w:val="20"/>
          <w:szCs w:val="20"/>
        </w:rPr>
        <w:fldChar w:fldCharType="separate"/>
      </w:r>
      <w:r w:rsidRPr="0063686F">
        <w:rPr>
          <w:rFonts w:ascii="Arial" w:hAnsi="Arial" w:cs="Arial"/>
          <w:noProof/>
          <w:color w:val="000000" w:themeColor="text1"/>
          <w:sz w:val="20"/>
          <w:szCs w:val="20"/>
        </w:rPr>
        <w:drawing>
          <wp:inline distT="0" distB="0" distL="0" distR="0" wp14:anchorId="66A49A78" wp14:editId="53C6C9AE">
            <wp:extent cx="4295274" cy="581130"/>
            <wp:effectExtent l="0" t="0" r="0" b="3175"/>
            <wp:docPr id="1637597366" name="Image 170" descr="page51image36819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age51image36819366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345130" cy="587875"/>
                    </a:xfrm>
                    <a:prstGeom prst="rect">
                      <a:avLst/>
                    </a:prstGeom>
                    <a:noFill/>
                    <a:ln>
                      <a:noFill/>
                    </a:ln>
                  </pic:spPr>
                </pic:pic>
              </a:graphicData>
            </a:graphic>
          </wp:inline>
        </w:drawing>
      </w:r>
      <w:r w:rsidRPr="0063686F">
        <w:rPr>
          <w:rFonts w:ascii="Arial" w:hAnsi="Arial" w:cs="Arial"/>
          <w:color w:val="000000" w:themeColor="text1"/>
          <w:sz w:val="20"/>
          <w:szCs w:val="20"/>
        </w:rPr>
        <w:fldChar w:fldCharType="end"/>
      </w:r>
    </w:p>
    <w:p w14:paraId="6E54A996" w14:textId="77777777" w:rsidR="00ED4694" w:rsidRDefault="00ED4694" w:rsidP="00ED4694">
      <w:pPr>
        <w:pStyle w:val="Sansinterligne"/>
        <w:jc w:val="both"/>
        <w:rPr>
          <w:rFonts w:ascii="Arial" w:hAnsi="Arial" w:cs="Arial"/>
          <w:color w:val="000000" w:themeColor="text1"/>
          <w:sz w:val="20"/>
          <w:szCs w:val="20"/>
        </w:rPr>
      </w:pPr>
    </w:p>
    <w:p w14:paraId="40FAD26F" w14:textId="77777777" w:rsidR="00ED4694" w:rsidRPr="0063686F" w:rsidRDefault="00ED4694" w:rsidP="00ED4694">
      <w:pPr>
        <w:pStyle w:val="Sansinterligne"/>
        <w:jc w:val="both"/>
        <w:rPr>
          <w:rFonts w:ascii="Arial" w:hAnsi="Arial" w:cs="Arial"/>
          <w:color w:val="000000" w:themeColor="text1"/>
          <w:sz w:val="20"/>
          <w:szCs w:val="20"/>
        </w:rPr>
      </w:pPr>
      <w:r w:rsidRPr="00BB4BBD">
        <w:rPr>
          <w:rFonts w:ascii="Arial" w:hAnsi="Arial" w:cs="Arial"/>
          <w:noProof/>
          <w:color w:val="000000" w:themeColor="text1"/>
          <w:sz w:val="20"/>
          <w:szCs w:val="20"/>
          <w:u w:val="single"/>
        </w:rPr>
        <w:drawing>
          <wp:anchor distT="0" distB="0" distL="114300" distR="114300" simplePos="0" relativeHeight="251779072" behindDoc="1" locked="0" layoutInCell="1" allowOverlap="1" wp14:anchorId="0C33FB1F" wp14:editId="41357EBF">
            <wp:simplePos x="0" y="0"/>
            <wp:positionH relativeFrom="column">
              <wp:posOffset>240632</wp:posOffset>
            </wp:positionH>
            <wp:positionV relativeFrom="paragraph">
              <wp:posOffset>146050</wp:posOffset>
            </wp:positionV>
            <wp:extent cx="1711325" cy="1319530"/>
            <wp:effectExtent l="0" t="0" r="3175" b="1270"/>
            <wp:wrapTight wrapText="bothSides">
              <wp:wrapPolygon edited="0">
                <wp:start x="0" y="0"/>
                <wp:lineTo x="0" y="21413"/>
                <wp:lineTo x="21480" y="21413"/>
                <wp:lineTo x="21480" y="0"/>
                <wp:lineTo x="0" y="0"/>
              </wp:wrapPolygon>
            </wp:wrapTight>
            <wp:docPr id="367067138" name="Image 169" descr="page52image36819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age52image36819923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711325" cy="1319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4BBD">
        <w:rPr>
          <w:rFonts w:ascii="Arial" w:hAnsi="Arial" w:cs="Arial"/>
          <w:noProof/>
          <w:color w:val="000000" w:themeColor="text1"/>
          <w:sz w:val="20"/>
          <w:szCs w:val="20"/>
          <w:u w:val="single"/>
        </w:rPr>
        <w:drawing>
          <wp:anchor distT="0" distB="0" distL="114300" distR="114300" simplePos="0" relativeHeight="251781120" behindDoc="1" locked="0" layoutInCell="1" allowOverlap="1" wp14:anchorId="3C4C3EDA" wp14:editId="54140663">
            <wp:simplePos x="0" y="0"/>
            <wp:positionH relativeFrom="column">
              <wp:posOffset>2168525</wp:posOffset>
            </wp:positionH>
            <wp:positionV relativeFrom="paragraph">
              <wp:posOffset>401</wp:posOffset>
            </wp:positionV>
            <wp:extent cx="1635760" cy="1641475"/>
            <wp:effectExtent l="0" t="0" r="0" b="0"/>
            <wp:wrapTight wrapText="bothSides">
              <wp:wrapPolygon edited="0">
                <wp:start x="2516" y="501"/>
                <wp:lineTo x="1342" y="1003"/>
                <wp:lineTo x="839" y="1838"/>
                <wp:lineTo x="839" y="20388"/>
                <wp:lineTo x="1342" y="21391"/>
                <wp:lineTo x="1677" y="21391"/>
                <wp:lineTo x="17106" y="21391"/>
                <wp:lineTo x="18783" y="21391"/>
                <wp:lineTo x="20795" y="20388"/>
                <wp:lineTo x="20963" y="6852"/>
                <wp:lineTo x="19453" y="6350"/>
                <wp:lineTo x="14422" y="6183"/>
                <wp:lineTo x="13416" y="3509"/>
                <wp:lineTo x="13584" y="2340"/>
                <wp:lineTo x="9224" y="1170"/>
                <wp:lineTo x="3857" y="501"/>
                <wp:lineTo x="2516" y="501"/>
              </wp:wrapPolygon>
            </wp:wrapTight>
            <wp:docPr id="1570155891" name="Image 166" descr="page52image36820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age52image36820296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635760" cy="164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4BBD">
        <w:rPr>
          <w:rFonts w:ascii="Arial" w:hAnsi="Arial" w:cs="Arial"/>
          <w:color w:val="000000" w:themeColor="text1"/>
          <w:sz w:val="20"/>
          <w:szCs w:val="20"/>
          <w:u w:val="single"/>
        </w:rPr>
        <w:t>Analogues lents</w:t>
      </w:r>
      <w:r>
        <w:rPr>
          <w:rFonts w:ascii="Arial" w:hAnsi="Arial" w:cs="Arial"/>
          <w:color w:val="000000" w:themeColor="text1"/>
          <w:sz w:val="20"/>
          <w:szCs w:val="20"/>
        </w:rPr>
        <w:t xml:space="preserve"> : </w:t>
      </w:r>
    </w:p>
    <w:p w14:paraId="7167B860" w14:textId="77777777" w:rsidR="00ED4694" w:rsidRDefault="00ED4694" w:rsidP="00ED4694">
      <w:pPr>
        <w:pStyle w:val="Sansinterligne"/>
        <w:jc w:val="both"/>
        <w:rPr>
          <w:rFonts w:ascii="Arial" w:hAnsi="Arial" w:cs="Arial"/>
          <w:color w:val="000000" w:themeColor="text1"/>
          <w:sz w:val="20"/>
          <w:szCs w:val="20"/>
        </w:rPr>
      </w:pPr>
      <w:r w:rsidRPr="00BB4BBD">
        <w:rPr>
          <w:rFonts w:ascii="Arial" w:hAnsi="Arial" w:cs="Arial"/>
          <w:noProof/>
          <w:color w:val="000000" w:themeColor="text1"/>
          <w:sz w:val="20"/>
          <w:szCs w:val="20"/>
          <w:u w:val="single"/>
        </w:rPr>
        <w:drawing>
          <wp:anchor distT="0" distB="0" distL="114300" distR="114300" simplePos="0" relativeHeight="251780096" behindDoc="1" locked="0" layoutInCell="1" allowOverlap="1" wp14:anchorId="1F45F1F6" wp14:editId="596036B8">
            <wp:simplePos x="0" y="0"/>
            <wp:positionH relativeFrom="column">
              <wp:posOffset>3963035</wp:posOffset>
            </wp:positionH>
            <wp:positionV relativeFrom="paragraph">
              <wp:posOffset>30595</wp:posOffset>
            </wp:positionV>
            <wp:extent cx="1953260" cy="1463675"/>
            <wp:effectExtent l="0" t="0" r="2540" b="0"/>
            <wp:wrapTight wrapText="bothSides">
              <wp:wrapPolygon edited="0">
                <wp:start x="0" y="0"/>
                <wp:lineTo x="0" y="21366"/>
                <wp:lineTo x="21488" y="21366"/>
                <wp:lineTo x="21488" y="0"/>
                <wp:lineTo x="0" y="0"/>
              </wp:wrapPolygon>
            </wp:wrapTight>
            <wp:docPr id="1626499070" name="Image 168" descr="page52image36820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age52image36820235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953260" cy="146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1922BA" w14:textId="77777777" w:rsidR="00ED4694" w:rsidRDefault="00ED4694" w:rsidP="00ED4694">
      <w:pPr>
        <w:pStyle w:val="Sansinterligne"/>
        <w:jc w:val="both"/>
        <w:rPr>
          <w:rFonts w:ascii="Arial" w:hAnsi="Arial" w:cs="Arial"/>
          <w:color w:val="000000" w:themeColor="text1"/>
          <w:sz w:val="20"/>
          <w:szCs w:val="20"/>
        </w:rPr>
      </w:pPr>
    </w:p>
    <w:p w14:paraId="66560A1E" w14:textId="77777777" w:rsidR="00ED4694" w:rsidRDefault="00ED4694" w:rsidP="00ED4694">
      <w:pPr>
        <w:pStyle w:val="Sansinterligne"/>
        <w:jc w:val="both"/>
        <w:rPr>
          <w:rFonts w:ascii="Arial" w:hAnsi="Arial" w:cs="Arial"/>
          <w:color w:val="000000" w:themeColor="text1"/>
          <w:sz w:val="20"/>
          <w:szCs w:val="20"/>
        </w:rPr>
      </w:pPr>
    </w:p>
    <w:p w14:paraId="0DCF04DB" w14:textId="77777777" w:rsidR="00ED4694" w:rsidRDefault="00ED4694" w:rsidP="00ED4694">
      <w:pPr>
        <w:pStyle w:val="Sansinterligne"/>
        <w:jc w:val="both"/>
        <w:rPr>
          <w:rFonts w:ascii="Arial" w:hAnsi="Arial" w:cs="Arial"/>
          <w:color w:val="000000" w:themeColor="text1"/>
          <w:sz w:val="20"/>
          <w:szCs w:val="20"/>
        </w:rPr>
      </w:pPr>
    </w:p>
    <w:p w14:paraId="59FA04DF" w14:textId="77777777" w:rsidR="00ED4694" w:rsidRDefault="00ED4694" w:rsidP="00ED4694">
      <w:pPr>
        <w:pStyle w:val="Sansinterligne"/>
        <w:jc w:val="both"/>
        <w:rPr>
          <w:rFonts w:ascii="Arial" w:hAnsi="Arial" w:cs="Arial"/>
          <w:color w:val="000000" w:themeColor="text1"/>
          <w:sz w:val="20"/>
          <w:szCs w:val="20"/>
        </w:rPr>
      </w:pPr>
    </w:p>
    <w:p w14:paraId="6799CB81" w14:textId="77777777" w:rsidR="00ED4694" w:rsidRDefault="00ED4694" w:rsidP="00ED4694">
      <w:pPr>
        <w:pStyle w:val="Sansinterligne"/>
        <w:jc w:val="both"/>
        <w:rPr>
          <w:rFonts w:ascii="Arial" w:hAnsi="Arial" w:cs="Arial"/>
          <w:color w:val="000000" w:themeColor="text1"/>
          <w:sz w:val="20"/>
          <w:szCs w:val="20"/>
        </w:rPr>
      </w:pPr>
    </w:p>
    <w:p w14:paraId="122114AB" w14:textId="77777777" w:rsidR="00ED4694" w:rsidRDefault="00ED4694" w:rsidP="00ED4694">
      <w:pPr>
        <w:pStyle w:val="Sansinterligne"/>
        <w:jc w:val="both"/>
        <w:rPr>
          <w:rFonts w:ascii="Arial" w:hAnsi="Arial" w:cs="Arial"/>
          <w:color w:val="000000" w:themeColor="text1"/>
          <w:sz w:val="20"/>
          <w:szCs w:val="20"/>
        </w:rPr>
      </w:pPr>
    </w:p>
    <w:p w14:paraId="1A22A0D1" w14:textId="77777777" w:rsidR="00ED4694" w:rsidRDefault="00ED4694" w:rsidP="00ED4694">
      <w:pPr>
        <w:pStyle w:val="Sansinterligne"/>
        <w:jc w:val="both"/>
        <w:rPr>
          <w:rFonts w:ascii="Arial" w:hAnsi="Arial" w:cs="Arial"/>
          <w:color w:val="000000" w:themeColor="text1"/>
          <w:sz w:val="20"/>
          <w:szCs w:val="20"/>
        </w:rPr>
      </w:pPr>
    </w:p>
    <w:p w14:paraId="3D802A59" w14:textId="77777777" w:rsidR="00ED4694" w:rsidRDefault="00ED4694" w:rsidP="00ED4694">
      <w:pPr>
        <w:pStyle w:val="Sansinterligne"/>
        <w:jc w:val="both"/>
        <w:rPr>
          <w:rFonts w:ascii="Arial" w:hAnsi="Arial" w:cs="Arial"/>
          <w:color w:val="000000" w:themeColor="text1"/>
          <w:sz w:val="20"/>
          <w:szCs w:val="20"/>
        </w:rPr>
      </w:pPr>
    </w:p>
    <w:p w14:paraId="78E5698D" w14:textId="77777777" w:rsidR="00ED4694" w:rsidRDefault="00ED4694" w:rsidP="00ED4694">
      <w:pPr>
        <w:pStyle w:val="Sansinterligne"/>
        <w:jc w:val="both"/>
        <w:rPr>
          <w:rFonts w:ascii="Arial" w:hAnsi="Arial" w:cs="Arial"/>
          <w:color w:val="000000" w:themeColor="text1"/>
          <w:sz w:val="20"/>
          <w:szCs w:val="20"/>
        </w:rPr>
      </w:pPr>
    </w:p>
    <w:p w14:paraId="140F4288" w14:textId="77777777" w:rsidR="00ED4694" w:rsidRDefault="00ED4694" w:rsidP="00ED4694">
      <w:pPr>
        <w:pStyle w:val="Sansinterligne"/>
        <w:jc w:val="both"/>
        <w:rPr>
          <w:rFonts w:ascii="Arial" w:hAnsi="Arial" w:cs="Arial"/>
          <w:color w:val="000000" w:themeColor="text1"/>
          <w:sz w:val="20"/>
          <w:szCs w:val="20"/>
        </w:rPr>
      </w:pPr>
    </w:p>
    <w:p w14:paraId="28781C12" w14:textId="77777777" w:rsidR="00ED4694" w:rsidRPr="00BB4BBD" w:rsidRDefault="00ED4694" w:rsidP="00ED4694">
      <w:pPr>
        <w:pStyle w:val="Sansinterligne"/>
        <w:jc w:val="both"/>
        <w:rPr>
          <w:rFonts w:ascii="Arial" w:hAnsi="Arial" w:cs="Arial"/>
          <w:color w:val="000000" w:themeColor="text1"/>
          <w:sz w:val="20"/>
          <w:szCs w:val="20"/>
          <w:u w:val="single"/>
        </w:rPr>
      </w:pPr>
      <w:r w:rsidRPr="00BB4BBD">
        <w:rPr>
          <w:rFonts w:ascii="Arial" w:hAnsi="Arial" w:cs="Arial"/>
          <w:color w:val="000000" w:themeColor="text1"/>
          <w:sz w:val="20"/>
          <w:szCs w:val="20"/>
          <w:u w:val="single"/>
        </w:rPr>
        <w:t xml:space="preserve">Comment gérer la dose </w:t>
      </w:r>
    </w:p>
    <w:p w14:paraId="22D9AF04"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Commencer à 0,2 unités par kg </w:t>
      </w:r>
    </w:p>
    <w:p w14:paraId="141BE314" w14:textId="77777777" w:rsidR="00ED4694" w:rsidRPr="000F6F50"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 xml:space="preserve">Objectif : </w:t>
      </w:r>
      <w:r w:rsidRPr="000F6F50">
        <w:rPr>
          <w:rFonts w:ascii="Arial" w:hAnsi="Arial" w:cs="Arial"/>
          <w:color w:val="000000" w:themeColor="text1"/>
          <w:sz w:val="20"/>
          <w:szCs w:val="20"/>
        </w:rPr>
        <w:t xml:space="preserve">obtenir moins de 1,30g/L au réveil </w:t>
      </w:r>
    </w:p>
    <w:p w14:paraId="0CE339B4"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Dose efficac</w:t>
      </w:r>
      <w:r>
        <w:rPr>
          <w:rFonts w:ascii="Arial" w:hAnsi="Arial" w:cs="Arial"/>
          <w:color w:val="000000" w:themeColor="text1"/>
          <w:sz w:val="20"/>
          <w:szCs w:val="20"/>
        </w:rPr>
        <w:t xml:space="preserve">e : </w:t>
      </w:r>
      <w:r w:rsidRPr="0063686F">
        <w:rPr>
          <w:rFonts w:ascii="Arial" w:hAnsi="Arial" w:cs="Arial"/>
          <w:color w:val="000000" w:themeColor="text1"/>
          <w:sz w:val="20"/>
          <w:szCs w:val="20"/>
        </w:rPr>
        <w:t xml:space="preserve"> peut aller jusqu’à 1u/kg</w:t>
      </w:r>
      <w:r>
        <w:rPr>
          <w:rFonts w:ascii="Arial" w:hAnsi="Arial" w:cs="Arial"/>
          <w:color w:val="000000" w:themeColor="text1"/>
          <w:sz w:val="20"/>
          <w:szCs w:val="20"/>
        </w:rPr>
        <w:t xml:space="preserve">, </w:t>
      </w:r>
      <w:r w:rsidRPr="0063686F">
        <w:rPr>
          <w:rFonts w:ascii="Arial" w:hAnsi="Arial" w:cs="Arial"/>
          <w:color w:val="000000" w:themeColor="text1"/>
          <w:sz w:val="20"/>
          <w:szCs w:val="20"/>
        </w:rPr>
        <w:t>prévenir le pa</w:t>
      </w:r>
      <w:r>
        <w:rPr>
          <w:rFonts w:ascii="Arial" w:hAnsi="Arial" w:cs="Arial"/>
          <w:color w:val="000000" w:themeColor="text1"/>
          <w:sz w:val="20"/>
          <w:szCs w:val="20"/>
        </w:rPr>
        <w:t>ti</w:t>
      </w:r>
      <w:r w:rsidRPr="0063686F">
        <w:rPr>
          <w:rFonts w:ascii="Arial" w:hAnsi="Arial" w:cs="Arial"/>
          <w:color w:val="000000" w:themeColor="text1"/>
          <w:sz w:val="20"/>
          <w:szCs w:val="20"/>
        </w:rPr>
        <w:t xml:space="preserve">ent </w:t>
      </w:r>
    </w:p>
    <w:p w14:paraId="04297427" w14:textId="77777777" w:rsidR="00ED4694" w:rsidRDefault="00ED4694" w:rsidP="00ED4694">
      <w:pPr>
        <w:pStyle w:val="Sansinterligne"/>
        <w:jc w:val="both"/>
        <w:rPr>
          <w:rFonts w:ascii="Arial" w:hAnsi="Arial" w:cs="Arial"/>
          <w:color w:val="000000" w:themeColor="text1"/>
          <w:sz w:val="20"/>
          <w:szCs w:val="20"/>
        </w:rPr>
      </w:pPr>
    </w:p>
    <w:p w14:paraId="4559B3C4" w14:textId="77777777" w:rsidR="00ED4694" w:rsidRPr="00BB4BBD" w:rsidRDefault="00ED4694" w:rsidP="00ED4694">
      <w:pPr>
        <w:pStyle w:val="Sansinterligne"/>
        <w:jc w:val="both"/>
        <w:rPr>
          <w:rFonts w:ascii="Arial" w:hAnsi="Arial" w:cs="Arial"/>
          <w:color w:val="000000" w:themeColor="text1"/>
          <w:sz w:val="20"/>
          <w:szCs w:val="20"/>
          <w:u w:val="single"/>
        </w:rPr>
      </w:pPr>
      <w:r w:rsidRPr="00BB4BBD">
        <w:rPr>
          <w:rFonts w:ascii="Arial" w:hAnsi="Arial" w:cs="Arial"/>
          <w:color w:val="000000" w:themeColor="text1"/>
          <w:sz w:val="20"/>
          <w:szCs w:val="20"/>
          <w:u w:val="single"/>
        </w:rPr>
        <w:t xml:space="preserve">Titration de l’insuline et éducation : </w:t>
      </w:r>
    </w:p>
    <w:p w14:paraId="1D523781"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 xml:space="preserve">Augmenter la dose tous les 3 jours : </w:t>
      </w:r>
    </w:p>
    <w:p w14:paraId="76280668" w14:textId="77777777" w:rsidR="00ED4694" w:rsidRDefault="00ED4694" w:rsidP="00ED4694">
      <w:pPr>
        <w:pStyle w:val="Sansinterligne"/>
        <w:numPr>
          <w:ilvl w:val="1"/>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+ 3 tant que la glycémie de réveil dépasse 2g/L</w:t>
      </w:r>
    </w:p>
    <w:p w14:paraId="788ACCF9" w14:textId="77777777" w:rsidR="00ED4694" w:rsidRDefault="00ED4694" w:rsidP="00ED4694">
      <w:pPr>
        <w:pStyle w:val="Sansinterligne"/>
        <w:numPr>
          <w:ilvl w:val="1"/>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+ 2 tant que la glycémie de réveil dépasse 1,50g/L </w:t>
      </w:r>
    </w:p>
    <w:p w14:paraId="7FE65CC5" w14:textId="77777777" w:rsidR="00ED4694" w:rsidRDefault="00ED4694" w:rsidP="00ED4694">
      <w:pPr>
        <w:pStyle w:val="Sansinterligne"/>
        <w:numPr>
          <w:ilvl w:val="1"/>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+ 1 tant que la glycémie dépasse 1,30g/L </w:t>
      </w:r>
    </w:p>
    <w:p w14:paraId="4381FC8F"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 xml:space="preserve">Éduquer à le reconaissance et la prise en cahrge de l’hypoglycémie </w:t>
      </w:r>
    </w:p>
    <w:p w14:paraId="6CC2D1B0" w14:textId="77777777" w:rsidR="00ED4694" w:rsidRDefault="00ED4694" w:rsidP="00ED4694">
      <w:pPr>
        <w:pStyle w:val="Sansinterligne"/>
        <w:ind w:left="360"/>
        <w:jc w:val="both"/>
        <w:rPr>
          <w:rFonts w:ascii="Arial" w:hAnsi="Arial" w:cs="Arial"/>
          <w:color w:val="000000" w:themeColor="text1"/>
          <w:sz w:val="20"/>
          <w:szCs w:val="20"/>
        </w:rPr>
      </w:pPr>
    </w:p>
    <w:p w14:paraId="08F341AE" w14:textId="77777777" w:rsidR="00ED4694" w:rsidRPr="000F6F50" w:rsidRDefault="00ED4694" w:rsidP="00ED4694">
      <w:pPr>
        <w:pStyle w:val="Sansinterligne"/>
        <w:numPr>
          <w:ilvl w:val="0"/>
          <w:numId w:val="236"/>
        </w:numPr>
        <w:jc w:val="both"/>
        <w:rPr>
          <w:rFonts w:ascii="Arial" w:hAnsi="Arial" w:cs="Arial"/>
          <w:b/>
          <w:bCs/>
          <w:color w:val="00B0F0"/>
          <w:sz w:val="20"/>
          <w:szCs w:val="20"/>
          <w:u w:val="single"/>
        </w:rPr>
      </w:pPr>
      <w:r w:rsidRPr="000F6F50">
        <w:rPr>
          <w:rFonts w:ascii="Arial" w:hAnsi="Arial" w:cs="Arial"/>
          <w:b/>
          <w:bCs/>
          <w:color w:val="00B0F0"/>
          <w:sz w:val="20"/>
          <w:szCs w:val="20"/>
          <w:u w:val="single"/>
        </w:rPr>
        <w:t xml:space="preserve">Optimisation du traitement </w:t>
      </w:r>
    </w:p>
    <w:p w14:paraId="772B63AF" w14:textId="77777777" w:rsidR="00ED4694" w:rsidRDefault="00ED4694" w:rsidP="00ED4694">
      <w:pPr>
        <w:pStyle w:val="Sansinterligne"/>
        <w:jc w:val="both"/>
        <w:rPr>
          <w:rFonts w:ascii="Arial" w:hAnsi="Arial" w:cs="Arial"/>
          <w:color w:val="000000" w:themeColor="text1"/>
          <w:sz w:val="20"/>
          <w:szCs w:val="20"/>
        </w:rPr>
      </w:pPr>
    </w:p>
    <w:p w14:paraId="569C289C" w14:textId="77777777" w:rsidR="00ED4694" w:rsidRPr="00CE62D9" w:rsidRDefault="00ED4694" w:rsidP="00ED4694">
      <w:pPr>
        <w:pStyle w:val="Sansinterligne"/>
        <w:jc w:val="both"/>
        <w:rPr>
          <w:rFonts w:ascii="Arial" w:hAnsi="Arial" w:cs="Arial"/>
          <w:color w:val="000000" w:themeColor="text1"/>
          <w:sz w:val="20"/>
          <w:szCs w:val="20"/>
          <w:u w:val="single"/>
        </w:rPr>
      </w:pPr>
      <w:r w:rsidRPr="00CE62D9">
        <w:rPr>
          <w:rFonts w:ascii="Arial" w:hAnsi="Arial" w:cs="Arial"/>
          <w:color w:val="000000" w:themeColor="text1"/>
          <w:sz w:val="20"/>
          <w:szCs w:val="20"/>
          <w:u w:val="single"/>
        </w:rPr>
        <w:t>Diététique 1</w:t>
      </w:r>
      <w:r w:rsidRPr="00CE62D9">
        <w:rPr>
          <w:rFonts w:ascii="Arial" w:hAnsi="Arial" w:cs="Arial"/>
          <w:color w:val="000000" w:themeColor="text1"/>
          <w:sz w:val="20"/>
          <w:szCs w:val="20"/>
          <w:u w:val="single"/>
          <w:vertAlign w:val="superscript"/>
        </w:rPr>
        <w:t>er</w:t>
      </w:r>
      <w:r w:rsidRPr="00CE62D9">
        <w:rPr>
          <w:rFonts w:ascii="Arial" w:hAnsi="Arial" w:cs="Arial"/>
          <w:color w:val="000000" w:themeColor="text1"/>
          <w:sz w:val="20"/>
          <w:szCs w:val="20"/>
          <w:u w:val="single"/>
        </w:rPr>
        <w:t xml:space="preserve"> traitement :</w:t>
      </w:r>
    </w:p>
    <w:p w14:paraId="3FCEC236"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Fixer des </w:t>
      </w:r>
      <w:r>
        <w:rPr>
          <w:rFonts w:ascii="Arial" w:hAnsi="Arial" w:cs="Arial"/>
          <w:color w:val="000000" w:themeColor="text1"/>
          <w:sz w:val="20"/>
          <w:szCs w:val="20"/>
        </w:rPr>
        <w:t>objectifs</w:t>
      </w:r>
      <w:r w:rsidRPr="0063686F">
        <w:rPr>
          <w:rFonts w:ascii="Arial" w:hAnsi="Arial" w:cs="Arial"/>
          <w:color w:val="000000" w:themeColor="text1"/>
          <w:sz w:val="20"/>
          <w:szCs w:val="20"/>
        </w:rPr>
        <w:t xml:space="preserve"> pondéraux raisonnables </w:t>
      </w:r>
    </w:p>
    <w:p w14:paraId="79FD6DC7"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Equilibrer les repas </w:t>
      </w:r>
    </w:p>
    <w:p w14:paraId="0A69552C"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Principe du « tout permis à </w:t>
      </w:r>
      <w:r>
        <w:rPr>
          <w:rFonts w:ascii="Arial" w:hAnsi="Arial" w:cs="Arial"/>
          <w:color w:val="000000" w:themeColor="text1"/>
          <w:sz w:val="20"/>
          <w:szCs w:val="20"/>
        </w:rPr>
        <w:t>petite</w:t>
      </w:r>
      <w:r w:rsidRPr="0063686F">
        <w:rPr>
          <w:rFonts w:ascii="Arial" w:hAnsi="Arial" w:cs="Arial"/>
          <w:color w:val="000000" w:themeColor="text1"/>
          <w:sz w:val="20"/>
          <w:szCs w:val="20"/>
        </w:rPr>
        <w:t xml:space="preserve"> dose » </w:t>
      </w:r>
    </w:p>
    <w:p w14:paraId="05F51F6D"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Tenir compte du contexte psychosocial (précarité, chômage, dépression ...) </w:t>
      </w:r>
    </w:p>
    <w:p w14:paraId="27C3530B"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Veiller à ne pas être trop répressif / culpabilisateur </w:t>
      </w:r>
    </w:p>
    <w:p w14:paraId="0B559A8D"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Savoir négocier un programme personnalisé réaliste </w:t>
      </w:r>
    </w:p>
    <w:p w14:paraId="6E16C69F" w14:textId="77777777" w:rsidR="00ED4694" w:rsidRDefault="00ED4694" w:rsidP="00ED4694">
      <w:pPr>
        <w:pStyle w:val="Sansinterligne"/>
        <w:jc w:val="both"/>
        <w:rPr>
          <w:rFonts w:ascii="Arial" w:hAnsi="Arial" w:cs="Arial"/>
          <w:color w:val="000000" w:themeColor="text1"/>
          <w:sz w:val="20"/>
          <w:szCs w:val="20"/>
        </w:rPr>
      </w:pPr>
    </w:p>
    <w:p w14:paraId="7ACEB2D3" w14:textId="77777777" w:rsidR="00ED4694" w:rsidRPr="00CE62D9" w:rsidRDefault="00ED4694" w:rsidP="00ED4694">
      <w:pPr>
        <w:pStyle w:val="Sansinterligne"/>
        <w:jc w:val="both"/>
        <w:rPr>
          <w:rFonts w:ascii="Arial" w:hAnsi="Arial" w:cs="Arial"/>
          <w:color w:val="000000" w:themeColor="text1"/>
          <w:sz w:val="20"/>
          <w:szCs w:val="20"/>
          <w:u w:val="single"/>
        </w:rPr>
      </w:pPr>
      <w:r w:rsidRPr="00CE62D9">
        <w:rPr>
          <w:rFonts w:ascii="Arial" w:hAnsi="Arial" w:cs="Arial"/>
          <w:color w:val="000000" w:themeColor="text1"/>
          <w:sz w:val="20"/>
          <w:szCs w:val="20"/>
          <w:u w:val="single"/>
        </w:rPr>
        <w:t xml:space="preserve">1 point en moins d’HbA1c </w:t>
      </w:r>
    </w:p>
    <w:p w14:paraId="66AF4C99"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 xml:space="preserve">Réduction </w:t>
      </w:r>
      <w:r w:rsidRPr="0063686F">
        <w:rPr>
          <w:rFonts w:ascii="Arial" w:hAnsi="Arial" w:cs="Arial"/>
          <w:color w:val="000000" w:themeColor="text1"/>
          <w:sz w:val="20"/>
          <w:szCs w:val="20"/>
        </w:rPr>
        <w:t xml:space="preserve">de 12% des </w:t>
      </w:r>
      <w:r>
        <w:rPr>
          <w:rFonts w:ascii="Arial" w:hAnsi="Arial" w:cs="Arial"/>
          <w:color w:val="000000" w:themeColor="text1"/>
          <w:sz w:val="20"/>
          <w:szCs w:val="20"/>
        </w:rPr>
        <w:t>complications</w:t>
      </w:r>
      <w:r w:rsidRPr="0063686F">
        <w:rPr>
          <w:rFonts w:ascii="Arial" w:hAnsi="Arial" w:cs="Arial"/>
          <w:color w:val="000000" w:themeColor="text1"/>
          <w:sz w:val="20"/>
          <w:szCs w:val="20"/>
        </w:rPr>
        <w:t xml:space="preserve"> du diabète </w:t>
      </w:r>
    </w:p>
    <w:p w14:paraId="6E1A84D6"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 xml:space="preserve">Réduction </w:t>
      </w:r>
      <w:r w:rsidRPr="0063686F">
        <w:rPr>
          <w:rFonts w:ascii="Arial" w:hAnsi="Arial" w:cs="Arial"/>
          <w:color w:val="000000" w:themeColor="text1"/>
          <w:sz w:val="20"/>
          <w:szCs w:val="20"/>
        </w:rPr>
        <w:t xml:space="preserve">de 25 % des </w:t>
      </w:r>
      <w:r>
        <w:rPr>
          <w:rFonts w:ascii="Arial" w:hAnsi="Arial" w:cs="Arial"/>
          <w:color w:val="000000" w:themeColor="text1"/>
          <w:sz w:val="20"/>
          <w:szCs w:val="20"/>
        </w:rPr>
        <w:t>complications</w:t>
      </w:r>
      <w:r w:rsidRPr="0063686F">
        <w:rPr>
          <w:rFonts w:ascii="Arial" w:hAnsi="Arial" w:cs="Arial"/>
          <w:color w:val="000000" w:themeColor="text1"/>
          <w:sz w:val="20"/>
          <w:szCs w:val="20"/>
        </w:rPr>
        <w:t xml:space="preserve"> micro </w:t>
      </w:r>
      <w:r w:rsidRPr="00CE62D9">
        <w:rPr>
          <w:rFonts w:ascii="Arial" w:hAnsi="Arial" w:cs="Arial"/>
          <w:color w:val="000000" w:themeColor="text1"/>
          <w:sz w:val="20"/>
          <w:szCs w:val="20"/>
        </w:rPr>
        <w:t>vasculaires (œil, rein, nerf)</w:t>
      </w:r>
    </w:p>
    <w:p w14:paraId="0A66FE3B" w14:textId="77777777" w:rsidR="00ED4694" w:rsidRPr="00CE62D9"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 xml:space="preserve">Réduction </w:t>
      </w:r>
      <w:r w:rsidRPr="00CE62D9">
        <w:rPr>
          <w:rFonts w:ascii="Arial" w:hAnsi="Arial" w:cs="Arial"/>
          <w:color w:val="000000" w:themeColor="text1"/>
          <w:sz w:val="20"/>
          <w:szCs w:val="20"/>
        </w:rPr>
        <w:t xml:space="preserve">de 16 % des infarctus du myocarde </w:t>
      </w:r>
    </w:p>
    <w:p w14:paraId="2C33D3E8" w14:textId="77777777" w:rsidR="00ED4694" w:rsidRPr="0063686F" w:rsidRDefault="00ED4694" w:rsidP="00ED4694">
      <w:pPr>
        <w:pStyle w:val="Sansinterligne"/>
        <w:jc w:val="both"/>
        <w:rPr>
          <w:rFonts w:ascii="Arial" w:hAnsi="Arial" w:cs="Arial"/>
          <w:color w:val="000000" w:themeColor="text1"/>
          <w:sz w:val="20"/>
          <w:szCs w:val="20"/>
        </w:rPr>
      </w:pPr>
    </w:p>
    <w:p w14:paraId="5B554724" w14:textId="77777777" w:rsidR="00ED4694" w:rsidRPr="00CE62D9" w:rsidRDefault="00ED4694" w:rsidP="00ED4694">
      <w:pPr>
        <w:pStyle w:val="Sansinterligne"/>
        <w:jc w:val="both"/>
        <w:rPr>
          <w:rFonts w:ascii="Arial" w:hAnsi="Arial" w:cs="Arial"/>
          <w:color w:val="000000" w:themeColor="text1"/>
          <w:sz w:val="20"/>
          <w:szCs w:val="20"/>
          <w:u w:val="single"/>
        </w:rPr>
      </w:pPr>
      <w:r w:rsidRPr="00CE62D9">
        <w:rPr>
          <w:rFonts w:ascii="Arial" w:hAnsi="Arial" w:cs="Arial"/>
          <w:color w:val="000000" w:themeColor="text1"/>
          <w:sz w:val="20"/>
          <w:szCs w:val="20"/>
          <w:u w:val="single"/>
        </w:rPr>
        <w:t xml:space="preserve">Modalités de prescriptions </w:t>
      </w:r>
    </w:p>
    <w:p w14:paraId="71972470"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Respecter les aux CI +++</w:t>
      </w:r>
    </w:p>
    <w:p w14:paraId="4E5DE043" w14:textId="77777777" w:rsidR="00ED4694" w:rsidRDefault="00ED4694" w:rsidP="00ED4694">
      <w:pPr>
        <w:pStyle w:val="Sansinterligne"/>
        <w:numPr>
          <w:ilvl w:val="1"/>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Calcul de la clairance de la créatinine (tous, degrés divers) </w:t>
      </w:r>
    </w:p>
    <w:p w14:paraId="027142AF" w14:textId="77777777" w:rsidR="00ED4694" w:rsidRDefault="00ED4694" w:rsidP="00ED4694">
      <w:pPr>
        <w:pStyle w:val="Sansinterligne"/>
        <w:numPr>
          <w:ilvl w:val="1"/>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Fonction hépatique (tous), alcool attention</w:t>
      </w:r>
    </w:p>
    <w:p w14:paraId="4E17ECF8" w14:textId="77777777" w:rsidR="00ED4694" w:rsidRDefault="00ED4694" w:rsidP="00ED4694">
      <w:pPr>
        <w:pStyle w:val="Sansinterligne"/>
        <w:numPr>
          <w:ilvl w:val="1"/>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Grossesse (tous)</w:t>
      </w:r>
    </w:p>
    <w:p w14:paraId="06EAC52F" w14:textId="77777777" w:rsidR="00ED4694" w:rsidRDefault="00ED4694" w:rsidP="00ED4694">
      <w:pPr>
        <w:pStyle w:val="Sansinterligne"/>
        <w:numPr>
          <w:ilvl w:val="1"/>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Allergie (sulfamides, hypersensibilité glinides)</w:t>
      </w:r>
    </w:p>
    <w:p w14:paraId="779B5371" w14:textId="77777777" w:rsidR="00ED4694" w:rsidRPr="0063686F" w:rsidRDefault="00ED4694" w:rsidP="00ED4694">
      <w:pPr>
        <w:pStyle w:val="Sansinterligne"/>
        <w:numPr>
          <w:ilvl w:val="1"/>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Insuffisance cardiaque, respiratoire, anoxie / biguanides </w:t>
      </w:r>
    </w:p>
    <w:p w14:paraId="1CDD1F2C"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Privilégier les monoprises (observance-adhésion) </w:t>
      </w:r>
    </w:p>
    <w:p w14:paraId="6A019E0B" w14:textId="77777777" w:rsidR="00ED4694" w:rsidRPr="00BB4BBD"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Utiliser les associations </w:t>
      </w:r>
    </w:p>
    <w:p w14:paraId="5B18FBA3" w14:textId="77777777" w:rsidR="00ED4694" w:rsidRPr="00CE62D9" w:rsidRDefault="00ED4694" w:rsidP="00ED4694">
      <w:pPr>
        <w:pStyle w:val="Sansinterligne"/>
        <w:jc w:val="both"/>
        <w:rPr>
          <w:rFonts w:ascii="Arial" w:hAnsi="Arial" w:cs="Arial"/>
          <w:color w:val="000000" w:themeColor="text1"/>
          <w:sz w:val="20"/>
          <w:szCs w:val="20"/>
          <w:u w:val="single"/>
        </w:rPr>
      </w:pPr>
      <w:r w:rsidRPr="00CE62D9">
        <w:rPr>
          <w:rFonts w:ascii="Arial" w:hAnsi="Arial" w:cs="Arial"/>
          <w:color w:val="000000" w:themeColor="text1"/>
          <w:sz w:val="20"/>
          <w:szCs w:val="20"/>
          <w:u w:val="single"/>
        </w:rPr>
        <w:lastRenderedPageBreak/>
        <w:t xml:space="preserve">Metformine </w:t>
      </w:r>
    </w:p>
    <w:p w14:paraId="687A8EC7"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Augmenta/on progressive = </w:t>
      </w:r>
      <w:r>
        <w:rPr>
          <w:rFonts w:ascii="Arial" w:hAnsi="Arial" w:cs="Arial"/>
          <w:color w:val="000000" w:themeColor="text1"/>
          <w:sz w:val="20"/>
          <w:szCs w:val="20"/>
        </w:rPr>
        <w:t>amélioration</w:t>
      </w:r>
      <w:r w:rsidRPr="0063686F">
        <w:rPr>
          <w:rFonts w:ascii="Arial" w:hAnsi="Arial" w:cs="Arial"/>
          <w:color w:val="000000" w:themeColor="text1"/>
          <w:sz w:val="20"/>
          <w:szCs w:val="20"/>
        </w:rPr>
        <w:t xml:space="preserve"> tolérance </w:t>
      </w:r>
      <w:r>
        <w:rPr>
          <w:rFonts w:ascii="Arial" w:hAnsi="Arial" w:cs="Arial"/>
          <w:color w:val="000000" w:themeColor="text1"/>
          <w:sz w:val="20"/>
          <w:szCs w:val="20"/>
        </w:rPr>
        <w:t>digestive</w:t>
      </w:r>
      <w:r w:rsidRPr="0063686F">
        <w:rPr>
          <w:rFonts w:ascii="Arial" w:hAnsi="Arial" w:cs="Arial"/>
          <w:color w:val="000000" w:themeColor="text1"/>
          <w:sz w:val="20"/>
          <w:szCs w:val="20"/>
        </w:rPr>
        <w:t xml:space="preserve"> (diarrhée) </w:t>
      </w:r>
    </w:p>
    <w:p w14:paraId="40C45E15"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Prise au cours ou en fin de repas pour améliorer la tolérance </w:t>
      </w:r>
    </w:p>
    <w:p w14:paraId="485A13C9"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Goût métallique </w:t>
      </w:r>
    </w:p>
    <w:p w14:paraId="42B5DCC9"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Diminution absorption</w:t>
      </w:r>
      <w:r w:rsidRPr="0063686F">
        <w:rPr>
          <w:rFonts w:ascii="Arial" w:hAnsi="Arial" w:cs="Arial"/>
          <w:color w:val="000000" w:themeColor="text1"/>
          <w:sz w:val="20"/>
          <w:szCs w:val="20"/>
        </w:rPr>
        <w:t xml:space="preserve"> vitamine B12 avec diminu</w:t>
      </w:r>
      <w:r>
        <w:rPr>
          <w:rFonts w:ascii="Arial" w:hAnsi="Arial" w:cs="Arial"/>
          <w:color w:val="000000" w:themeColor="text1"/>
          <w:sz w:val="20"/>
          <w:szCs w:val="20"/>
        </w:rPr>
        <w:t>tion</w:t>
      </w:r>
      <w:r w:rsidRPr="0063686F">
        <w:rPr>
          <w:rFonts w:ascii="Arial" w:hAnsi="Arial" w:cs="Arial"/>
          <w:color w:val="000000" w:themeColor="text1"/>
          <w:sz w:val="20"/>
          <w:szCs w:val="20"/>
        </w:rPr>
        <w:t xml:space="preserve"> des taux sériques </w:t>
      </w:r>
    </w:p>
    <w:p w14:paraId="55E3F1E5"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Dose max. </w:t>
      </w:r>
      <w:r>
        <w:rPr>
          <w:rFonts w:ascii="Arial" w:hAnsi="Arial" w:cs="Arial"/>
          <w:color w:val="000000" w:themeColor="text1"/>
          <w:sz w:val="20"/>
          <w:szCs w:val="20"/>
        </w:rPr>
        <w:t>metformine</w:t>
      </w:r>
      <w:r w:rsidRPr="0063686F">
        <w:rPr>
          <w:rFonts w:ascii="Arial" w:hAnsi="Arial" w:cs="Arial"/>
          <w:color w:val="000000" w:themeColor="text1"/>
          <w:sz w:val="20"/>
          <w:szCs w:val="20"/>
        </w:rPr>
        <w:t xml:space="preserve"> = 3 g / jour mais effet plateau dès 2 g </w:t>
      </w:r>
    </w:p>
    <w:p w14:paraId="24C3C718" w14:textId="77777777" w:rsidR="00ED4694" w:rsidRPr="00D564FD" w:rsidRDefault="00ED4694" w:rsidP="00ED4694">
      <w:pPr>
        <w:pStyle w:val="Sansinterligne"/>
        <w:numPr>
          <w:ilvl w:val="0"/>
          <w:numId w:val="140"/>
        </w:numPr>
        <w:jc w:val="both"/>
        <w:rPr>
          <w:rFonts w:ascii="Arial" w:hAnsi="Arial" w:cs="Arial"/>
          <w:color w:val="000000" w:themeColor="text1"/>
          <w:sz w:val="20"/>
          <w:szCs w:val="20"/>
          <w:lang w:val="it-IT"/>
        </w:rPr>
      </w:pPr>
      <w:r w:rsidRPr="00D564FD">
        <w:rPr>
          <w:rFonts w:ascii="Arial" w:hAnsi="Arial" w:cs="Arial"/>
          <w:color w:val="000000" w:themeColor="text1"/>
          <w:sz w:val="20"/>
          <w:szCs w:val="20"/>
          <w:lang w:val="it-IT"/>
        </w:rPr>
        <w:t xml:space="preserve">CI si Cl créat &lt; 30mL/min </w:t>
      </w:r>
    </w:p>
    <w:p w14:paraId="05B9A296"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Acidose </w:t>
      </w:r>
      <w:r>
        <w:rPr>
          <w:rFonts w:ascii="Arial" w:hAnsi="Arial" w:cs="Arial"/>
          <w:color w:val="000000" w:themeColor="text1"/>
          <w:sz w:val="20"/>
          <w:szCs w:val="20"/>
        </w:rPr>
        <w:t>lactique</w:t>
      </w:r>
      <w:r w:rsidRPr="0063686F">
        <w:rPr>
          <w:rFonts w:ascii="Arial" w:hAnsi="Arial" w:cs="Arial"/>
          <w:color w:val="000000" w:themeColor="text1"/>
          <w:sz w:val="20"/>
          <w:szCs w:val="20"/>
        </w:rPr>
        <w:t xml:space="preserve"> (très rare 0,03 pour 1000 années pa</w:t>
      </w:r>
      <w:r>
        <w:rPr>
          <w:rFonts w:ascii="Arial" w:hAnsi="Arial" w:cs="Arial"/>
          <w:color w:val="000000" w:themeColor="text1"/>
          <w:sz w:val="20"/>
          <w:szCs w:val="20"/>
        </w:rPr>
        <w:t>tient</w:t>
      </w:r>
      <w:r w:rsidRPr="0063686F">
        <w:rPr>
          <w:rFonts w:ascii="Arial" w:hAnsi="Arial" w:cs="Arial"/>
          <w:color w:val="000000" w:themeColor="text1"/>
          <w:sz w:val="20"/>
          <w:szCs w:val="20"/>
        </w:rPr>
        <w:t xml:space="preserve">) </w:t>
      </w:r>
    </w:p>
    <w:p w14:paraId="3D9F172E" w14:textId="77777777" w:rsidR="00ED4694" w:rsidRDefault="00ED4694" w:rsidP="00ED4694">
      <w:pPr>
        <w:pStyle w:val="Sansinterligne"/>
        <w:jc w:val="both"/>
        <w:rPr>
          <w:rFonts w:ascii="Arial" w:hAnsi="Arial" w:cs="Arial"/>
          <w:color w:val="000000" w:themeColor="text1"/>
          <w:sz w:val="20"/>
          <w:szCs w:val="20"/>
        </w:rPr>
      </w:pPr>
    </w:p>
    <w:p w14:paraId="1B490C84" w14:textId="77777777" w:rsidR="00ED4694" w:rsidRPr="00CE62D9" w:rsidRDefault="00ED4694" w:rsidP="00ED4694">
      <w:pPr>
        <w:pStyle w:val="Sansinterligne"/>
        <w:jc w:val="both"/>
        <w:rPr>
          <w:rFonts w:ascii="Arial" w:hAnsi="Arial" w:cs="Arial"/>
          <w:color w:val="000000" w:themeColor="text1"/>
          <w:sz w:val="20"/>
          <w:szCs w:val="20"/>
          <w:u w:val="single"/>
        </w:rPr>
      </w:pPr>
      <w:r w:rsidRPr="00CE62D9">
        <w:rPr>
          <w:rFonts w:ascii="Arial" w:hAnsi="Arial" w:cs="Arial"/>
          <w:color w:val="000000" w:themeColor="text1"/>
          <w:sz w:val="20"/>
          <w:szCs w:val="20"/>
          <w:u w:val="single"/>
        </w:rPr>
        <w:t xml:space="preserve">Gliflozine à éviter chez des patients ayant des facteurs identifiés comme augmentant le risque d’amputation </w:t>
      </w:r>
    </w:p>
    <w:p w14:paraId="5C71DE65"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S</w:t>
      </w:r>
      <w:r w:rsidRPr="0063686F">
        <w:rPr>
          <w:rFonts w:ascii="Arial" w:hAnsi="Arial" w:cs="Arial"/>
          <w:color w:val="000000" w:themeColor="text1"/>
          <w:sz w:val="20"/>
          <w:szCs w:val="20"/>
        </w:rPr>
        <w:t xml:space="preserve">ur-risque d’amputa/on (principalement de l’orteil) a été iden/fié avec la canagliflozine (pas exclu pour autres gliflozines) </w:t>
      </w:r>
    </w:p>
    <w:p w14:paraId="176DBC9C" w14:textId="77777777" w:rsidR="00ED4694" w:rsidRDefault="00ED4694" w:rsidP="00ED4694">
      <w:pPr>
        <w:pStyle w:val="Sansinterligne"/>
        <w:numPr>
          <w:ilvl w:val="1"/>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facteurs </w:t>
      </w:r>
      <w:r>
        <w:rPr>
          <w:rFonts w:ascii="Arial" w:hAnsi="Arial" w:cs="Arial"/>
          <w:color w:val="000000" w:themeColor="text1"/>
          <w:sz w:val="20"/>
          <w:szCs w:val="20"/>
        </w:rPr>
        <w:t>potentiels</w:t>
      </w:r>
      <w:r w:rsidRPr="0063686F">
        <w:rPr>
          <w:rFonts w:ascii="Arial" w:hAnsi="Arial" w:cs="Arial"/>
          <w:color w:val="000000" w:themeColor="text1"/>
          <w:sz w:val="20"/>
          <w:szCs w:val="20"/>
        </w:rPr>
        <w:t xml:space="preserve"> prédisposant à </w:t>
      </w:r>
      <w:r>
        <w:rPr>
          <w:rFonts w:ascii="Arial" w:hAnsi="Arial" w:cs="Arial"/>
          <w:color w:val="000000" w:themeColor="text1"/>
          <w:sz w:val="20"/>
          <w:szCs w:val="20"/>
        </w:rPr>
        <w:t>l’amputation</w:t>
      </w:r>
      <w:r w:rsidRPr="0063686F">
        <w:rPr>
          <w:rFonts w:ascii="Arial" w:hAnsi="Arial" w:cs="Arial"/>
          <w:color w:val="000000" w:themeColor="text1"/>
          <w:sz w:val="20"/>
          <w:szCs w:val="20"/>
        </w:rPr>
        <w:t xml:space="preserve"> sont notamment </w:t>
      </w:r>
    </w:p>
    <w:p w14:paraId="67E96012" w14:textId="77777777" w:rsidR="00ED4694" w:rsidRDefault="00ED4694" w:rsidP="00ED4694">
      <w:pPr>
        <w:pStyle w:val="Sansinterligne"/>
        <w:numPr>
          <w:ilvl w:val="1"/>
          <w:numId w:val="140"/>
        </w:numPr>
        <w:jc w:val="both"/>
        <w:rPr>
          <w:rFonts w:ascii="Arial" w:hAnsi="Arial" w:cs="Arial"/>
          <w:color w:val="000000" w:themeColor="text1"/>
          <w:sz w:val="20"/>
          <w:szCs w:val="20"/>
        </w:rPr>
      </w:pPr>
      <w:r w:rsidRPr="00CE62D9">
        <w:rPr>
          <w:rFonts w:ascii="Arial" w:hAnsi="Arial" w:cs="Arial"/>
          <w:color w:val="000000" w:themeColor="text1"/>
          <w:sz w:val="20"/>
          <w:szCs w:val="20"/>
        </w:rPr>
        <w:t>antécédent d’amput</w:t>
      </w:r>
      <w:r>
        <w:rPr>
          <w:rFonts w:ascii="Arial" w:hAnsi="Arial" w:cs="Arial"/>
          <w:color w:val="000000" w:themeColor="text1"/>
          <w:sz w:val="20"/>
          <w:szCs w:val="20"/>
        </w:rPr>
        <w:t>ation</w:t>
      </w:r>
      <w:r w:rsidRPr="00CE62D9">
        <w:rPr>
          <w:rFonts w:ascii="Arial" w:hAnsi="Arial" w:cs="Arial"/>
          <w:color w:val="000000" w:themeColor="text1"/>
          <w:sz w:val="20"/>
          <w:szCs w:val="20"/>
        </w:rPr>
        <w:t xml:space="preserve"> </w:t>
      </w:r>
    </w:p>
    <w:p w14:paraId="7F17839A" w14:textId="77777777" w:rsidR="00ED4694" w:rsidRDefault="00ED4694" w:rsidP="00ED4694">
      <w:pPr>
        <w:pStyle w:val="Sansinterligne"/>
        <w:numPr>
          <w:ilvl w:val="1"/>
          <w:numId w:val="140"/>
        </w:numPr>
        <w:jc w:val="both"/>
        <w:rPr>
          <w:rFonts w:ascii="Arial" w:hAnsi="Arial" w:cs="Arial"/>
          <w:color w:val="000000" w:themeColor="text1"/>
          <w:sz w:val="20"/>
          <w:szCs w:val="20"/>
        </w:rPr>
      </w:pPr>
      <w:r w:rsidRPr="00CE62D9">
        <w:rPr>
          <w:rFonts w:ascii="Arial" w:hAnsi="Arial" w:cs="Arial"/>
          <w:color w:val="000000" w:themeColor="text1"/>
          <w:sz w:val="20"/>
          <w:szCs w:val="20"/>
        </w:rPr>
        <w:t xml:space="preserve">de maladie vasculaire périphérique </w:t>
      </w:r>
    </w:p>
    <w:p w14:paraId="4420AED2" w14:textId="77777777" w:rsidR="00ED4694" w:rsidRPr="00CE62D9" w:rsidRDefault="00ED4694" w:rsidP="00ED4694">
      <w:pPr>
        <w:pStyle w:val="Sansinterligne"/>
        <w:numPr>
          <w:ilvl w:val="1"/>
          <w:numId w:val="140"/>
        </w:numPr>
        <w:jc w:val="both"/>
        <w:rPr>
          <w:rFonts w:ascii="Arial" w:hAnsi="Arial" w:cs="Arial"/>
          <w:color w:val="000000" w:themeColor="text1"/>
          <w:sz w:val="20"/>
          <w:szCs w:val="20"/>
        </w:rPr>
      </w:pPr>
      <w:r w:rsidRPr="00CE62D9">
        <w:rPr>
          <w:rFonts w:ascii="Arial" w:hAnsi="Arial" w:cs="Arial"/>
          <w:color w:val="000000" w:themeColor="text1"/>
          <w:sz w:val="20"/>
          <w:szCs w:val="20"/>
        </w:rPr>
        <w:t xml:space="preserve">de neuropathie </w:t>
      </w:r>
    </w:p>
    <w:p w14:paraId="34DF7C24"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S</w:t>
      </w:r>
      <w:r w:rsidRPr="0063686F">
        <w:rPr>
          <w:rFonts w:ascii="Arial" w:hAnsi="Arial" w:cs="Arial"/>
          <w:color w:val="000000" w:themeColor="text1"/>
          <w:sz w:val="20"/>
          <w:szCs w:val="20"/>
        </w:rPr>
        <w:t>urveiller a</w:t>
      </w:r>
      <w:r>
        <w:rPr>
          <w:rFonts w:ascii="Arial" w:hAnsi="Arial" w:cs="Arial"/>
          <w:color w:val="000000" w:themeColor="text1"/>
          <w:sz w:val="20"/>
          <w:szCs w:val="20"/>
        </w:rPr>
        <w:t>ttentivement</w:t>
      </w:r>
      <w:r w:rsidRPr="0063686F">
        <w:rPr>
          <w:rFonts w:ascii="Arial" w:hAnsi="Arial" w:cs="Arial"/>
          <w:color w:val="000000" w:themeColor="text1"/>
          <w:sz w:val="20"/>
          <w:szCs w:val="20"/>
        </w:rPr>
        <w:t xml:space="preserve"> les pa</w:t>
      </w:r>
      <w:r>
        <w:rPr>
          <w:rFonts w:ascii="Arial" w:hAnsi="Arial" w:cs="Arial"/>
          <w:color w:val="000000" w:themeColor="text1"/>
          <w:sz w:val="20"/>
          <w:szCs w:val="20"/>
        </w:rPr>
        <w:t>tients</w:t>
      </w:r>
      <w:r w:rsidRPr="0063686F">
        <w:rPr>
          <w:rFonts w:ascii="Arial" w:hAnsi="Arial" w:cs="Arial"/>
          <w:color w:val="000000" w:themeColor="text1"/>
          <w:sz w:val="20"/>
          <w:szCs w:val="20"/>
        </w:rPr>
        <w:t xml:space="preserve"> avec un risque d’amputa</w:t>
      </w:r>
      <w:r>
        <w:rPr>
          <w:rFonts w:ascii="Arial" w:hAnsi="Arial" w:cs="Arial"/>
          <w:color w:val="000000" w:themeColor="text1"/>
          <w:sz w:val="20"/>
          <w:szCs w:val="20"/>
        </w:rPr>
        <w:t>tio</w:t>
      </w:r>
      <w:r w:rsidRPr="0063686F">
        <w:rPr>
          <w:rFonts w:ascii="Arial" w:hAnsi="Arial" w:cs="Arial"/>
          <w:color w:val="000000" w:themeColor="text1"/>
          <w:sz w:val="20"/>
          <w:szCs w:val="20"/>
        </w:rPr>
        <w:t xml:space="preserve">n plus élevé, de les informer et les accompagner pour la bonne mise en œuvre des soins de </w:t>
      </w:r>
      <w:r>
        <w:rPr>
          <w:rFonts w:ascii="Arial" w:hAnsi="Arial" w:cs="Arial"/>
          <w:color w:val="000000" w:themeColor="text1"/>
          <w:sz w:val="20"/>
          <w:szCs w:val="20"/>
        </w:rPr>
        <w:t>routine préventifs</w:t>
      </w:r>
      <w:r w:rsidRPr="0063686F">
        <w:rPr>
          <w:rFonts w:ascii="Arial" w:hAnsi="Arial" w:cs="Arial"/>
          <w:color w:val="000000" w:themeColor="text1"/>
          <w:sz w:val="20"/>
          <w:szCs w:val="20"/>
        </w:rPr>
        <w:t xml:space="preserve"> du pied et du main/en d’une hydrata</w:t>
      </w:r>
      <w:r>
        <w:rPr>
          <w:rFonts w:ascii="Arial" w:hAnsi="Arial" w:cs="Arial"/>
          <w:color w:val="000000" w:themeColor="text1"/>
          <w:sz w:val="20"/>
          <w:szCs w:val="20"/>
        </w:rPr>
        <w:t>ti</w:t>
      </w:r>
      <w:r w:rsidRPr="0063686F">
        <w:rPr>
          <w:rFonts w:ascii="Arial" w:hAnsi="Arial" w:cs="Arial"/>
          <w:color w:val="000000" w:themeColor="text1"/>
          <w:sz w:val="20"/>
          <w:szCs w:val="20"/>
        </w:rPr>
        <w:t xml:space="preserve">on adéquate. </w:t>
      </w:r>
    </w:p>
    <w:p w14:paraId="7CAA4059"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T</w:t>
      </w:r>
      <w:r w:rsidRPr="0063686F">
        <w:rPr>
          <w:rFonts w:ascii="Arial" w:hAnsi="Arial" w:cs="Arial"/>
          <w:color w:val="000000" w:themeColor="text1"/>
          <w:sz w:val="20"/>
          <w:szCs w:val="20"/>
        </w:rPr>
        <w:t>raitement par la gliflozine doit être arrêté chez les pa</w:t>
      </w:r>
      <w:r>
        <w:rPr>
          <w:rFonts w:ascii="Arial" w:hAnsi="Arial" w:cs="Arial"/>
          <w:color w:val="000000" w:themeColor="text1"/>
          <w:sz w:val="20"/>
          <w:szCs w:val="20"/>
        </w:rPr>
        <w:t>tie</w:t>
      </w:r>
      <w:r w:rsidRPr="0063686F">
        <w:rPr>
          <w:rFonts w:ascii="Arial" w:hAnsi="Arial" w:cs="Arial"/>
          <w:color w:val="000000" w:themeColor="text1"/>
          <w:sz w:val="20"/>
          <w:szCs w:val="20"/>
        </w:rPr>
        <w:t>nts qui développent des évènements suscep</w:t>
      </w:r>
      <w:r>
        <w:rPr>
          <w:rFonts w:ascii="Arial" w:hAnsi="Arial" w:cs="Arial"/>
          <w:color w:val="000000" w:themeColor="text1"/>
          <w:sz w:val="20"/>
          <w:szCs w:val="20"/>
        </w:rPr>
        <w:t>ti</w:t>
      </w:r>
      <w:r w:rsidRPr="0063686F">
        <w:rPr>
          <w:rFonts w:ascii="Arial" w:hAnsi="Arial" w:cs="Arial"/>
          <w:color w:val="000000" w:themeColor="text1"/>
          <w:sz w:val="20"/>
          <w:szCs w:val="20"/>
        </w:rPr>
        <w:t>bles de précéder une amputa</w:t>
      </w:r>
      <w:r>
        <w:rPr>
          <w:rFonts w:ascii="Arial" w:hAnsi="Arial" w:cs="Arial"/>
          <w:color w:val="000000" w:themeColor="text1"/>
          <w:sz w:val="20"/>
          <w:szCs w:val="20"/>
        </w:rPr>
        <w:t>ti</w:t>
      </w:r>
      <w:r w:rsidRPr="0063686F">
        <w:rPr>
          <w:rFonts w:ascii="Arial" w:hAnsi="Arial" w:cs="Arial"/>
          <w:color w:val="000000" w:themeColor="text1"/>
          <w:sz w:val="20"/>
          <w:szCs w:val="20"/>
        </w:rPr>
        <w:t>on tels qu’un ulcère cutané au niveau des membres inférieurs, une infec</w:t>
      </w:r>
      <w:r>
        <w:rPr>
          <w:rFonts w:ascii="Arial" w:hAnsi="Arial" w:cs="Arial"/>
          <w:color w:val="000000" w:themeColor="text1"/>
          <w:sz w:val="20"/>
          <w:szCs w:val="20"/>
        </w:rPr>
        <w:t>ti</w:t>
      </w:r>
      <w:r w:rsidRPr="0063686F">
        <w:rPr>
          <w:rFonts w:ascii="Arial" w:hAnsi="Arial" w:cs="Arial"/>
          <w:color w:val="000000" w:themeColor="text1"/>
          <w:sz w:val="20"/>
          <w:szCs w:val="20"/>
        </w:rPr>
        <w:t xml:space="preserve">on ou une ostéomyélite </w:t>
      </w:r>
    </w:p>
    <w:p w14:paraId="2A739D48" w14:textId="77777777" w:rsidR="00ED4694" w:rsidRDefault="00ED4694" w:rsidP="00ED4694">
      <w:pPr>
        <w:pStyle w:val="Sansinterligne"/>
        <w:jc w:val="both"/>
        <w:rPr>
          <w:rFonts w:ascii="Arial" w:hAnsi="Arial" w:cs="Arial"/>
          <w:color w:val="000000" w:themeColor="text1"/>
          <w:sz w:val="20"/>
          <w:szCs w:val="20"/>
        </w:rPr>
      </w:pPr>
    </w:p>
    <w:p w14:paraId="30658BE1" w14:textId="77777777" w:rsidR="00ED4694" w:rsidRPr="00CE62D9" w:rsidRDefault="00ED4694" w:rsidP="00ED4694">
      <w:pPr>
        <w:pStyle w:val="Sansinterligne"/>
        <w:jc w:val="both"/>
        <w:rPr>
          <w:rFonts w:ascii="Arial" w:hAnsi="Arial" w:cs="Arial"/>
          <w:color w:val="000000" w:themeColor="text1"/>
          <w:sz w:val="20"/>
          <w:szCs w:val="20"/>
          <w:u w:val="single"/>
        </w:rPr>
      </w:pPr>
      <w:r w:rsidRPr="00CE62D9">
        <w:rPr>
          <w:rFonts w:ascii="Arial" w:hAnsi="Arial" w:cs="Arial"/>
          <w:color w:val="000000" w:themeColor="text1"/>
          <w:sz w:val="20"/>
          <w:szCs w:val="20"/>
          <w:u w:val="single"/>
        </w:rPr>
        <w:t xml:space="preserve">Gliflozine et acidocétose </w:t>
      </w:r>
    </w:p>
    <w:p w14:paraId="42B3FD79" w14:textId="77777777" w:rsidR="00ED4694" w:rsidRPr="00CE62D9"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sensibilisation du patient en cas de survenue de symptômes non spécifiques</w:t>
      </w:r>
      <w:r>
        <w:rPr>
          <w:rFonts w:ascii="Arial" w:hAnsi="Arial" w:cs="Arial"/>
          <w:color w:val="000000" w:themeColor="text1"/>
          <w:sz w:val="20"/>
          <w:szCs w:val="20"/>
        </w:rPr>
        <w:t xml:space="preserve"> : </w:t>
      </w:r>
      <w:r w:rsidRPr="00CE62D9">
        <w:rPr>
          <w:rFonts w:ascii="Arial" w:hAnsi="Arial" w:cs="Arial"/>
          <w:color w:val="000000" w:themeColor="text1"/>
          <w:sz w:val="20"/>
          <w:szCs w:val="20"/>
        </w:rPr>
        <w:t>nausées</w:t>
      </w:r>
      <w:r>
        <w:rPr>
          <w:rFonts w:ascii="Arial" w:hAnsi="Arial" w:cs="Arial"/>
          <w:color w:val="000000" w:themeColor="text1"/>
          <w:sz w:val="20"/>
          <w:szCs w:val="20"/>
        </w:rPr>
        <w:t>,</w:t>
      </w:r>
      <w:r w:rsidRPr="00CE62D9">
        <w:rPr>
          <w:rFonts w:ascii="Arial" w:hAnsi="Arial" w:cs="Arial"/>
          <w:color w:val="000000" w:themeColor="text1"/>
          <w:sz w:val="20"/>
          <w:szCs w:val="20"/>
        </w:rPr>
        <w:t> vomissements</w:t>
      </w:r>
      <w:r>
        <w:rPr>
          <w:rFonts w:ascii="Arial" w:hAnsi="Arial" w:cs="Arial"/>
          <w:color w:val="000000" w:themeColor="text1"/>
          <w:sz w:val="20"/>
          <w:szCs w:val="20"/>
        </w:rPr>
        <w:t xml:space="preserve">, </w:t>
      </w:r>
      <w:r w:rsidRPr="00CE62D9">
        <w:rPr>
          <w:rFonts w:ascii="Arial" w:hAnsi="Arial" w:cs="Arial"/>
          <w:color w:val="000000" w:themeColor="text1"/>
          <w:sz w:val="20"/>
          <w:szCs w:val="20"/>
        </w:rPr>
        <w:t xml:space="preserve">anorexie </w:t>
      </w:r>
      <w:r>
        <w:rPr>
          <w:rFonts w:ascii="Arial" w:hAnsi="Arial" w:cs="Arial"/>
          <w:color w:val="000000" w:themeColor="text1"/>
          <w:sz w:val="20"/>
          <w:szCs w:val="20"/>
        </w:rPr>
        <w:t>, d</w:t>
      </w:r>
      <w:r w:rsidRPr="00CE62D9">
        <w:rPr>
          <w:rFonts w:ascii="Arial" w:hAnsi="Arial" w:cs="Arial"/>
          <w:color w:val="000000" w:themeColor="text1"/>
          <w:sz w:val="20"/>
          <w:szCs w:val="20"/>
        </w:rPr>
        <w:t>ouleur abdominale</w:t>
      </w:r>
      <w:r>
        <w:rPr>
          <w:rFonts w:ascii="Arial" w:hAnsi="Arial" w:cs="Arial"/>
          <w:color w:val="000000" w:themeColor="text1"/>
          <w:sz w:val="20"/>
          <w:szCs w:val="20"/>
        </w:rPr>
        <w:t xml:space="preserve">, </w:t>
      </w:r>
      <w:r w:rsidRPr="00CE62D9">
        <w:rPr>
          <w:rFonts w:ascii="Arial" w:hAnsi="Arial" w:cs="Arial"/>
          <w:color w:val="000000" w:themeColor="text1"/>
          <w:sz w:val="20"/>
          <w:szCs w:val="20"/>
        </w:rPr>
        <w:t>soif excessive</w:t>
      </w:r>
      <w:r>
        <w:rPr>
          <w:rFonts w:ascii="Arial" w:hAnsi="Arial" w:cs="Arial"/>
          <w:color w:val="000000" w:themeColor="text1"/>
          <w:sz w:val="20"/>
          <w:szCs w:val="20"/>
        </w:rPr>
        <w:t xml:space="preserve">, </w:t>
      </w:r>
      <w:r w:rsidRPr="00CE62D9">
        <w:rPr>
          <w:rFonts w:ascii="Arial" w:hAnsi="Arial" w:cs="Arial"/>
          <w:color w:val="000000" w:themeColor="text1"/>
          <w:sz w:val="20"/>
          <w:szCs w:val="20"/>
        </w:rPr>
        <w:t>difficultés respiratoires</w:t>
      </w:r>
      <w:r>
        <w:rPr>
          <w:rFonts w:ascii="Arial" w:hAnsi="Arial" w:cs="Arial"/>
          <w:color w:val="000000" w:themeColor="text1"/>
          <w:sz w:val="20"/>
          <w:szCs w:val="20"/>
        </w:rPr>
        <w:t>, c</w:t>
      </w:r>
      <w:r w:rsidRPr="00CE62D9">
        <w:rPr>
          <w:rFonts w:ascii="Arial" w:hAnsi="Arial" w:cs="Arial"/>
          <w:color w:val="000000" w:themeColor="text1"/>
          <w:sz w:val="20"/>
          <w:szCs w:val="20"/>
        </w:rPr>
        <w:t>onfusion</w:t>
      </w:r>
      <w:r>
        <w:rPr>
          <w:rFonts w:ascii="Arial" w:hAnsi="Arial" w:cs="Arial"/>
          <w:color w:val="000000" w:themeColor="text1"/>
          <w:sz w:val="20"/>
          <w:szCs w:val="20"/>
        </w:rPr>
        <w:t>, f</w:t>
      </w:r>
      <w:r w:rsidRPr="00CE62D9">
        <w:rPr>
          <w:rFonts w:ascii="Arial" w:hAnsi="Arial" w:cs="Arial"/>
          <w:color w:val="000000" w:themeColor="text1"/>
          <w:sz w:val="20"/>
          <w:szCs w:val="20"/>
        </w:rPr>
        <w:t xml:space="preserve">atigue inhabituelle ou somnolence. </w:t>
      </w:r>
    </w:p>
    <w:p w14:paraId="0E0FD06B" w14:textId="77777777" w:rsidR="00ED4694" w:rsidRPr="0063686F" w:rsidRDefault="00ED4694" w:rsidP="00ED4694">
      <w:pPr>
        <w:pStyle w:val="Sansinterligne"/>
        <w:jc w:val="both"/>
        <w:rPr>
          <w:rFonts w:ascii="Arial" w:hAnsi="Arial" w:cs="Arial"/>
          <w:color w:val="000000" w:themeColor="text1"/>
          <w:sz w:val="20"/>
          <w:szCs w:val="20"/>
        </w:rPr>
      </w:pPr>
      <w:r w:rsidRPr="0063686F">
        <w:rPr>
          <w:rFonts w:ascii="Arial" w:hAnsi="Arial" w:cs="Arial"/>
          <w:color w:val="000000" w:themeColor="text1"/>
          <w:sz w:val="20"/>
          <w:szCs w:val="20"/>
        </w:rPr>
        <w:t xml:space="preserve">En cas d’apparition de ces symptômes, une acidocétose doit immédiatement être recherchée, quelle que soit la glycémie du patient. </w:t>
      </w:r>
    </w:p>
    <w:p w14:paraId="0FBB5AF6" w14:textId="77777777" w:rsidR="00ED4694" w:rsidRPr="0063686F" w:rsidRDefault="00ED4694" w:rsidP="00ED4694">
      <w:pPr>
        <w:pStyle w:val="Sansinterligne"/>
        <w:jc w:val="both"/>
        <w:rPr>
          <w:rFonts w:ascii="Arial" w:hAnsi="Arial" w:cs="Arial"/>
          <w:color w:val="000000" w:themeColor="text1"/>
          <w:sz w:val="20"/>
          <w:szCs w:val="20"/>
        </w:rPr>
      </w:pPr>
      <w:r w:rsidRPr="0063686F">
        <w:rPr>
          <w:rFonts w:ascii="Arial" w:hAnsi="Arial" w:cs="Arial"/>
          <w:color w:val="000000" w:themeColor="text1"/>
          <w:sz w:val="20"/>
          <w:szCs w:val="20"/>
        </w:rPr>
        <w:t xml:space="preserve">Le patient doit être en mesure de réaliser une cétonémie en autosurveillance en cas de survenue des signes d’alerte. </w:t>
      </w:r>
    </w:p>
    <w:p w14:paraId="219D4ACA" w14:textId="77777777" w:rsidR="00ED4694" w:rsidRDefault="00ED4694" w:rsidP="00ED4694">
      <w:pPr>
        <w:pStyle w:val="Sansinterligne"/>
        <w:jc w:val="both"/>
        <w:rPr>
          <w:rFonts w:ascii="Arial" w:hAnsi="Arial" w:cs="Arial"/>
          <w:color w:val="000000" w:themeColor="text1"/>
          <w:sz w:val="20"/>
          <w:szCs w:val="20"/>
        </w:rPr>
      </w:pPr>
    </w:p>
    <w:p w14:paraId="2A4ADC6F" w14:textId="77777777" w:rsidR="00ED4694" w:rsidRPr="00CE62D9" w:rsidRDefault="00ED4694" w:rsidP="00ED4694">
      <w:pPr>
        <w:pStyle w:val="Sansinterligne"/>
        <w:jc w:val="both"/>
        <w:rPr>
          <w:rFonts w:ascii="Arial" w:hAnsi="Arial" w:cs="Arial"/>
          <w:color w:val="000000" w:themeColor="text1"/>
          <w:sz w:val="20"/>
          <w:szCs w:val="20"/>
          <w:u w:val="single"/>
        </w:rPr>
      </w:pPr>
      <w:r w:rsidRPr="00CE62D9">
        <w:rPr>
          <w:rFonts w:ascii="Arial" w:hAnsi="Arial" w:cs="Arial"/>
          <w:color w:val="000000" w:themeColor="text1"/>
          <w:sz w:val="20"/>
          <w:szCs w:val="20"/>
          <w:u w:val="single"/>
        </w:rPr>
        <w:t xml:space="preserve">Gliflozine et gangrène de Fournier (rare mais grave) </w:t>
      </w:r>
    </w:p>
    <w:p w14:paraId="14F758E1"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S</w:t>
      </w:r>
      <w:r w:rsidRPr="0063686F">
        <w:rPr>
          <w:rFonts w:ascii="Arial" w:hAnsi="Arial" w:cs="Arial"/>
          <w:color w:val="000000" w:themeColor="text1"/>
          <w:sz w:val="20"/>
          <w:szCs w:val="20"/>
        </w:rPr>
        <w:t>ymptômes tels qu’une douleur, une sensibilité, un érythème ou une tuméfac</w:t>
      </w:r>
      <w:r>
        <w:rPr>
          <w:rFonts w:ascii="Arial" w:hAnsi="Arial" w:cs="Arial"/>
          <w:color w:val="000000" w:themeColor="text1"/>
          <w:sz w:val="20"/>
          <w:szCs w:val="20"/>
        </w:rPr>
        <w:t>ti</w:t>
      </w:r>
      <w:r w:rsidRPr="0063686F">
        <w:rPr>
          <w:rFonts w:ascii="Arial" w:hAnsi="Arial" w:cs="Arial"/>
          <w:color w:val="000000" w:themeColor="text1"/>
          <w:sz w:val="20"/>
          <w:szCs w:val="20"/>
        </w:rPr>
        <w:t xml:space="preserve">on au </w:t>
      </w:r>
      <w:r w:rsidRPr="00CE62D9">
        <w:rPr>
          <w:rFonts w:ascii="Arial" w:hAnsi="Arial" w:cs="Arial"/>
          <w:color w:val="000000" w:themeColor="text1"/>
          <w:sz w:val="20"/>
          <w:szCs w:val="20"/>
        </w:rPr>
        <w:t xml:space="preserve">niveau de la zone génitale ou périnéale, accompagnés de fièvre ou de malaises </w:t>
      </w:r>
      <w:r>
        <w:rPr>
          <w:rFonts w:ascii="Arial" w:hAnsi="Arial" w:cs="Arial"/>
          <w:color w:val="000000" w:themeColor="text1"/>
          <w:sz w:val="20"/>
          <w:szCs w:val="20"/>
        </w:rPr>
        <w:t>doit alerter.</w:t>
      </w:r>
    </w:p>
    <w:p w14:paraId="70197F4F" w14:textId="77777777" w:rsidR="00ED4694" w:rsidRPr="00CE62D9" w:rsidRDefault="00ED4694" w:rsidP="00ED4694">
      <w:pPr>
        <w:pStyle w:val="Sansinterligne"/>
        <w:numPr>
          <w:ilvl w:val="0"/>
          <w:numId w:val="140"/>
        </w:numPr>
        <w:jc w:val="both"/>
        <w:rPr>
          <w:rFonts w:ascii="Arial" w:hAnsi="Arial" w:cs="Arial"/>
          <w:color w:val="000000" w:themeColor="text1"/>
          <w:sz w:val="20"/>
          <w:szCs w:val="20"/>
        </w:rPr>
      </w:pPr>
      <w:r w:rsidRPr="00CE62D9">
        <w:rPr>
          <w:rFonts w:ascii="Arial" w:hAnsi="Arial" w:cs="Arial"/>
          <w:color w:val="000000" w:themeColor="text1"/>
          <w:sz w:val="20"/>
          <w:szCs w:val="20"/>
        </w:rPr>
        <w:t>La fasciite nécrosante peut être précédée d’une infec</w:t>
      </w:r>
      <w:r>
        <w:rPr>
          <w:rFonts w:ascii="Arial" w:hAnsi="Arial" w:cs="Arial"/>
          <w:color w:val="000000" w:themeColor="text1"/>
          <w:sz w:val="20"/>
          <w:szCs w:val="20"/>
        </w:rPr>
        <w:t>ti</w:t>
      </w:r>
      <w:r w:rsidRPr="00CE62D9">
        <w:rPr>
          <w:rFonts w:ascii="Arial" w:hAnsi="Arial" w:cs="Arial"/>
          <w:color w:val="000000" w:themeColor="text1"/>
          <w:sz w:val="20"/>
          <w:szCs w:val="20"/>
        </w:rPr>
        <w:t xml:space="preserve">on urogénitale ou d’un abcès </w:t>
      </w:r>
      <w:r>
        <w:rPr>
          <w:rFonts w:ascii="Arial" w:hAnsi="Arial" w:cs="Arial"/>
          <w:color w:val="000000" w:themeColor="text1"/>
          <w:sz w:val="20"/>
          <w:szCs w:val="20"/>
        </w:rPr>
        <w:t xml:space="preserve">périnéal. </w:t>
      </w:r>
    </w:p>
    <w:p w14:paraId="1D35F628"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Un traitement urgent et agressif est primordial pour assurer la survie du pa</w:t>
      </w:r>
      <w:r>
        <w:rPr>
          <w:rFonts w:ascii="Arial" w:hAnsi="Arial" w:cs="Arial"/>
          <w:color w:val="000000" w:themeColor="text1"/>
          <w:sz w:val="20"/>
          <w:szCs w:val="20"/>
        </w:rPr>
        <w:t>ti</w:t>
      </w:r>
      <w:r w:rsidRPr="0063686F">
        <w:rPr>
          <w:rFonts w:ascii="Arial" w:hAnsi="Arial" w:cs="Arial"/>
          <w:color w:val="000000" w:themeColor="text1"/>
          <w:sz w:val="20"/>
          <w:szCs w:val="20"/>
        </w:rPr>
        <w:t xml:space="preserve">ent. Une </w:t>
      </w:r>
      <w:r>
        <w:rPr>
          <w:rFonts w:ascii="Arial" w:hAnsi="Arial" w:cs="Arial"/>
          <w:color w:val="000000" w:themeColor="text1"/>
          <w:sz w:val="20"/>
          <w:szCs w:val="20"/>
        </w:rPr>
        <w:t>rééquilibration</w:t>
      </w:r>
      <w:r w:rsidRPr="0063686F">
        <w:rPr>
          <w:rFonts w:ascii="Arial" w:hAnsi="Arial" w:cs="Arial"/>
          <w:color w:val="000000" w:themeColor="text1"/>
          <w:sz w:val="20"/>
          <w:szCs w:val="20"/>
        </w:rPr>
        <w:t xml:space="preserve"> hydroélectroly</w:t>
      </w:r>
      <w:r>
        <w:rPr>
          <w:rFonts w:ascii="Arial" w:hAnsi="Arial" w:cs="Arial"/>
          <w:color w:val="000000" w:themeColor="text1"/>
          <w:sz w:val="20"/>
          <w:szCs w:val="20"/>
        </w:rPr>
        <w:t>ti</w:t>
      </w:r>
      <w:r w:rsidRPr="0063686F">
        <w:rPr>
          <w:rFonts w:ascii="Arial" w:hAnsi="Arial" w:cs="Arial"/>
          <w:color w:val="000000" w:themeColor="text1"/>
          <w:sz w:val="20"/>
          <w:szCs w:val="20"/>
        </w:rPr>
        <w:t>que, avec une an</w:t>
      </w:r>
      <w:r>
        <w:rPr>
          <w:rFonts w:ascii="Arial" w:hAnsi="Arial" w:cs="Arial"/>
          <w:color w:val="000000" w:themeColor="text1"/>
          <w:sz w:val="20"/>
          <w:szCs w:val="20"/>
        </w:rPr>
        <w:t>ti</w:t>
      </w:r>
      <w:r w:rsidRPr="0063686F">
        <w:rPr>
          <w:rFonts w:ascii="Arial" w:hAnsi="Arial" w:cs="Arial"/>
          <w:color w:val="000000" w:themeColor="text1"/>
          <w:sz w:val="20"/>
          <w:szCs w:val="20"/>
        </w:rPr>
        <w:t>biothérapie à large spectre suivies rapidement par un débridement chirurgical, est la base du traitement. Cependant, la mortalité reste élevée, de l’ordre de 20 à 80 %, souvent en raison du retard dans le diagnos</w:t>
      </w:r>
      <w:r>
        <w:rPr>
          <w:rFonts w:ascii="Arial" w:hAnsi="Arial" w:cs="Arial"/>
          <w:color w:val="000000" w:themeColor="text1"/>
          <w:sz w:val="20"/>
          <w:szCs w:val="20"/>
        </w:rPr>
        <w:t>ti</w:t>
      </w:r>
      <w:r w:rsidRPr="0063686F">
        <w:rPr>
          <w:rFonts w:ascii="Arial" w:hAnsi="Arial" w:cs="Arial"/>
          <w:color w:val="000000" w:themeColor="text1"/>
          <w:sz w:val="20"/>
          <w:szCs w:val="20"/>
        </w:rPr>
        <w:t>c et la prise en charge. Les pa</w:t>
      </w:r>
      <w:r>
        <w:rPr>
          <w:rFonts w:ascii="Arial" w:hAnsi="Arial" w:cs="Arial"/>
          <w:color w:val="000000" w:themeColor="text1"/>
          <w:sz w:val="20"/>
          <w:szCs w:val="20"/>
        </w:rPr>
        <w:t>ti</w:t>
      </w:r>
      <w:r w:rsidRPr="0063686F">
        <w:rPr>
          <w:rFonts w:ascii="Arial" w:hAnsi="Arial" w:cs="Arial"/>
          <w:color w:val="000000" w:themeColor="text1"/>
          <w:sz w:val="20"/>
          <w:szCs w:val="20"/>
        </w:rPr>
        <w:t>ents qui survivent à l’infec</w:t>
      </w:r>
      <w:r>
        <w:rPr>
          <w:rFonts w:ascii="Arial" w:hAnsi="Arial" w:cs="Arial"/>
          <w:color w:val="000000" w:themeColor="text1"/>
          <w:sz w:val="20"/>
          <w:szCs w:val="20"/>
        </w:rPr>
        <w:t>ti</w:t>
      </w:r>
      <w:r w:rsidRPr="0063686F">
        <w:rPr>
          <w:rFonts w:ascii="Arial" w:hAnsi="Arial" w:cs="Arial"/>
          <w:color w:val="000000" w:themeColor="text1"/>
          <w:sz w:val="20"/>
          <w:szCs w:val="20"/>
        </w:rPr>
        <w:t>on vont subir des chirurgies de reconstru</w:t>
      </w:r>
      <w:r>
        <w:rPr>
          <w:rFonts w:ascii="Arial" w:hAnsi="Arial" w:cs="Arial"/>
          <w:color w:val="000000" w:themeColor="text1"/>
          <w:sz w:val="20"/>
          <w:szCs w:val="20"/>
        </w:rPr>
        <w:t>ct</w:t>
      </w:r>
      <w:r w:rsidRPr="0063686F">
        <w:rPr>
          <w:rFonts w:ascii="Arial" w:hAnsi="Arial" w:cs="Arial"/>
          <w:color w:val="000000" w:themeColor="text1"/>
          <w:sz w:val="20"/>
          <w:szCs w:val="20"/>
        </w:rPr>
        <w:t xml:space="preserve">ion avec des séquelles parfois très marquées en rapport avec l’étendue de la fasciite et du débridement. </w:t>
      </w:r>
    </w:p>
    <w:p w14:paraId="3A312B22" w14:textId="77777777" w:rsidR="00ED4694" w:rsidRDefault="00ED4694" w:rsidP="00ED4694">
      <w:pPr>
        <w:pStyle w:val="Sansinterligne"/>
        <w:jc w:val="both"/>
        <w:rPr>
          <w:rFonts w:ascii="Arial" w:hAnsi="Arial" w:cs="Arial"/>
          <w:color w:val="000000" w:themeColor="text1"/>
          <w:sz w:val="20"/>
          <w:szCs w:val="20"/>
        </w:rPr>
      </w:pPr>
    </w:p>
    <w:p w14:paraId="0B507F96" w14:textId="77777777" w:rsidR="00ED4694" w:rsidRPr="00B81F12" w:rsidRDefault="00ED4694" w:rsidP="00ED4694">
      <w:pPr>
        <w:pStyle w:val="Sansinterligne"/>
        <w:jc w:val="both"/>
        <w:rPr>
          <w:rFonts w:ascii="Arial" w:hAnsi="Arial" w:cs="Arial"/>
          <w:color w:val="000000" w:themeColor="text1"/>
          <w:sz w:val="20"/>
          <w:szCs w:val="20"/>
          <w:u w:val="single"/>
        </w:rPr>
      </w:pPr>
      <w:r w:rsidRPr="00B81F12">
        <w:rPr>
          <w:rFonts w:ascii="Arial" w:hAnsi="Arial" w:cs="Arial"/>
          <w:color w:val="000000" w:themeColor="text1"/>
          <w:sz w:val="20"/>
          <w:szCs w:val="20"/>
          <w:u w:val="single"/>
        </w:rPr>
        <w:t xml:space="preserve">Lors d'un traitement par dapagliflozine </w:t>
      </w:r>
    </w:p>
    <w:p w14:paraId="2A3B54DE"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Surveiller la pression artérielle et la fonc</w:t>
      </w:r>
      <w:r>
        <w:rPr>
          <w:rFonts w:ascii="Arial" w:hAnsi="Arial" w:cs="Arial"/>
          <w:color w:val="000000" w:themeColor="text1"/>
          <w:sz w:val="20"/>
          <w:szCs w:val="20"/>
        </w:rPr>
        <w:t>ti</w:t>
      </w:r>
      <w:r w:rsidRPr="0063686F">
        <w:rPr>
          <w:rFonts w:ascii="Arial" w:hAnsi="Arial" w:cs="Arial"/>
          <w:color w:val="000000" w:themeColor="text1"/>
          <w:sz w:val="20"/>
          <w:szCs w:val="20"/>
        </w:rPr>
        <w:t xml:space="preserve">on rénale. </w:t>
      </w:r>
    </w:p>
    <w:p w14:paraId="4133850A"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B81F12">
        <w:rPr>
          <w:rFonts w:ascii="Arial" w:hAnsi="Arial" w:cs="Arial"/>
          <w:color w:val="000000" w:themeColor="text1"/>
          <w:sz w:val="20"/>
          <w:szCs w:val="20"/>
        </w:rPr>
        <w:t>Rechercher la présence de signes évocateurs d'une infec</w:t>
      </w:r>
      <w:r>
        <w:rPr>
          <w:rFonts w:ascii="Arial" w:hAnsi="Arial" w:cs="Arial"/>
          <w:color w:val="000000" w:themeColor="text1"/>
          <w:sz w:val="20"/>
          <w:szCs w:val="20"/>
        </w:rPr>
        <w:t>ti</w:t>
      </w:r>
      <w:r w:rsidRPr="00B81F12">
        <w:rPr>
          <w:rFonts w:ascii="Arial" w:hAnsi="Arial" w:cs="Arial"/>
          <w:color w:val="000000" w:themeColor="text1"/>
          <w:sz w:val="20"/>
          <w:szCs w:val="20"/>
        </w:rPr>
        <w:t>on urinaire, tels que : difficultés à uriner, douleurs en urinant, augmenta</w:t>
      </w:r>
      <w:r>
        <w:rPr>
          <w:rFonts w:ascii="Arial" w:hAnsi="Arial" w:cs="Arial"/>
          <w:color w:val="000000" w:themeColor="text1"/>
          <w:sz w:val="20"/>
          <w:szCs w:val="20"/>
        </w:rPr>
        <w:t>ti</w:t>
      </w:r>
      <w:r w:rsidRPr="00B81F12">
        <w:rPr>
          <w:rFonts w:ascii="Arial" w:hAnsi="Arial" w:cs="Arial"/>
          <w:color w:val="000000" w:themeColor="text1"/>
          <w:sz w:val="20"/>
          <w:szCs w:val="20"/>
        </w:rPr>
        <w:t>ons de la fréquence des mi</w:t>
      </w:r>
      <w:r>
        <w:rPr>
          <w:rFonts w:ascii="Arial" w:hAnsi="Arial" w:cs="Arial"/>
          <w:color w:val="000000" w:themeColor="text1"/>
          <w:sz w:val="20"/>
          <w:szCs w:val="20"/>
        </w:rPr>
        <w:t>cti</w:t>
      </w:r>
      <w:r w:rsidRPr="00B81F12">
        <w:rPr>
          <w:rFonts w:ascii="Arial" w:hAnsi="Arial" w:cs="Arial"/>
          <w:color w:val="000000" w:themeColor="text1"/>
          <w:sz w:val="20"/>
          <w:szCs w:val="20"/>
        </w:rPr>
        <w:t>ons, exacerba</w:t>
      </w:r>
      <w:r>
        <w:rPr>
          <w:rFonts w:ascii="Arial" w:hAnsi="Arial" w:cs="Arial"/>
          <w:color w:val="000000" w:themeColor="text1"/>
          <w:sz w:val="20"/>
          <w:szCs w:val="20"/>
        </w:rPr>
        <w:t>ti</w:t>
      </w:r>
      <w:r w:rsidRPr="00B81F12">
        <w:rPr>
          <w:rFonts w:ascii="Arial" w:hAnsi="Arial" w:cs="Arial"/>
          <w:color w:val="000000" w:themeColor="text1"/>
          <w:sz w:val="20"/>
          <w:szCs w:val="20"/>
        </w:rPr>
        <w:t>ons d'une incon</w:t>
      </w:r>
      <w:r>
        <w:rPr>
          <w:rFonts w:ascii="Arial" w:hAnsi="Arial" w:cs="Arial"/>
          <w:color w:val="000000" w:themeColor="text1"/>
          <w:sz w:val="20"/>
          <w:szCs w:val="20"/>
        </w:rPr>
        <w:t>ti</w:t>
      </w:r>
      <w:r w:rsidRPr="00B81F12">
        <w:rPr>
          <w:rFonts w:ascii="Arial" w:hAnsi="Arial" w:cs="Arial"/>
          <w:color w:val="000000" w:themeColor="text1"/>
          <w:sz w:val="20"/>
          <w:szCs w:val="20"/>
        </w:rPr>
        <w:t xml:space="preserve">nence urinaire. </w:t>
      </w:r>
    </w:p>
    <w:p w14:paraId="7083B9E8"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B81F12">
        <w:rPr>
          <w:rFonts w:ascii="Arial" w:hAnsi="Arial" w:cs="Arial"/>
          <w:color w:val="000000" w:themeColor="text1"/>
          <w:sz w:val="20"/>
          <w:szCs w:val="20"/>
        </w:rPr>
        <w:t>Chercher la présence de signes évocateurs d'une infec</w:t>
      </w:r>
      <w:r>
        <w:rPr>
          <w:rFonts w:ascii="Arial" w:hAnsi="Arial" w:cs="Arial"/>
          <w:color w:val="000000" w:themeColor="text1"/>
          <w:sz w:val="20"/>
          <w:szCs w:val="20"/>
        </w:rPr>
        <w:t>ti</w:t>
      </w:r>
      <w:r w:rsidRPr="00B81F12">
        <w:rPr>
          <w:rFonts w:ascii="Arial" w:hAnsi="Arial" w:cs="Arial"/>
          <w:color w:val="000000" w:themeColor="text1"/>
          <w:sz w:val="20"/>
          <w:szCs w:val="20"/>
        </w:rPr>
        <w:t>on génitale, risquant d'évoluer vers une fasciite nécrosante : douleur, sensibilité, rougeur, tuméfac</w:t>
      </w:r>
      <w:r>
        <w:rPr>
          <w:rFonts w:ascii="Arial" w:hAnsi="Arial" w:cs="Arial"/>
          <w:color w:val="000000" w:themeColor="text1"/>
          <w:sz w:val="20"/>
          <w:szCs w:val="20"/>
        </w:rPr>
        <w:t>ti</w:t>
      </w:r>
      <w:r w:rsidRPr="00B81F12">
        <w:rPr>
          <w:rFonts w:ascii="Arial" w:hAnsi="Arial" w:cs="Arial"/>
          <w:color w:val="000000" w:themeColor="text1"/>
          <w:sz w:val="20"/>
          <w:szCs w:val="20"/>
        </w:rPr>
        <w:t xml:space="preserve">on dans la zone génitale ou périnéale. </w:t>
      </w:r>
    </w:p>
    <w:p w14:paraId="087FDAFE"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B81F12">
        <w:rPr>
          <w:rFonts w:ascii="Arial" w:hAnsi="Arial" w:cs="Arial"/>
          <w:color w:val="000000" w:themeColor="text1"/>
          <w:sz w:val="20"/>
          <w:szCs w:val="20"/>
        </w:rPr>
        <w:t>Rechercher la présence de signes évocateurs d'une acidocétose, tels que : nausées et vomissements, douleurs abdominales, augmenta</w:t>
      </w:r>
      <w:r>
        <w:rPr>
          <w:rFonts w:ascii="Arial" w:hAnsi="Arial" w:cs="Arial"/>
          <w:color w:val="000000" w:themeColor="text1"/>
          <w:sz w:val="20"/>
          <w:szCs w:val="20"/>
        </w:rPr>
        <w:t>ti</w:t>
      </w:r>
      <w:r w:rsidRPr="00B81F12">
        <w:rPr>
          <w:rFonts w:ascii="Arial" w:hAnsi="Arial" w:cs="Arial"/>
          <w:color w:val="000000" w:themeColor="text1"/>
          <w:sz w:val="20"/>
          <w:szCs w:val="20"/>
        </w:rPr>
        <w:t>on de la soif, gêne respiratoire, fa</w:t>
      </w:r>
      <w:r>
        <w:rPr>
          <w:rFonts w:ascii="Arial" w:hAnsi="Arial" w:cs="Arial"/>
          <w:color w:val="000000" w:themeColor="text1"/>
          <w:sz w:val="20"/>
          <w:szCs w:val="20"/>
        </w:rPr>
        <w:t>ti</w:t>
      </w:r>
      <w:r w:rsidRPr="00B81F12">
        <w:rPr>
          <w:rFonts w:ascii="Arial" w:hAnsi="Arial" w:cs="Arial"/>
          <w:color w:val="000000" w:themeColor="text1"/>
          <w:sz w:val="20"/>
          <w:szCs w:val="20"/>
        </w:rPr>
        <w:t>gue inhabituelle. Leur présence conduit à rechercher en urgence une cétonurie ou à doser la cétonémie, quelle que soit la glycémie. Les facteurs de risque d'une acidocétose sont notamment une dénutri</w:t>
      </w:r>
      <w:r>
        <w:rPr>
          <w:rFonts w:ascii="Arial" w:hAnsi="Arial" w:cs="Arial"/>
          <w:color w:val="000000" w:themeColor="text1"/>
          <w:sz w:val="20"/>
          <w:szCs w:val="20"/>
        </w:rPr>
        <w:t>ti</w:t>
      </w:r>
      <w:r w:rsidRPr="00B81F12">
        <w:rPr>
          <w:rFonts w:ascii="Arial" w:hAnsi="Arial" w:cs="Arial"/>
          <w:color w:val="000000" w:themeColor="text1"/>
          <w:sz w:val="20"/>
          <w:szCs w:val="20"/>
        </w:rPr>
        <w:t>on, une déshydrata</w:t>
      </w:r>
      <w:r>
        <w:rPr>
          <w:rFonts w:ascii="Arial" w:hAnsi="Arial" w:cs="Arial"/>
          <w:color w:val="000000" w:themeColor="text1"/>
          <w:sz w:val="20"/>
          <w:szCs w:val="20"/>
        </w:rPr>
        <w:t>ti</w:t>
      </w:r>
      <w:r w:rsidRPr="00B81F12">
        <w:rPr>
          <w:rFonts w:ascii="Arial" w:hAnsi="Arial" w:cs="Arial"/>
          <w:color w:val="000000" w:themeColor="text1"/>
          <w:sz w:val="20"/>
          <w:szCs w:val="20"/>
        </w:rPr>
        <w:t>on, une consomma</w:t>
      </w:r>
      <w:r>
        <w:rPr>
          <w:rFonts w:ascii="Arial" w:hAnsi="Arial" w:cs="Arial"/>
          <w:color w:val="000000" w:themeColor="text1"/>
          <w:sz w:val="20"/>
          <w:szCs w:val="20"/>
        </w:rPr>
        <w:t>ti</w:t>
      </w:r>
      <w:r w:rsidRPr="00B81F12">
        <w:rPr>
          <w:rFonts w:ascii="Arial" w:hAnsi="Arial" w:cs="Arial"/>
          <w:color w:val="000000" w:themeColor="text1"/>
          <w:sz w:val="20"/>
          <w:szCs w:val="20"/>
        </w:rPr>
        <w:t xml:space="preserve">on excessive d'alcool. Une acidocétose impose un arrêt de la prise de dapagliflozine. </w:t>
      </w:r>
    </w:p>
    <w:p w14:paraId="2C00F05B" w14:textId="77777777" w:rsidR="00ED4694" w:rsidRDefault="00ED4694" w:rsidP="00ED4694">
      <w:pPr>
        <w:pStyle w:val="Sansinterligne"/>
        <w:jc w:val="both"/>
        <w:rPr>
          <w:rFonts w:ascii="Arial" w:hAnsi="Arial" w:cs="Arial"/>
          <w:color w:val="000000" w:themeColor="text1"/>
          <w:sz w:val="20"/>
          <w:szCs w:val="20"/>
        </w:rPr>
      </w:pPr>
      <w:r w:rsidRPr="00B81F12">
        <w:rPr>
          <w:rFonts w:ascii="Arial" w:hAnsi="Arial" w:cs="Arial"/>
          <w:noProof/>
          <w:color w:val="000000" w:themeColor="text1"/>
          <w:sz w:val="20"/>
          <w:szCs w:val="20"/>
        </w:rPr>
        <w:drawing>
          <wp:anchor distT="0" distB="0" distL="114300" distR="114300" simplePos="0" relativeHeight="251783168" behindDoc="1" locked="0" layoutInCell="1" allowOverlap="1" wp14:anchorId="5B200E34" wp14:editId="18B25EA6">
            <wp:simplePos x="0" y="0"/>
            <wp:positionH relativeFrom="column">
              <wp:posOffset>3783741</wp:posOffset>
            </wp:positionH>
            <wp:positionV relativeFrom="paragraph">
              <wp:posOffset>138318</wp:posOffset>
            </wp:positionV>
            <wp:extent cx="2776033" cy="666985"/>
            <wp:effectExtent l="0" t="0" r="5715" b="6350"/>
            <wp:wrapTight wrapText="bothSides">
              <wp:wrapPolygon edited="0">
                <wp:start x="0" y="0"/>
                <wp:lineTo x="0" y="21394"/>
                <wp:lineTo x="21546" y="21394"/>
                <wp:lineTo x="21546" y="0"/>
                <wp:lineTo x="0" y="0"/>
              </wp:wrapPolygon>
            </wp:wrapTight>
            <wp:docPr id="1504146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14641"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776033" cy="666985"/>
                    </a:xfrm>
                    <a:prstGeom prst="rect">
                      <a:avLst/>
                    </a:prstGeom>
                  </pic:spPr>
                </pic:pic>
              </a:graphicData>
            </a:graphic>
            <wp14:sizeRelH relativeFrom="page">
              <wp14:pctWidth>0</wp14:pctWidth>
            </wp14:sizeRelH>
            <wp14:sizeRelV relativeFrom="page">
              <wp14:pctHeight>0</wp14:pctHeight>
            </wp14:sizeRelV>
          </wp:anchor>
        </w:drawing>
      </w:r>
      <w:r w:rsidRPr="00B81F12">
        <w:rPr>
          <w:rFonts w:ascii="Arial" w:hAnsi="Arial" w:cs="Arial"/>
          <w:noProof/>
          <w:color w:val="000000" w:themeColor="text1"/>
          <w:sz w:val="20"/>
          <w:szCs w:val="20"/>
        </w:rPr>
        <w:drawing>
          <wp:anchor distT="0" distB="0" distL="114300" distR="114300" simplePos="0" relativeHeight="251782144" behindDoc="1" locked="0" layoutInCell="1" allowOverlap="1" wp14:anchorId="2C5E9424" wp14:editId="3DE1C0E8">
            <wp:simplePos x="0" y="0"/>
            <wp:positionH relativeFrom="column">
              <wp:posOffset>230804</wp:posOffset>
            </wp:positionH>
            <wp:positionV relativeFrom="paragraph">
              <wp:posOffset>141418</wp:posOffset>
            </wp:positionV>
            <wp:extent cx="3442335" cy="1574165"/>
            <wp:effectExtent l="0" t="0" r="0" b="635"/>
            <wp:wrapTight wrapText="bothSides">
              <wp:wrapPolygon edited="0">
                <wp:start x="0" y="0"/>
                <wp:lineTo x="0" y="21434"/>
                <wp:lineTo x="21516" y="21434"/>
                <wp:lineTo x="21516" y="0"/>
                <wp:lineTo x="0" y="0"/>
              </wp:wrapPolygon>
            </wp:wrapTight>
            <wp:docPr id="4885525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52514"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442335" cy="1574165"/>
                    </a:xfrm>
                    <a:prstGeom prst="rect">
                      <a:avLst/>
                    </a:prstGeom>
                  </pic:spPr>
                </pic:pic>
              </a:graphicData>
            </a:graphic>
            <wp14:sizeRelH relativeFrom="page">
              <wp14:pctWidth>0</wp14:pctWidth>
            </wp14:sizeRelH>
            <wp14:sizeRelV relativeFrom="page">
              <wp14:pctHeight>0</wp14:pctHeight>
            </wp14:sizeRelV>
          </wp:anchor>
        </w:drawing>
      </w:r>
    </w:p>
    <w:p w14:paraId="3B11A1BC" w14:textId="77777777" w:rsidR="00ED4694" w:rsidRDefault="00ED4694" w:rsidP="00ED4694">
      <w:pPr>
        <w:pStyle w:val="Sansinterligne"/>
        <w:jc w:val="both"/>
        <w:rPr>
          <w:rFonts w:ascii="Arial" w:hAnsi="Arial" w:cs="Arial"/>
          <w:color w:val="000000" w:themeColor="text1"/>
          <w:sz w:val="20"/>
          <w:szCs w:val="20"/>
        </w:rPr>
      </w:pPr>
    </w:p>
    <w:p w14:paraId="2E76787F" w14:textId="77777777" w:rsidR="00ED4694" w:rsidRPr="00B81F12" w:rsidRDefault="00ED4694" w:rsidP="00ED4694">
      <w:pPr>
        <w:pStyle w:val="Sansinterligne"/>
        <w:jc w:val="both"/>
        <w:rPr>
          <w:rFonts w:ascii="Arial" w:hAnsi="Arial" w:cs="Arial"/>
          <w:color w:val="000000" w:themeColor="text1"/>
          <w:sz w:val="20"/>
          <w:szCs w:val="20"/>
        </w:rPr>
      </w:pPr>
      <w:r w:rsidRPr="00B81F12">
        <w:rPr>
          <w:noProof/>
        </w:rPr>
        <w:t xml:space="preserve"> </w:t>
      </w:r>
    </w:p>
    <w:p w14:paraId="11F979C1" w14:textId="77777777" w:rsidR="00ED4694" w:rsidRDefault="00ED4694" w:rsidP="00ED4694">
      <w:pPr>
        <w:pStyle w:val="Sansinterligne"/>
        <w:jc w:val="both"/>
        <w:rPr>
          <w:rFonts w:ascii="Arial" w:hAnsi="Arial" w:cs="Arial"/>
          <w:color w:val="000000" w:themeColor="text1"/>
          <w:sz w:val="20"/>
          <w:szCs w:val="20"/>
        </w:rPr>
      </w:pPr>
    </w:p>
    <w:p w14:paraId="2AC09DE2" w14:textId="77777777" w:rsidR="00ED4694" w:rsidRDefault="00ED4694" w:rsidP="00ED4694">
      <w:pPr>
        <w:pStyle w:val="Sansinterligne"/>
        <w:jc w:val="both"/>
        <w:rPr>
          <w:rFonts w:ascii="Arial" w:hAnsi="Arial" w:cs="Arial"/>
          <w:color w:val="000000" w:themeColor="text1"/>
          <w:sz w:val="20"/>
          <w:szCs w:val="20"/>
        </w:rPr>
      </w:pPr>
    </w:p>
    <w:p w14:paraId="3A75A67E" w14:textId="77777777" w:rsidR="00ED4694" w:rsidRDefault="00ED4694" w:rsidP="00ED4694">
      <w:pPr>
        <w:pStyle w:val="Sansinterligne"/>
        <w:jc w:val="both"/>
        <w:rPr>
          <w:rFonts w:ascii="Arial" w:hAnsi="Arial" w:cs="Arial"/>
          <w:color w:val="000000" w:themeColor="text1"/>
          <w:sz w:val="20"/>
          <w:szCs w:val="20"/>
        </w:rPr>
      </w:pPr>
    </w:p>
    <w:p w14:paraId="4E80FCE0" w14:textId="77777777" w:rsidR="00ED4694" w:rsidRDefault="00ED4694" w:rsidP="00ED4694">
      <w:pPr>
        <w:pStyle w:val="Sansinterligne"/>
        <w:jc w:val="both"/>
        <w:rPr>
          <w:rFonts w:ascii="Arial" w:hAnsi="Arial" w:cs="Arial"/>
          <w:color w:val="000000" w:themeColor="text1"/>
          <w:sz w:val="20"/>
          <w:szCs w:val="20"/>
        </w:rPr>
      </w:pPr>
    </w:p>
    <w:p w14:paraId="4571F3B1" w14:textId="77777777" w:rsidR="00ED4694" w:rsidRDefault="00ED4694" w:rsidP="00ED4694">
      <w:pPr>
        <w:pStyle w:val="Sansinterligne"/>
        <w:jc w:val="both"/>
        <w:rPr>
          <w:rFonts w:ascii="Arial" w:hAnsi="Arial" w:cs="Arial"/>
          <w:color w:val="000000" w:themeColor="text1"/>
          <w:sz w:val="20"/>
          <w:szCs w:val="20"/>
        </w:rPr>
      </w:pPr>
    </w:p>
    <w:p w14:paraId="3F9EB0BB" w14:textId="77777777" w:rsidR="00ED4694" w:rsidRDefault="00ED4694" w:rsidP="00ED4694">
      <w:pPr>
        <w:pStyle w:val="Sansinterligne"/>
        <w:jc w:val="both"/>
        <w:rPr>
          <w:rFonts w:ascii="Arial" w:hAnsi="Arial" w:cs="Arial"/>
          <w:color w:val="000000" w:themeColor="text1"/>
          <w:sz w:val="20"/>
          <w:szCs w:val="20"/>
        </w:rPr>
      </w:pPr>
    </w:p>
    <w:p w14:paraId="45EED132" w14:textId="77777777" w:rsidR="00ED4694" w:rsidRPr="0063686F" w:rsidRDefault="00ED4694" w:rsidP="00ED4694">
      <w:pPr>
        <w:pStyle w:val="Sansinterligne"/>
        <w:jc w:val="both"/>
        <w:rPr>
          <w:rFonts w:ascii="Arial" w:hAnsi="Arial" w:cs="Arial"/>
          <w:color w:val="000000" w:themeColor="text1"/>
          <w:sz w:val="20"/>
          <w:szCs w:val="20"/>
        </w:rPr>
      </w:pPr>
    </w:p>
    <w:p w14:paraId="75DC4E24" w14:textId="77777777" w:rsidR="00ED4694" w:rsidRPr="00BB4BBD" w:rsidRDefault="00ED4694" w:rsidP="00ED4694">
      <w:pPr>
        <w:pStyle w:val="Sansinterligne"/>
        <w:jc w:val="both"/>
        <w:rPr>
          <w:rFonts w:ascii="Arial" w:hAnsi="Arial" w:cs="Arial"/>
          <w:color w:val="000000" w:themeColor="text1"/>
          <w:sz w:val="20"/>
          <w:szCs w:val="20"/>
          <w:u w:val="single"/>
        </w:rPr>
      </w:pPr>
      <w:r w:rsidRPr="00BB4BBD">
        <w:rPr>
          <w:rFonts w:ascii="Arial" w:hAnsi="Arial" w:cs="Arial"/>
          <w:color w:val="000000" w:themeColor="text1"/>
          <w:sz w:val="20"/>
          <w:szCs w:val="20"/>
          <w:u w:val="single"/>
        </w:rPr>
        <w:lastRenderedPageBreak/>
        <w:t xml:space="preserve">Antidiabétique : Interactions médicamenteuses : </w:t>
      </w:r>
    </w:p>
    <w:p w14:paraId="1FAEB942" w14:textId="77777777" w:rsidR="00ED4694" w:rsidRDefault="00ED4694" w:rsidP="00ED4694">
      <w:pPr>
        <w:pStyle w:val="Sansinterligne"/>
        <w:jc w:val="both"/>
        <w:rPr>
          <w:rFonts w:ascii="Arial" w:hAnsi="Arial" w:cs="Arial"/>
          <w:color w:val="000000" w:themeColor="text1"/>
          <w:sz w:val="20"/>
          <w:szCs w:val="20"/>
        </w:rPr>
      </w:pPr>
      <w:r w:rsidRPr="003865FE">
        <w:rPr>
          <w:rFonts w:ascii="Arial" w:hAnsi="Arial" w:cs="Arial"/>
          <w:noProof/>
          <w:color w:val="000000" w:themeColor="text1"/>
          <w:sz w:val="20"/>
          <w:szCs w:val="20"/>
        </w:rPr>
        <w:drawing>
          <wp:anchor distT="0" distB="0" distL="114300" distR="114300" simplePos="0" relativeHeight="251797504" behindDoc="1" locked="0" layoutInCell="1" allowOverlap="1" wp14:anchorId="36B0FAEA" wp14:editId="292CFC8F">
            <wp:simplePos x="0" y="0"/>
            <wp:positionH relativeFrom="column">
              <wp:posOffset>3492773</wp:posOffset>
            </wp:positionH>
            <wp:positionV relativeFrom="paragraph">
              <wp:posOffset>225879</wp:posOffset>
            </wp:positionV>
            <wp:extent cx="3467100" cy="1874520"/>
            <wp:effectExtent l="0" t="0" r="0" b="5080"/>
            <wp:wrapTight wrapText="bothSides">
              <wp:wrapPolygon edited="0">
                <wp:start x="0" y="0"/>
                <wp:lineTo x="0" y="21512"/>
                <wp:lineTo x="21521" y="21512"/>
                <wp:lineTo x="21521" y="0"/>
                <wp:lineTo x="0" y="0"/>
              </wp:wrapPolygon>
            </wp:wrapTight>
            <wp:docPr id="17618001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800165"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467100" cy="1874520"/>
                    </a:xfrm>
                    <a:prstGeom prst="rect">
                      <a:avLst/>
                    </a:prstGeom>
                  </pic:spPr>
                </pic:pic>
              </a:graphicData>
            </a:graphic>
            <wp14:sizeRelH relativeFrom="page">
              <wp14:pctWidth>0</wp14:pctWidth>
            </wp14:sizeRelH>
            <wp14:sizeRelV relativeFrom="page">
              <wp14:pctHeight>0</wp14:pctHeight>
            </wp14:sizeRelV>
          </wp:anchor>
        </w:drawing>
      </w:r>
      <w:r w:rsidRPr="003865FE">
        <w:rPr>
          <w:rFonts w:ascii="Arial" w:hAnsi="Arial" w:cs="Arial"/>
          <w:noProof/>
          <w:color w:val="000000" w:themeColor="text1"/>
          <w:sz w:val="20"/>
          <w:szCs w:val="20"/>
        </w:rPr>
        <w:drawing>
          <wp:anchor distT="0" distB="0" distL="114300" distR="114300" simplePos="0" relativeHeight="251798528" behindDoc="1" locked="0" layoutInCell="1" allowOverlap="1" wp14:anchorId="345C8A99" wp14:editId="4A047C9A">
            <wp:simplePos x="0" y="0"/>
            <wp:positionH relativeFrom="column">
              <wp:posOffset>-274320</wp:posOffset>
            </wp:positionH>
            <wp:positionV relativeFrom="paragraph">
              <wp:posOffset>158750</wp:posOffset>
            </wp:positionV>
            <wp:extent cx="3627120" cy="2076450"/>
            <wp:effectExtent l="0" t="0" r="5080" b="6350"/>
            <wp:wrapTight wrapText="bothSides">
              <wp:wrapPolygon edited="0">
                <wp:start x="0" y="0"/>
                <wp:lineTo x="0" y="21534"/>
                <wp:lineTo x="21555" y="21534"/>
                <wp:lineTo x="21555" y="0"/>
                <wp:lineTo x="0" y="0"/>
              </wp:wrapPolygon>
            </wp:wrapTight>
            <wp:docPr id="11522688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268880"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3627120" cy="2076450"/>
                    </a:xfrm>
                    <a:prstGeom prst="rect">
                      <a:avLst/>
                    </a:prstGeom>
                  </pic:spPr>
                </pic:pic>
              </a:graphicData>
            </a:graphic>
            <wp14:sizeRelH relativeFrom="page">
              <wp14:pctWidth>0</wp14:pctWidth>
            </wp14:sizeRelH>
            <wp14:sizeRelV relativeFrom="page">
              <wp14:pctHeight>0</wp14:pctHeight>
            </wp14:sizeRelV>
          </wp:anchor>
        </w:drawing>
      </w:r>
      <w:r w:rsidRPr="0063686F">
        <w:rPr>
          <w:rFonts w:ascii="Arial" w:hAnsi="Arial" w:cs="Arial"/>
          <w:color w:val="000000" w:themeColor="text1"/>
          <w:sz w:val="20"/>
          <w:szCs w:val="20"/>
        </w:rPr>
        <w:t xml:space="preserve"> </w:t>
      </w:r>
    </w:p>
    <w:p w14:paraId="0D05EE53" w14:textId="77777777" w:rsidR="00ED4694" w:rsidRDefault="00ED4694" w:rsidP="00ED4694">
      <w:pPr>
        <w:pStyle w:val="Sansinterligne"/>
        <w:jc w:val="both"/>
        <w:rPr>
          <w:rFonts w:ascii="Arial" w:hAnsi="Arial" w:cs="Arial"/>
          <w:color w:val="000000" w:themeColor="text1"/>
          <w:sz w:val="20"/>
          <w:szCs w:val="20"/>
        </w:rPr>
      </w:pPr>
      <w:r w:rsidRPr="003865FE">
        <w:rPr>
          <w:noProof/>
        </w:rPr>
        <w:drawing>
          <wp:anchor distT="0" distB="0" distL="114300" distR="114300" simplePos="0" relativeHeight="251799552" behindDoc="1" locked="0" layoutInCell="1" allowOverlap="1" wp14:anchorId="271A54FC" wp14:editId="26FCC619">
            <wp:simplePos x="0" y="0"/>
            <wp:positionH relativeFrom="column">
              <wp:posOffset>-150495</wp:posOffset>
            </wp:positionH>
            <wp:positionV relativeFrom="paragraph">
              <wp:posOffset>2205355</wp:posOffset>
            </wp:positionV>
            <wp:extent cx="3649980" cy="1407160"/>
            <wp:effectExtent l="0" t="0" r="0" b="2540"/>
            <wp:wrapTight wrapText="bothSides">
              <wp:wrapPolygon edited="0">
                <wp:start x="0" y="0"/>
                <wp:lineTo x="0" y="21444"/>
                <wp:lineTo x="21495" y="21444"/>
                <wp:lineTo x="21495" y="0"/>
                <wp:lineTo x="0" y="0"/>
              </wp:wrapPolygon>
            </wp:wrapTight>
            <wp:docPr id="17408929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892926"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649980" cy="1407160"/>
                    </a:xfrm>
                    <a:prstGeom prst="rect">
                      <a:avLst/>
                    </a:prstGeom>
                  </pic:spPr>
                </pic:pic>
              </a:graphicData>
            </a:graphic>
            <wp14:sizeRelH relativeFrom="page">
              <wp14:pctWidth>0</wp14:pctWidth>
            </wp14:sizeRelH>
            <wp14:sizeRelV relativeFrom="page">
              <wp14:pctHeight>0</wp14:pctHeight>
            </wp14:sizeRelV>
          </wp:anchor>
        </w:drawing>
      </w:r>
      <w:r w:rsidRPr="003865FE">
        <w:rPr>
          <w:noProof/>
        </w:rPr>
        <w:drawing>
          <wp:anchor distT="0" distB="0" distL="114300" distR="114300" simplePos="0" relativeHeight="251800576" behindDoc="1" locked="0" layoutInCell="1" allowOverlap="1" wp14:anchorId="4A4120E7" wp14:editId="3F98198E">
            <wp:simplePos x="0" y="0"/>
            <wp:positionH relativeFrom="column">
              <wp:posOffset>3741547</wp:posOffset>
            </wp:positionH>
            <wp:positionV relativeFrom="paragraph">
              <wp:posOffset>2212848</wp:posOffset>
            </wp:positionV>
            <wp:extent cx="3221990" cy="1242060"/>
            <wp:effectExtent l="0" t="0" r="3810" b="2540"/>
            <wp:wrapTight wrapText="bothSides">
              <wp:wrapPolygon edited="0">
                <wp:start x="0" y="0"/>
                <wp:lineTo x="0" y="21423"/>
                <wp:lineTo x="21540" y="21423"/>
                <wp:lineTo x="21540" y="0"/>
                <wp:lineTo x="0" y="0"/>
              </wp:wrapPolygon>
            </wp:wrapTight>
            <wp:docPr id="10541428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142815"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3221990" cy="1242060"/>
                    </a:xfrm>
                    <a:prstGeom prst="rect">
                      <a:avLst/>
                    </a:prstGeom>
                  </pic:spPr>
                </pic:pic>
              </a:graphicData>
            </a:graphic>
            <wp14:sizeRelH relativeFrom="page">
              <wp14:pctWidth>0</wp14:pctWidth>
            </wp14:sizeRelH>
            <wp14:sizeRelV relativeFrom="page">
              <wp14:pctHeight>0</wp14:pctHeight>
            </wp14:sizeRelV>
          </wp:anchor>
        </w:drawing>
      </w:r>
    </w:p>
    <w:p w14:paraId="3794955C" w14:textId="77777777" w:rsidR="00ED4694" w:rsidRDefault="00ED4694" w:rsidP="00ED4694">
      <w:pPr>
        <w:pStyle w:val="Sansinterligne"/>
        <w:jc w:val="center"/>
        <w:rPr>
          <w:rFonts w:ascii="Arial" w:hAnsi="Arial" w:cs="Arial"/>
          <w:color w:val="000000" w:themeColor="text1"/>
          <w:sz w:val="20"/>
          <w:szCs w:val="20"/>
        </w:rPr>
      </w:pPr>
      <w:r w:rsidRPr="003865FE">
        <w:rPr>
          <w:rFonts w:ascii="Arial" w:hAnsi="Arial" w:cs="Arial"/>
          <w:noProof/>
          <w:color w:val="000000" w:themeColor="text1"/>
          <w:sz w:val="20"/>
          <w:szCs w:val="20"/>
        </w:rPr>
        <w:drawing>
          <wp:anchor distT="0" distB="0" distL="114300" distR="114300" simplePos="0" relativeHeight="251801600" behindDoc="1" locked="0" layoutInCell="1" allowOverlap="1" wp14:anchorId="49193C0B" wp14:editId="1621BA82">
            <wp:simplePos x="0" y="0"/>
            <wp:positionH relativeFrom="column">
              <wp:posOffset>-274320</wp:posOffset>
            </wp:positionH>
            <wp:positionV relativeFrom="paragraph">
              <wp:posOffset>1605206</wp:posOffset>
            </wp:positionV>
            <wp:extent cx="4085590" cy="2339975"/>
            <wp:effectExtent l="0" t="0" r="3810" b="0"/>
            <wp:wrapTight wrapText="bothSides">
              <wp:wrapPolygon edited="0">
                <wp:start x="0" y="0"/>
                <wp:lineTo x="0" y="21453"/>
                <wp:lineTo x="21553" y="21453"/>
                <wp:lineTo x="21553" y="0"/>
                <wp:lineTo x="0" y="0"/>
              </wp:wrapPolygon>
            </wp:wrapTight>
            <wp:docPr id="20909439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943922"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085590" cy="2339975"/>
                    </a:xfrm>
                    <a:prstGeom prst="rect">
                      <a:avLst/>
                    </a:prstGeom>
                  </pic:spPr>
                </pic:pic>
              </a:graphicData>
            </a:graphic>
            <wp14:sizeRelH relativeFrom="page">
              <wp14:pctWidth>0</wp14:pctWidth>
            </wp14:sizeRelH>
            <wp14:sizeRelV relativeFrom="page">
              <wp14:pctHeight>0</wp14:pctHeight>
            </wp14:sizeRelV>
          </wp:anchor>
        </w:drawing>
      </w:r>
    </w:p>
    <w:p w14:paraId="5A32AE88" w14:textId="77777777" w:rsidR="00ED4694" w:rsidRPr="0063686F" w:rsidRDefault="00ED4694" w:rsidP="00ED4694">
      <w:pPr>
        <w:pStyle w:val="Sansinterligne"/>
        <w:jc w:val="both"/>
        <w:rPr>
          <w:rFonts w:ascii="Arial" w:hAnsi="Arial" w:cs="Arial"/>
          <w:color w:val="000000" w:themeColor="text1"/>
          <w:sz w:val="20"/>
          <w:szCs w:val="20"/>
        </w:rPr>
      </w:pPr>
      <w:r w:rsidRPr="003865FE">
        <w:rPr>
          <w:noProof/>
        </w:rPr>
        <w:t xml:space="preserve">    </w:t>
      </w:r>
    </w:p>
    <w:p w14:paraId="655E7584" w14:textId="77777777" w:rsidR="00ED4694" w:rsidRDefault="00ED4694" w:rsidP="00ED4694">
      <w:pPr>
        <w:pStyle w:val="Sansinterligne"/>
        <w:jc w:val="both"/>
        <w:rPr>
          <w:rFonts w:ascii="Arial" w:hAnsi="Arial" w:cs="Arial"/>
          <w:color w:val="000000" w:themeColor="text1"/>
          <w:sz w:val="20"/>
          <w:szCs w:val="20"/>
        </w:rPr>
      </w:pPr>
      <w:r w:rsidRPr="003865FE">
        <w:rPr>
          <w:noProof/>
        </w:rPr>
        <w:drawing>
          <wp:anchor distT="0" distB="0" distL="114300" distR="114300" simplePos="0" relativeHeight="251802624" behindDoc="1" locked="0" layoutInCell="1" allowOverlap="1" wp14:anchorId="62C2C741" wp14:editId="6562F2EF">
            <wp:simplePos x="0" y="0"/>
            <wp:positionH relativeFrom="column">
              <wp:posOffset>3798570</wp:posOffset>
            </wp:positionH>
            <wp:positionV relativeFrom="paragraph">
              <wp:posOffset>296545</wp:posOffset>
            </wp:positionV>
            <wp:extent cx="3150870" cy="1804670"/>
            <wp:effectExtent l="0" t="0" r="0" b="0"/>
            <wp:wrapTight wrapText="bothSides">
              <wp:wrapPolygon edited="0">
                <wp:start x="0" y="0"/>
                <wp:lineTo x="0" y="21433"/>
                <wp:lineTo x="21504" y="21433"/>
                <wp:lineTo x="21504" y="0"/>
                <wp:lineTo x="0" y="0"/>
              </wp:wrapPolygon>
            </wp:wrapTight>
            <wp:docPr id="16280393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39353"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150870" cy="1804670"/>
                    </a:xfrm>
                    <a:prstGeom prst="rect">
                      <a:avLst/>
                    </a:prstGeom>
                  </pic:spPr>
                </pic:pic>
              </a:graphicData>
            </a:graphic>
            <wp14:sizeRelH relativeFrom="page">
              <wp14:pctWidth>0</wp14:pctWidth>
            </wp14:sizeRelH>
            <wp14:sizeRelV relativeFrom="page">
              <wp14:pctHeight>0</wp14:pctHeight>
            </wp14:sizeRelV>
          </wp:anchor>
        </w:drawing>
      </w:r>
    </w:p>
    <w:p w14:paraId="73CF282F" w14:textId="77777777" w:rsidR="00ED4694" w:rsidRDefault="00ED4694" w:rsidP="00ED4694">
      <w:pPr>
        <w:pStyle w:val="Sansinterligne"/>
        <w:jc w:val="both"/>
        <w:rPr>
          <w:rFonts w:ascii="Arial" w:hAnsi="Arial" w:cs="Arial"/>
          <w:color w:val="000000" w:themeColor="text1"/>
          <w:sz w:val="20"/>
          <w:szCs w:val="20"/>
        </w:rPr>
      </w:pPr>
    </w:p>
    <w:p w14:paraId="6D458E1B" w14:textId="77777777" w:rsidR="00ED4694" w:rsidRDefault="00ED4694" w:rsidP="00ED4694">
      <w:pPr>
        <w:pStyle w:val="Sansinterligne"/>
        <w:jc w:val="both"/>
        <w:rPr>
          <w:rFonts w:ascii="Arial" w:hAnsi="Arial" w:cs="Arial"/>
          <w:color w:val="000000" w:themeColor="text1"/>
          <w:sz w:val="20"/>
          <w:szCs w:val="20"/>
        </w:rPr>
      </w:pPr>
    </w:p>
    <w:p w14:paraId="2069858A" w14:textId="77777777" w:rsidR="00ED4694" w:rsidRDefault="00ED4694" w:rsidP="00ED4694">
      <w:pPr>
        <w:pStyle w:val="Sansinterligne"/>
        <w:jc w:val="both"/>
        <w:rPr>
          <w:rFonts w:ascii="Arial" w:hAnsi="Arial" w:cs="Arial"/>
          <w:color w:val="000000" w:themeColor="text1"/>
          <w:sz w:val="20"/>
          <w:szCs w:val="20"/>
        </w:rPr>
      </w:pPr>
    </w:p>
    <w:p w14:paraId="0B34CFFC" w14:textId="77777777" w:rsidR="00ED4694" w:rsidRDefault="00ED4694" w:rsidP="00ED4694">
      <w:pPr>
        <w:pStyle w:val="Sansinterligne"/>
        <w:jc w:val="both"/>
        <w:rPr>
          <w:rFonts w:ascii="Arial" w:hAnsi="Arial" w:cs="Arial"/>
          <w:color w:val="000000" w:themeColor="text1"/>
          <w:sz w:val="20"/>
          <w:szCs w:val="20"/>
        </w:rPr>
      </w:pPr>
    </w:p>
    <w:p w14:paraId="041BA9A7" w14:textId="77777777" w:rsidR="00ED4694" w:rsidRDefault="00ED4694" w:rsidP="00ED4694">
      <w:pPr>
        <w:pStyle w:val="Sansinterligne"/>
        <w:jc w:val="both"/>
        <w:rPr>
          <w:rFonts w:ascii="Arial" w:hAnsi="Arial" w:cs="Arial"/>
          <w:color w:val="000000" w:themeColor="text1"/>
          <w:sz w:val="20"/>
          <w:szCs w:val="20"/>
        </w:rPr>
      </w:pPr>
      <w:r w:rsidRPr="003865FE">
        <w:rPr>
          <w:noProof/>
        </w:rPr>
        <w:drawing>
          <wp:anchor distT="0" distB="0" distL="114300" distR="114300" simplePos="0" relativeHeight="251803648" behindDoc="1" locked="0" layoutInCell="1" allowOverlap="1" wp14:anchorId="200EB15D" wp14:editId="6EB6FDE5">
            <wp:simplePos x="0" y="0"/>
            <wp:positionH relativeFrom="column">
              <wp:posOffset>1123950</wp:posOffset>
            </wp:positionH>
            <wp:positionV relativeFrom="paragraph">
              <wp:posOffset>26035</wp:posOffset>
            </wp:positionV>
            <wp:extent cx="4912360" cy="2813685"/>
            <wp:effectExtent l="0" t="0" r="2540" b="5715"/>
            <wp:wrapTight wrapText="bothSides">
              <wp:wrapPolygon edited="0">
                <wp:start x="0" y="0"/>
                <wp:lineTo x="0" y="21546"/>
                <wp:lineTo x="21555" y="21546"/>
                <wp:lineTo x="21555" y="0"/>
                <wp:lineTo x="0" y="0"/>
              </wp:wrapPolygon>
            </wp:wrapTight>
            <wp:docPr id="7329822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982237" name=""/>
                    <pic:cNvPicPr/>
                  </pic:nvPicPr>
                  <pic:blipFill>
                    <a:blip r:embed="rId195">
                      <a:extLst>
                        <a:ext uri="{28A0092B-C50C-407E-A947-70E740481C1C}">
                          <a14:useLocalDpi xmlns:a14="http://schemas.microsoft.com/office/drawing/2010/main" val="0"/>
                        </a:ext>
                      </a:extLst>
                    </a:blip>
                    <a:stretch>
                      <a:fillRect/>
                    </a:stretch>
                  </pic:blipFill>
                  <pic:spPr>
                    <a:xfrm>
                      <a:off x="0" y="0"/>
                      <a:ext cx="4912360" cy="2813685"/>
                    </a:xfrm>
                    <a:prstGeom prst="rect">
                      <a:avLst/>
                    </a:prstGeom>
                  </pic:spPr>
                </pic:pic>
              </a:graphicData>
            </a:graphic>
            <wp14:sizeRelH relativeFrom="page">
              <wp14:pctWidth>0</wp14:pctWidth>
            </wp14:sizeRelH>
            <wp14:sizeRelV relativeFrom="page">
              <wp14:pctHeight>0</wp14:pctHeight>
            </wp14:sizeRelV>
          </wp:anchor>
        </w:drawing>
      </w:r>
    </w:p>
    <w:p w14:paraId="34481A80" w14:textId="77777777" w:rsidR="00ED4694" w:rsidRDefault="00ED4694" w:rsidP="00ED4694">
      <w:pPr>
        <w:pStyle w:val="Sansinterligne"/>
        <w:jc w:val="both"/>
        <w:rPr>
          <w:rFonts w:ascii="Arial" w:hAnsi="Arial" w:cs="Arial"/>
          <w:color w:val="000000" w:themeColor="text1"/>
          <w:sz w:val="20"/>
          <w:szCs w:val="20"/>
        </w:rPr>
      </w:pPr>
    </w:p>
    <w:p w14:paraId="4D2D6822" w14:textId="77777777" w:rsidR="00ED4694" w:rsidRDefault="00ED4694" w:rsidP="00ED4694">
      <w:pPr>
        <w:pStyle w:val="Sansinterligne"/>
        <w:jc w:val="both"/>
        <w:rPr>
          <w:rFonts w:ascii="Arial" w:hAnsi="Arial" w:cs="Arial"/>
          <w:color w:val="000000" w:themeColor="text1"/>
          <w:sz w:val="20"/>
          <w:szCs w:val="20"/>
        </w:rPr>
      </w:pPr>
    </w:p>
    <w:p w14:paraId="6200ACB4" w14:textId="77777777" w:rsidR="00ED4694" w:rsidRDefault="00ED4694" w:rsidP="00ED4694">
      <w:pPr>
        <w:pStyle w:val="Sansinterligne"/>
        <w:jc w:val="both"/>
        <w:rPr>
          <w:rFonts w:ascii="Arial" w:hAnsi="Arial" w:cs="Arial"/>
          <w:color w:val="000000" w:themeColor="text1"/>
          <w:sz w:val="20"/>
          <w:szCs w:val="20"/>
        </w:rPr>
      </w:pPr>
    </w:p>
    <w:p w14:paraId="4EEE52C0" w14:textId="77777777" w:rsidR="00ED4694" w:rsidRDefault="00ED4694" w:rsidP="00ED4694">
      <w:pPr>
        <w:pStyle w:val="Sansinterligne"/>
        <w:jc w:val="both"/>
        <w:rPr>
          <w:rFonts w:ascii="Arial" w:hAnsi="Arial" w:cs="Arial"/>
          <w:color w:val="000000" w:themeColor="text1"/>
          <w:sz w:val="20"/>
          <w:szCs w:val="20"/>
        </w:rPr>
      </w:pPr>
    </w:p>
    <w:p w14:paraId="27E97607" w14:textId="77777777" w:rsidR="00ED4694" w:rsidRDefault="00ED4694" w:rsidP="00ED4694">
      <w:pPr>
        <w:pStyle w:val="Sansinterligne"/>
        <w:jc w:val="both"/>
        <w:rPr>
          <w:rFonts w:ascii="Arial" w:hAnsi="Arial" w:cs="Arial"/>
          <w:color w:val="000000" w:themeColor="text1"/>
          <w:sz w:val="20"/>
          <w:szCs w:val="20"/>
        </w:rPr>
      </w:pPr>
    </w:p>
    <w:p w14:paraId="4261C20F" w14:textId="77777777" w:rsidR="00ED4694" w:rsidRDefault="00ED4694" w:rsidP="00ED4694">
      <w:pPr>
        <w:pStyle w:val="Sansinterligne"/>
        <w:jc w:val="both"/>
        <w:rPr>
          <w:rFonts w:ascii="Arial" w:hAnsi="Arial" w:cs="Arial"/>
          <w:color w:val="000000" w:themeColor="text1"/>
          <w:sz w:val="20"/>
          <w:szCs w:val="20"/>
        </w:rPr>
      </w:pPr>
    </w:p>
    <w:p w14:paraId="3B5E9948" w14:textId="77777777" w:rsidR="00ED4694" w:rsidRDefault="00ED4694" w:rsidP="00ED4694">
      <w:pPr>
        <w:pStyle w:val="Sansinterligne"/>
        <w:jc w:val="both"/>
        <w:rPr>
          <w:rFonts w:ascii="Arial" w:hAnsi="Arial" w:cs="Arial"/>
          <w:color w:val="000000" w:themeColor="text1"/>
          <w:sz w:val="20"/>
          <w:szCs w:val="20"/>
        </w:rPr>
      </w:pPr>
    </w:p>
    <w:p w14:paraId="372B4536" w14:textId="77777777" w:rsidR="00ED4694" w:rsidRDefault="00ED4694" w:rsidP="00ED4694">
      <w:pPr>
        <w:pStyle w:val="Sansinterligne"/>
        <w:jc w:val="both"/>
        <w:rPr>
          <w:rFonts w:ascii="Arial" w:hAnsi="Arial" w:cs="Arial"/>
          <w:color w:val="000000" w:themeColor="text1"/>
          <w:sz w:val="20"/>
          <w:szCs w:val="20"/>
        </w:rPr>
      </w:pPr>
    </w:p>
    <w:p w14:paraId="120AEB3B" w14:textId="77777777" w:rsidR="00ED4694" w:rsidRDefault="00ED4694" w:rsidP="00ED4694">
      <w:pPr>
        <w:pStyle w:val="Sansinterligne"/>
        <w:jc w:val="both"/>
        <w:rPr>
          <w:rFonts w:ascii="Arial" w:hAnsi="Arial" w:cs="Arial"/>
          <w:color w:val="000000" w:themeColor="text1"/>
          <w:sz w:val="20"/>
          <w:szCs w:val="20"/>
        </w:rPr>
      </w:pPr>
    </w:p>
    <w:p w14:paraId="47EEFC44" w14:textId="77777777" w:rsidR="00ED4694" w:rsidRDefault="00ED4694" w:rsidP="00ED4694">
      <w:pPr>
        <w:pStyle w:val="Sansinterligne"/>
        <w:jc w:val="both"/>
        <w:rPr>
          <w:rFonts w:ascii="Arial" w:hAnsi="Arial" w:cs="Arial"/>
          <w:color w:val="000000" w:themeColor="text1"/>
          <w:sz w:val="20"/>
          <w:szCs w:val="20"/>
        </w:rPr>
      </w:pPr>
    </w:p>
    <w:p w14:paraId="3650A1A2" w14:textId="77777777" w:rsidR="00ED4694" w:rsidRDefault="00ED4694" w:rsidP="00ED4694">
      <w:pPr>
        <w:pStyle w:val="Sansinterligne"/>
        <w:jc w:val="both"/>
        <w:rPr>
          <w:rFonts w:ascii="Arial" w:hAnsi="Arial" w:cs="Arial"/>
          <w:color w:val="000000" w:themeColor="text1"/>
          <w:sz w:val="20"/>
          <w:szCs w:val="20"/>
        </w:rPr>
      </w:pPr>
    </w:p>
    <w:p w14:paraId="4E559107" w14:textId="77777777" w:rsidR="00ED4694" w:rsidRDefault="00ED4694" w:rsidP="00ED4694">
      <w:pPr>
        <w:pStyle w:val="Sansinterligne"/>
        <w:jc w:val="both"/>
        <w:rPr>
          <w:rFonts w:ascii="Arial" w:hAnsi="Arial" w:cs="Arial"/>
          <w:color w:val="000000" w:themeColor="text1"/>
          <w:sz w:val="20"/>
          <w:szCs w:val="20"/>
        </w:rPr>
      </w:pPr>
    </w:p>
    <w:p w14:paraId="43A996D4" w14:textId="77777777" w:rsidR="00ED4694" w:rsidRDefault="00ED4694" w:rsidP="00ED4694">
      <w:pPr>
        <w:pStyle w:val="Sansinterligne"/>
        <w:jc w:val="both"/>
        <w:rPr>
          <w:rFonts w:ascii="Arial" w:hAnsi="Arial" w:cs="Arial"/>
          <w:color w:val="000000" w:themeColor="text1"/>
          <w:sz w:val="20"/>
          <w:szCs w:val="20"/>
        </w:rPr>
      </w:pPr>
    </w:p>
    <w:p w14:paraId="5C0C2253" w14:textId="77777777" w:rsidR="00ED4694" w:rsidRDefault="00ED4694" w:rsidP="00ED4694">
      <w:pPr>
        <w:pStyle w:val="Sansinterligne"/>
        <w:jc w:val="both"/>
        <w:rPr>
          <w:rFonts w:ascii="Arial" w:hAnsi="Arial" w:cs="Arial"/>
          <w:color w:val="000000" w:themeColor="text1"/>
          <w:sz w:val="20"/>
          <w:szCs w:val="20"/>
        </w:rPr>
      </w:pPr>
    </w:p>
    <w:p w14:paraId="588DA5CA" w14:textId="77777777" w:rsidR="00ED4694" w:rsidRDefault="00ED4694" w:rsidP="00ED4694">
      <w:pPr>
        <w:pStyle w:val="Sansinterligne"/>
        <w:jc w:val="both"/>
        <w:rPr>
          <w:rFonts w:ascii="Arial" w:hAnsi="Arial" w:cs="Arial"/>
          <w:color w:val="000000" w:themeColor="text1"/>
          <w:sz w:val="20"/>
          <w:szCs w:val="20"/>
        </w:rPr>
      </w:pPr>
    </w:p>
    <w:p w14:paraId="4D1E15D7" w14:textId="77777777" w:rsidR="00ED4694" w:rsidRDefault="00ED4694" w:rsidP="00ED4694">
      <w:pPr>
        <w:pStyle w:val="Sansinterligne"/>
        <w:jc w:val="both"/>
        <w:rPr>
          <w:rFonts w:ascii="Arial" w:hAnsi="Arial" w:cs="Arial"/>
          <w:color w:val="000000" w:themeColor="text1"/>
          <w:sz w:val="20"/>
          <w:szCs w:val="20"/>
        </w:rPr>
      </w:pPr>
    </w:p>
    <w:p w14:paraId="1638C2AF" w14:textId="77777777" w:rsidR="00ED4694" w:rsidRDefault="00ED4694" w:rsidP="00ED4694">
      <w:pPr>
        <w:pStyle w:val="Sansinterligne"/>
        <w:jc w:val="both"/>
        <w:rPr>
          <w:rFonts w:ascii="Arial" w:hAnsi="Arial" w:cs="Arial"/>
          <w:color w:val="000000" w:themeColor="text1"/>
          <w:sz w:val="20"/>
          <w:szCs w:val="20"/>
        </w:rPr>
      </w:pPr>
    </w:p>
    <w:p w14:paraId="1A91646E" w14:textId="77777777" w:rsidR="00ED4694" w:rsidRDefault="00ED4694" w:rsidP="00ED4694">
      <w:pPr>
        <w:pStyle w:val="Sansinterligne"/>
        <w:jc w:val="both"/>
        <w:rPr>
          <w:rFonts w:ascii="Arial" w:hAnsi="Arial" w:cs="Arial"/>
          <w:color w:val="000000" w:themeColor="text1"/>
          <w:sz w:val="20"/>
          <w:szCs w:val="20"/>
        </w:rPr>
      </w:pPr>
    </w:p>
    <w:p w14:paraId="56C693EB" w14:textId="77777777" w:rsidR="00ED4694" w:rsidRPr="003865FE" w:rsidRDefault="00ED4694" w:rsidP="00ED4694">
      <w:pPr>
        <w:pStyle w:val="Sansinterligne"/>
        <w:jc w:val="both"/>
        <w:rPr>
          <w:rFonts w:ascii="Arial" w:hAnsi="Arial" w:cs="Arial"/>
          <w:color w:val="000000" w:themeColor="text1"/>
          <w:sz w:val="20"/>
          <w:szCs w:val="20"/>
          <w:u w:val="single"/>
        </w:rPr>
      </w:pPr>
      <w:r w:rsidRPr="003865FE">
        <w:rPr>
          <w:rFonts w:ascii="Arial" w:hAnsi="Arial" w:cs="Arial"/>
          <w:color w:val="000000" w:themeColor="text1"/>
          <w:sz w:val="20"/>
          <w:szCs w:val="20"/>
          <w:u w:val="single"/>
        </w:rPr>
        <w:lastRenderedPageBreak/>
        <w:t xml:space="preserve">Statine : Dans les indications et avec les cibles suivantes : </w:t>
      </w:r>
    </w:p>
    <w:p w14:paraId="1B2594E9"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En préven</w:t>
      </w:r>
      <w:r>
        <w:rPr>
          <w:rFonts w:ascii="Arial" w:hAnsi="Arial" w:cs="Arial"/>
          <w:color w:val="000000" w:themeColor="text1"/>
          <w:sz w:val="20"/>
          <w:szCs w:val="20"/>
        </w:rPr>
        <w:t>ti</w:t>
      </w:r>
      <w:r w:rsidRPr="0063686F">
        <w:rPr>
          <w:rFonts w:ascii="Arial" w:hAnsi="Arial" w:cs="Arial"/>
          <w:color w:val="000000" w:themeColor="text1"/>
          <w:sz w:val="20"/>
          <w:szCs w:val="20"/>
        </w:rPr>
        <w:t>on secondaire ou chez les pa</w:t>
      </w:r>
      <w:r>
        <w:rPr>
          <w:rFonts w:ascii="Arial" w:hAnsi="Arial" w:cs="Arial"/>
          <w:color w:val="000000" w:themeColor="text1"/>
          <w:sz w:val="20"/>
          <w:szCs w:val="20"/>
        </w:rPr>
        <w:t>ti</w:t>
      </w:r>
      <w:r w:rsidRPr="0063686F">
        <w:rPr>
          <w:rFonts w:ascii="Arial" w:hAnsi="Arial" w:cs="Arial"/>
          <w:color w:val="000000" w:themeColor="text1"/>
          <w:sz w:val="20"/>
          <w:szCs w:val="20"/>
        </w:rPr>
        <w:t>ents à risque cardiovasculaire élevé, avec un objec</w:t>
      </w:r>
      <w:r>
        <w:rPr>
          <w:rFonts w:ascii="Arial" w:hAnsi="Arial" w:cs="Arial"/>
          <w:color w:val="000000" w:themeColor="text1"/>
          <w:sz w:val="20"/>
          <w:szCs w:val="20"/>
        </w:rPr>
        <w:t>ti</w:t>
      </w:r>
      <w:r w:rsidRPr="0063686F">
        <w:rPr>
          <w:rFonts w:ascii="Arial" w:hAnsi="Arial" w:cs="Arial"/>
          <w:color w:val="000000" w:themeColor="text1"/>
          <w:sz w:val="20"/>
          <w:szCs w:val="20"/>
        </w:rPr>
        <w:t>f thérapeu</w:t>
      </w:r>
      <w:r>
        <w:rPr>
          <w:rFonts w:ascii="Arial" w:hAnsi="Arial" w:cs="Arial"/>
          <w:color w:val="000000" w:themeColor="text1"/>
          <w:sz w:val="20"/>
          <w:szCs w:val="20"/>
        </w:rPr>
        <w:t>ti</w:t>
      </w:r>
      <w:r w:rsidRPr="0063686F">
        <w:rPr>
          <w:rFonts w:ascii="Arial" w:hAnsi="Arial" w:cs="Arial"/>
          <w:color w:val="000000" w:themeColor="text1"/>
          <w:sz w:val="20"/>
          <w:szCs w:val="20"/>
        </w:rPr>
        <w:t xml:space="preserve">que LDL-C &lt; 0,7g/L voir &lt; 0,55g/L </w:t>
      </w:r>
    </w:p>
    <w:p w14:paraId="0BCE6FC3" w14:textId="77777777" w:rsidR="00ED4694" w:rsidRPr="00B81F12" w:rsidRDefault="00ED4694" w:rsidP="00ED4694">
      <w:pPr>
        <w:pStyle w:val="Sansinterligne"/>
        <w:numPr>
          <w:ilvl w:val="0"/>
          <w:numId w:val="140"/>
        </w:numPr>
        <w:jc w:val="both"/>
        <w:rPr>
          <w:rFonts w:ascii="Arial" w:hAnsi="Arial" w:cs="Arial"/>
          <w:color w:val="000000" w:themeColor="text1"/>
          <w:sz w:val="20"/>
          <w:szCs w:val="20"/>
        </w:rPr>
      </w:pPr>
      <w:r w:rsidRPr="00B81F12">
        <w:rPr>
          <w:rFonts w:ascii="Arial" w:hAnsi="Arial" w:cs="Arial"/>
          <w:color w:val="000000" w:themeColor="text1"/>
          <w:sz w:val="20"/>
          <w:szCs w:val="20"/>
        </w:rPr>
        <w:t>Chez les pa</w:t>
      </w:r>
      <w:r>
        <w:rPr>
          <w:rFonts w:ascii="Arial" w:hAnsi="Arial" w:cs="Arial"/>
          <w:color w:val="000000" w:themeColor="text1"/>
          <w:sz w:val="20"/>
          <w:szCs w:val="20"/>
        </w:rPr>
        <w:t>ti</w:t>
      </w:r>
      <w:r w:rsidRPr="00B81F12">
        <w:rPr>
          <w:rFonts w:ascii="Arial" w:hAnsi="Arial" w:cs="Arial"/>
          <w:color w:val="000000" w:themeColor="text1"/>
          <w:sz w:val="20"/>
          <w:szCs w:val="20"/>
        </w:rPr>
        <w:t xml:space="preserve">ents à risque cardiovasculaire faible ou modéré : la cible est définie selon le nombre de FDR- CVs </w:t>
      </w:r>
    </w:p>
    <w:p w14:paraId="09A23966" w14:textId="77777777" w:rsidR="00ED4694" w:rsidRDefault="00ED4694" w:rsidP="00ED4694">
      <w:pPr>
        <w:pStyle w:val="Sansinterligne"/>
        <w:jc w:val="both"/>
        <w:rPr>
          <w:rFonts w:ascii="Arial" w:hAnsi="Arial" w:cs="Arial"/>
          <w:color w:val="000000" w:themeColor="text1"/>
          <w:sz w:val="20"/>
          <w:szCs w:val="20"/>
        </w:rPr>
      </w:pPr>
    </w:p>
    <w:p w14:paraId="2F80C251" w14:textId="77777777" w:rsidR="00ED4694" w:rsidRPr="003865FE" w:rsidRDefault="00ED4694" w:rsidP="00ED4694">
      <w:pPr>
        <w:pStyle w:val="Sansinterligne"/>
        <w:jc w:val="both"/>
        <w:rPr>
          <w:rFonts w:ascii="Arial" w:hAnsi="Arial" w:cs="Arial"/>
          <w:color w:val="000000" w:themeColor="text1"/>
          <w:sz w:val="20"/>
          <w:szCs w:val="20"/>
          <w:u w:val="single"/>
        </w:rPr>
      </w:pPr>
      <w:r w:rsidRPr="003865FE">
        <w:rPr>
          <w:rFonts w:ascii="Arial" w:hAnsi="Arial" w:cs="Arial"/>
          <w:color w:val="000000" w:themeColor="text1"/>
          <w:sz w:val="20"/>
          <w:szCs w:val="20"/>
          <w:u w:val="single"/>
        </w:rPr>
        <w:t xml:space="preserve">Antihypertenseur </w:t>
      </w:r>
    </w:p>
    <w:p w14:paraId="79AB631B"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Traitement pharmacologique</w:t>
      </w:r>
      <w:r>
        <w:rPr>
          <w:rFonts w:ascii="Arial" w:hAnsi="Arial" w:cs="Arial"/>
          <w:color w:val="000000" w:themeColor="text1"/>
          <w:sz w:val="20"/>
          <w:szCs w:val="20"/>
        </w:rPr>
        <w:t xml:space="preserve"> : </w:t>
      </w:r>
      <w:r w:rsidRPr="00B81F12">
        <w:rPr>
          <w:rFonts w:ascii="Arial" w:hAnsi="Arial" w:cs="Arial"/>
          <w:color w:val="000000" w:themeColor="text1"/>
          <w:sz w:val="20"/>
          <w:szCs w:val="20"/>
        </w:rPr>
        <w:t>après échec des mesures hygiéno-diété</w:t>
      </w:r>
      <w:r>
        <w:rPr>
          <w:rFonts w:ascii="Arial" w:hAnsi="Arial" w:cs="Arial"/>
          <w:color w:val="000000" w:themeColor="text1"/>
          <w:sz w:val="20"/>
          <w:szCs w:val="20"/>
        </w:rPr>
        <w:t>ti</w:t>
      </w:r>
      <w:r w:rsidRPr="00B81F12">
        <w:rPr>
          <w:rFonts w:ascii="Arial" w:hAnsi="Arial" w:cs="Arial"/>
          <w:color w:val="000000" w:themeColor="text1"/>
          <w:sz w:val="20"/>
          <w:szCs w:val="20"/>
        </w:rPr>
        <w:t>ques (ac</w:t>
      </w:r>
      <w:r>
        <w:rPr>
          <w:rFonts w:ascii="Arial" w:hAnsi="Arial" w:cs="Arial"/>
          <w:color w:val="000000" w:themeColor="text1"/>
          <w:sz w:val="20"/>
          <w:szCs w:val="20"/>
        </w:rPr>
        <w:t>ti</w:t>
      </w:r>
      <w:r w:rsidRPr="00B81F12">
        <w:rPr>
          <w:rFonts w:ascii="Arial" w:hAnsi="Arial" w:cs="Arial"/>
          <w:color w:val="000000" w:themeColor="text1"/>
          <w:sz w:val="20"/>
          <w:szCs w:val="20"/>
        </w:rPr>
        <w:t>vité physique, alimenta</w:t>
      </w:r>
      <w:r>
        <w:rPr>
          <w:rFonts w:ascii="Arial" w:hAnsi="Arial" w:cs="Arial"/>
          <w:color w:val="000000" w:themeColor="text1"/>
          <w:sz w:val="20"/>
          <w:szCs w:val="20"/>
        </w:rPr>
        <w:t>ti</w:t>
      </w:r>
      <w:r w:rsidRPr="00B81F12">
        <w:rPr>
          <w:rFonts w:ascii="Arial" w:hAnsi="Arial" w:cs="Arial"/>
          <w:color w:val="000000" w:themeColor="text1"/>
          <w:sz w:val="20"/>
          <w:szCs w:val="20"/>
        </w:rPr>
        <w:t>on, sel)</w:t>
      </w:r>
      <w:r>
        <w:rPr>
          <w:rFonts w:ascii="Arial" w:hAnsi="Arial" w:cs="Arial"/>
          <w:color w:val="000000" w:themeColor="text1"/>
          <w:sz w:val="20"/>
          <w:szCs w:val="20"/>
        </w:rPr>
        <w:t xml:space="preserve">, </w:t>
      </w:r>
      <w:r w:rsidRPr="00B81F12">
        <w:rPr>
          <w:rFonts w:ascii="Arial" w:hAnsi="Arial" w:cs="Arial"/>
          <w:color w:val="000000" w:themeColor="text1"/>
          <w:sz w:val="20"/>
          <w:szCs w:val="20"/>
        </w:rPr>
        <w:t xml:space="preserve">lorsque la pression artérielle reste &gt;140/90 mm Hg. </w:t>
      </w:r>
    </w:p>
    <w:p w14:paraId="3F06002A"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B81F12">
        <w:rPr>
          <w:rFonts w:ascii="Arial" w:hAnsi="Arial" w:cs="Arial"/>
          <w:color w:val="000000" w:themeColor="text1"/>
          <w:sz w:val="20"/>
          <w:szCs w:val="20"/>
        </w:rPr>
        <w:t>L’auto-mesure de la pression artérielle</w:t>
      </w:r>
      <w:r>
        <w:rPr>
          <w:rFonts w:ascii="Arial" w:hAnsi="Arial" w:cs="Arial"/>
          <w:color w:val="000000" w:themeColor="text1"/>
          <w:sz w:val="20"/>
          <w:szCs w:val="20"/>
        </w:rPr>
        <w:t xml:space="preserve"> : </w:t>
      </w:r>
      <w:r w:rsidRPr="00B81F12">
        <w:rPr>
          <w:rFonts w:ascii="Arial" w:hAnsi="Arial" w:cs="Arial"/>
          <w:color w:val="000000" w:themeColor="text1"/>
          <w:sz w:val="20"/>
          <w:szCs w:val="20"/>
        </w:rPr>
        <w:t>doit être encouragée et le pa</w:t>
      </w:r>
      <w:r>
        <w:rPr>
          <w:rFonts w:ascii="Arial" w:hAnsi="Arial" w:cs="Arial"/>
          <w:color w:val="000000" w:themeColor="text1"/>
          <w:sz w:val="20"/>
          <w:szCs w:val="20"/>
        </w:rPr>
        <w:t>ti</w:t>
      </w:r>
      <w:r w:rsidRPr="00B81F12">
        <w:rPr>
          <w:rFonts w:ascii="Arial" w:hAnsi="Arial" w:cs="Arial"/>
          <w:color w:val="000000" w:themeColor="text1"/>
          <w:sz w:val="20"/>
          <w:szCs w:val="20"/>
        </w:rPr>
        <w:t>nt formé à c</w:t>
      </w:r>
      <w:r>
        <w:rPr>
          <w:rFonts w:ascii="Arial" w:hAnsi="Arial" w:cs="Arial"/>
          <w:color w:val="000000" w:themeColor="text1"/>
          <w:sz w:val="20"/>
          <w:szCs w:val="20"/>
        </w:rPr>
        <w:t>ett</w:t>
      </w:r>
      <w:r w:rsidRPr="00B81F12">
        <w:rPr>
          <w:rFonts w:ascii="Arial" w:hAnsi="Arial" w:cs="Arial"/>
          <w:color w:val="000000" w:themeColor="text1"/>
          <w:sz w:val="20"/>
          <w:szCs w:val="20"/>
        </w:rPr>
        <w:t>e pra</w:t>
      </w:r>
      <w:r>
        <w:rPr>
          <w:rFonts w:ascii="Arial" w:hAnsi="Arial" w:cs="Arial"/>
          <w:color w:val="000000" w:themeColor="text1"/>
          <w:sz w:val="20"/>
          <w:szCs w:val="20"/>
        </w:rPr>
        <w:t>ti</w:t>
      </w:r>
      <w:r w:rsidRPr="00B81F12">
        <w:rPr>
          <w:rFonts w:ascii="Arial" w:hAnsi="Arial" w:cs="Arial"/>
          <w:color w:val="000000" w:themeColor="text1"/>
          <w:sz w:val="20"/>
          <w:szCs w:val="20"/>
        </w:rPr>
        <w:t xml:space="preserve">que </w:t>
      </w:r>
    </w:p>
    <w:p w14:paraId="644120C0" w14:textId="77777777" w:rsidR="00ED4694" w:rsidRPr="00B81F12" w:rsidRDefault="00ED4694" w:rsidP="00ED4694">
      <w:pPr>
        <w:pStyle w:val="Sansinterligne"/>
        <w:numPr>
          <w:ilvl w:val="0"/>
          <w:numId w:val="140"/>
        </w:numPr>
        <w:jc w:val="both"/>
        <w:rPr>
          <w:rFonts w:ascii="Arial" w:hAnsi="Arial" w:cs="Arial"/>
          <w:color w:val="000000" w:themeColor="text1"/>
          <w:sz w:val="20"/>
          <w:szCs w:val="20"/>
        </w:rPr>
      </w:pPr>
      <w:r w:rsidRPr="00B81F12">
        <w:rPr>
          <w:rFonts w:ascii="Arial" w:hAnsi="Arial" w:cs="Arial"/>
          <w:color w:val="000000" w:themeColor="text1"/>
          <w:sz w:val="20"/>
          <w:szCs w:val="20"/>
        </w:rPr>
        <w:t>La cible thérape</w:t>
      </w:r>
      <w:r>
        <w:rPr>
          <w:rFonts w:ascii="Arial" w:hAnsi="Arial" w:cs="Arial"/>
          <w:color w:val="000000" w:themeColor="text1"/>
          <w:sz w:val="20"/>
          <w:szCs w:val="20"/>
        </w:rPr>
        <w:t>uti</w:t>
      </w:r>
      <w:r w:rsidRPr="00B81F12">
        <w:rPr>
          <w:rFonts w:ascii="Arial" w:hAnsi="Arial" w:cs="Arial"/>
          <w:color w:val="000000" w:themeColor="text1"/>
          <w:sz w:val="20"/>
          <w:szCs w:val="20"/>
        </w:rPr>
        <w:t>que à a</w:t>
      </w:r>
      <w:r>
        <w:rPr>
          <w:rFonts w:ascii="Arial" w:hAnsi="Arial" w:cs="Arial"/>
          <w:color w:val="000000" w:themeColor="text1"/>
          <w:sz w:val="20"/>
          <w:szCs w:val="20"/>
        </w:rPr>
        <w:t>tt</w:t>
      </w:r>
      <w:r w:rsidRPr="00B81F12">
        <w:rPr>
          <w:rFonts w:ascii="Arial" w:hAnsi="Arial" w:cs="Arial"/>
          <w:color w:val="000000" w:themeColor="text1"/>
          <w:sz w:val="20"/>
          <w:szCs w:val="20"/>
        </w:rPr>
        <w:t>eindre est &lt;140/85 mm Hg</w:t>
      </w:r>
      <w:r>
        <w:rPr>
          <w:rFonts w:ascii="Arial" w:hAnsi="Arial" w:cs="Arial"/>
          <w:color w:val="000000" w:themeColor="text1"/>
          <w:sz w:val="20"/>
          <w:szCs w:val="20"/>
        </w:rPr>
        <w:t>,</w:t>
      </w:r>
      <w:r w:rsidRPr="00B81F12">
        <w:rPr>
          <w:rFonts w:ascii="Arial" w:hAnsi="Arial" w:cs="Arial"/>
          <w:color w:val="000000" w:themeColor="text1"/>
          <w:sz w:val="20"/>
          <w:szCs w:val="20"/>
        </w:rPr>
        <w:t xml:space="preserve"> (à individualiser chez la personne âgée, en fonc</w:t>
      </w:r>
      <w:r>
        <w:rPr>
          <w:rFonts w:ascii="Arial" w:hAnsi="Arial" w:cs="Arial"/>
          <w:color w:val="000000" w:themeColor="text1"/>
          <w:sz w:val="20"/>
          <w:szCs w:val="20"/>
        </w:rPr>
        <w:t>ti</w:t>
      </w:r>
      <w:r w:rsidRPr="00B81F12">
        <w:rPr>
          <w:rFonts w:ascii="Arial" w:hAnsi="Arial" w:cs="Arial"/>
          <w:color w:val="000000" w:themeColor="text1"/>
          <w:sz w:val="20"/>
          <w:szCs w:val="20"/>
        </w:rPr>
        <w:t>on de l’âge, des complica</w:t>
      </w:r>
      <w:r>
        <w:rPr>
          <w:rFonts w:ascii="Arial" w:hAnsi="Arial" w:cs="Arial"/>
          <w:color w:val="000000" w:themeColor="text1"/>
          <w:sz w:val="20"/>
          <w:szCs w:val="20"/>
        </w:rPr>
        <w:t>ti</w:t>
      </w:r>
      <w:r w:rsidRPr="00B81F12">
        <w:rPr>
          <w:rFonts w:ascii="Arial" w:hAnsi="Arial" w:cs="Arial"/>
          <w:color w:val="000000" w:themeColor="text1"/>
          <w:sz w:val="20"/>
          <w:szCs w:val="20"/>
        </w:rPr>
        <w:t xml:space="preserve">ons, des </w:t>
      </w:r>
      <w:r>
        <w:rPr>
          <w:rFonts w:ascii="Arial" w:hAnsi="Arial" w:cs="Arial"/>
          <w:color w:val="000000" w:themeColor="text1"/>
          <w:sz w:val="20"/>
          <w:szCs w:val="20"/>
        </w:rPr>
        <w:t>comorbidités associées)</w:t>
      </w:r>
    </w:p>
    <w:p w14:paraId="31924942"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Cible autour de 130/80 mm Hg, </w:t>
      </w:r>
    </w:p>
    <w:p w14:paraId="541124D8" w14:textId="77777777" w:rsidR="00ED4694" w:rsidRPr="00B81F12"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Privilégier les IEC/ARA2 en première inten</w:t>
      </w:r>
      <w:r>
        <w:rPr>
          <w:rFonts w:ascii="Arial" w:hAnsi="Arial" w:cs="Arial"/>
          <w:color w:val="000000" w:themeColor="text1"/>
          <w:sz w:val="20"/>
          <w:szCs w:val="20"/>
        </w:rPr>
        <w:t>ti</w:t>
      </w:r>
      <w:r w:rsidRPr="0063686F">
        <w:rPr>
          <w:rFonts w:ascii="Arial" w:hAnsi="Arial" w:cs="Arial"/>
          <w:color w:val="000000" w:themeColor="text1"/>
          <w:sz w:val="20"/>
          <w:szCs w:val="20"/>
        </w:rPr>
        <w:t>on, en par</w:t>
      </w:r>
      <w:r>
        <w:rPr>
          <w:rFonts w:ascii="Arial" w:hAnsi="Arial" w:cs="Arial"/>
          <w:color w:val="000000" w:themeColor="text1"/>
          <w:sz w:val="20"/>
          <w:szCs w:val="20"/>
        </w:rPr>
        <w:t>ti</w:t>
      </w:r>
      <w:r w:rsidRPr="0063686F">
        <w:rPr>
          <w:rFonts w:ascii="Arial" w:hAnsi="Arial" w:cs="Arial"/>
          <w:color w:val="000000" w:themeColor="text1"/>
          <w:sz w:val="20"/>
          <w:szCs w:val="20"/>
        </w:rPr>
        <w:t xml:space="preserve">culier dans le cas </w:t>
      </w:r>
      <w:r w:rsidRPr="00B81F12">
        <w:rPr>
          <w:rFonts w:ascii="Arial" w:hAnsi="Arial" w:cs="Arial"/>
          <w:color w:val="000000" w:themeColor="text1"/>
          <w:sz w:val="20"/>
          <w:szCs w:val="20"/>
        </w:rPr>
        <w:t>d’albuminurie (pa</w:t>
      </w:r>
      <w:r>
        <w:rPr>
          <w:rFonts w:ascii="Arial" w:hAnsi="Arial" w:cs="Arial"/>
          <w:color w:val="000000" w:themeColor="text1"/>
          <w:sz w:val="20"/>
          <w:szCs w:val="20"/>
        </w:rPr>
        <w:t>ti</w:t>
      </w:r>
      <w:r w:rsidRPr="00B81F12">
        <w:rPr>
          <w:rFonts w:ascii="Arial" w:hAnsi="Arial" w:cs="Arial"/>
          <w:color w:val="000000" w:themeColor="text1"/>
          <w:sz w:val="20"/>
          <w:szCs w:val="20"/>
        </w:rPr>
        <w:t xml:space="preserve">ents DT2) </w:t>
      </w:r>
    </w:p>
    <w:p w14:paraId="30BF5154"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Pas d’associa</w:t>
      </w:r>
      <w:r>
        <w:rPr>
          <w:rFonts w:ascii="Arial" w:hAnsi="Arial" w:cs="Arial"/>
          <w:color w:val="000000" w:themeColor="text1"/>
          <w:sz w:val="20"/>
          <w:szCs w:val="20"/>
        </w:rPr>
        <w:t>ti</w:t>
      </w:r>
      <w:r w:rsidRPr="0063686F">
        <w:rPr>
          <w:rFonts w:ascii="Arial" w:hAnsi="Arial" w:cs="Arial"/>
          <w:color w:val="000000" w:themeColor="text1"/>
          <w:sz w:val="20"/>
          <w:szCs w:val="20"/>
        </w:rPr>
        <w:t xml:space="preserve">on de plusieurs agents bloqueurs du système rénine-angiotensine </w:t>
      </w:r>
    </w:p>
    <w:p w14:paraId="369FDBB5" w14:textId="77777777" w:rsidR="00ED4694" w:rsidRDefault="00ED4694" w:rsidP="00ED4694">
      <w:pPr>
        <w:pStyle w:val="Sansinterligne"/>
        <w:jc w:val="both"/>
        <w:rPr>
          <w:rFonts w:ascii="Arial" w:hAnsi="Arial" w:cs="Arial"/>
          <w:color w:val="000000" w:themeColor="text1"/>
          <w:sz w:val="20"/>
          <w:szCs w:val="20"/>
        </w:rPr>
      </w:pPr>
    </w:p>
    <w:p w14:paraId="2DBC8094" w14:textId="77777777" w:rsidR="00ED4694" w:rsidRPr="003865FE" w:rsidRDefault="00ED4694" w:rsidP="00ED4694">
      <w:pPr>
        <w:pStyle w:val="Sansinterligne"/>
        <w:numPr>
          <w:ilvl w:val="0"/>
          <w:numId w:val="236"/>
        </w:numPr>
        <w:jc w:val="both"/>
        <w:rPr>
          <w:rFonts w:ascii="Arial" w:hAnsi="Arial" w:cs="Arial"/>
          <w:b/>
          <w:bCs/>
          <w:color w:val="00B0F0"/>
          <w:sz w:val="20"/>
          <w:szCs w:val="20"/>
          <w:u w:val="single"/>
        </w:rPr>
      </w:pPr>
      <w:r w:rsidRPr="00B81F12">
        <w:rPr>
          <w:rFonts w:ascii="Arial" w:hAnsi="Arial" w:cs="Arial"/>
          <w:b/>
          <w:bCs/>
          <w:color w:val="00B0F0"/>
          <w:sz w:val="20"/>
          <w:szCs w:val="20"/>
          <w:u w:val="single"/>
        </w:rPr>
        <w:t>Suivi du patient</w:t>
      </w:r>
    </w:p>
    <w:p w14:paraId="339D6EBB" w14:textId="77777777" w:rsidR="00ED4694" w:rsidRDefault="00ED4694" w:rsidP="00ED4694">
      <w:pPr>
        <w:pStyle w:val="Sansinterligne"/>
        <w:jc w:val="both"/>
        <w:rPr>
          <w:rFonts w:ascii="Arial" w:hAnsi="Arial" w:cs="Arial"/>
          <w:color w:val="000000" w:themeColor="text1"/>
          <w:sz w:val="20"/>
          <w:szCs w:val="20"/>
        </w:rPr>
      </w:pPr>
      <w:r w:rsidRPr="008E23D3">
        <w:rPr>
          <w:rFonts w:ascii="Arial" w:hAnsi="Arial" w:cs="Arial"/>
          <w:color w:val="000000" w:themeColor="text1"/>
          <w:sz w:val="20"/>
          <w:szCs w:val="20"/>
          <w:u w:val="single"/>
        </w:rPr>
        <w:t>Suivi</w:t>
      </w:r>
      <w:r>
        <w:rPr>
          <w:rFonts w:ascii="Arial" w:hAnsi="Arial" w:cs="Arial"/>
          <w:color w:val="000000" w:themeColor="text1"/>
          <w:sz w:val="20"/>
          <w:szCs w:val="20"/>
        </w:rPr>
        <w:t xml:space="preserve"> : </w:t>
      </w:r>
    </w:p>
    <w:p w14:paraId="39ADC1EB" w14:textId="77777777" w:rsidR="00ED4694" w:rsidRDefault="00ED4694" w:rsidP="00ED4694">
      <w:pPr>
        <w:pStyle w:val="Sansinterligne"/>
        <w:jc w:val="both"/>
        <w:rPr>
          <w:rFonts w:ascii="Arial" w:hAnsi="Arial" w:cs="Arial"/>
          <w:color w:val="000000" w:themeColor="text1"/>
          <w:sz w:val="20"/>
          <w:szCs w:val="20"/>
        </w:rPr>
      </w:pPr>
      <w:r>
        <w:rPr>
          <w:rFonts w:ascii="Arial" w:hAnsi="Arial" w:cs="Arial"/>
          <w:color w:val="000000" w:themeColor="text1"/>
          <w:sz w:val="20"/>
          <w:szCs w:val="20"/>
        </w:rPr>
        <w:t>- Tous les 3 à 4 mois : poids + tension artérielle, pieds, vécu, observance, HbA1c (abandon GAJ)</w:t>
      </w:r>
    </w:p>
    <w:p w14:paraId="59F520DF" w14:textId="77777777" w:rsidR="00ED4694" w:rsidRPr="00B81F12" w:rsidRDefault="00ED4694" w:rsidP="00ED4694">
      <w:pPr>
        <w:pStyle w:val="Sansinterligne"/>
        <w:jc w:val="both"/>
        <w:rPr>
          <w:rFonts w:ascii="Arial" w:hAnsi="Arial" w:cs="Arial"/>
          <w:color w:val="000000" w:themeColor="text1"/>
          <w:sz w:val="20"/>
          <w:szCs w:val="20"/>
        </w:rPr>
      </w:pPr>
      <w:r>
        <w:rPr>
          <w:rFonts w:ascii="Arial" w:hAnsi="Arial" w:cs="Arial"/>
          <w:color w:val="000000" w:themeColor="text1"/>
          <w:sz w:val="20"/>
          <w:szCs w:val="20"/>
        </w:rPr>
        <w:t>- Et 1 fois par an : examen clinique très approfondie (évolution poids, TA), revoir diététique du ttt, examen ophtalmologique FO, mesure de la créatininémie (DFG Cockcroft), microalbuminurie mg/h ou micrpgr/min (24h ou 9h nuit), bilan lipidique CT HDL TG LDL (obj différents et variables), examen CV / ECG (place épreuve effort), dentiste.</w:t>
      </w:r>
    </w:p>
    <w:p w14:paraId="2BFAF650" w14:textId="77777777" w:rsidR="00ED4694" w:rsidRDefault="00ED4694" w:rsidP="00ED4694">
      <w:pPr>
        <w:pStyle w:val="Sansinterligne"/>
        <w:jc w:val="both"/>
        <w:rPr>
          <w:rFonts w:ascii="Arial" w:hAnsi="Arial" w:cs="Arial"/>
          <w:color w:val="000000" w:themeColor="text1"/>
          <w:sz w:val="20"/>
          <w:szCs w:val="20"/>
        </w:rPr>
      </w:pPr>
    </w:p>
    <w:p w14:paraId="55C812BC" w14:textId="77777777" w:rsidR="00ED4694" w:rsidRPr="008E23D3" w:rsidRDefault="00ED4694" w:rsidP="00ED4694">
      <w:pPr>
        <w:pStyle w:val="Sansinterligne"/>
        <w:jc w:val="both"/>
        <w:rPr>
          <w:rFonts w:ascii="Arial" w:hAnsi="Arial" w:cs="Arial"/>
          <w:color w:val="000000" w:themeColor="text1"/>
          <w:sz w:val="20"/>
          <w:szCs w:val="20"/>
          <w:u w:val="single"/>
        </w:rPr>
      </w:pPr>
      <w:r w:rsidRPr="008E23D3">
        <w:rPr>
          <w:rFonts w:ascii="Arial" w:hAnsi="Arial" w:cs="Arial"/>
          <w:color w:val="000000" w:themeColor="text1"/>
          <w:sz w:val="20"/>
          <w:szCs w:val="20"/>
          <w:u w:val="single"/>
        </w:rPr>
        <w:t xml:space="preserve">Hypoglycémie des insulino-sécréteurs </w:t>
      </w:r>
    </w:p>
    <w:p w14:paraId="77838E8F"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Concerne les sulfamides et les glinides </w:t>
      </w:r>
    </w:p>
    <w:p w14:paraId="0D01031B"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Méconnues en général par pa</w:t>
      </w:r>
      <w:r>
        <w:rPr>
          <w:rFonts w:ascii="Arial" w:hAnsi="Arial" w:cs="Arial"/>
          <w:color w:val="000000" w:themeColor="text1"/>
          <w:sz w:val="20"/>
          <w:szCs w:val="20"/>
        </w:rPr>
        <w:t>ti</w:t>
      </w:r>
      <w:r w:rsidRPr="0063686F">
        <w:rPr>
          <w:rFonts w:ascii="Arial" w:hAnsi="Arial" w:cs="Arial"/>
          <w:color w:val="000000" w:themeColor="text1"/>
          <w:sz w:val="20"/>
          <w:szCs w:val="20"/>
        </w:rPr>
        <w:t xml:space="preserve">ents et soignants </w:t>
      </w:r>
    </w:p>
    <w:p w14:paraId="7AE0DFB9"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Importance éduca</w:t>
      </w:r>
      <w:r>
        <w:rPr>
          <w:rFonts w:ascii="Arial" w:hAnsi="Arial" w:cs="Arial"/>
          <w:color w:val="000000" w:themeColor="text1"/>
          <w:sz w:val="20"/>
          <w:szCs w:val="20"/>
        </w:rPr>
        <w:t>ti</w:t>
      </w:r>
      <w:r w:rsidRPr="0063686F">
        <w:rPr>
          <w:rFonts w:ascii="Arial" w:hAnsi="Arial" w:cs="Arial"/>
          <w:color w:val="000000" w:themeColor="text1"/>
          <w:sz w:val="20"/>
          <w:szCs w:val="20"/>
        </w:rPr>
        <w:t>on / préven</w:t>
      </w:r>
      <w:r>
        <w:rPr>
          <w:rFonts w:ascii="Arial" w:hAnsi="Arial" w:cs="Arial"/>
          <w:color w:val="000000" w:themeColor="text1"/>
          <w:sz w:val="20"/>
          <w:szCs w:val="20"/>
        </w:rPr>
        <w:t>ti</w:t>
      </w:r>
      <w:r w:rsidRPr="0063686F">
        <w:rPr>
          <w:rFonts w:ascii="Arial" w:hAnsi="Arial" w:cs="Arial"/>
          <w:color w:val="000000" w:themeColor="text1"/>
          <w:sz w:val="20"/>
          <w:szCs w:val="20"/>
        </w:rPr>
        <w:t xml:space="preserve">on </w:t>
      </w:r>
    </w:p>
    <w:p w14:paraId="1FF3AFE6" w14:textId="77777777" w:rsidR="00ED4694" w:rsidRPr="008E23D3"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A suspecter chez pa</w:t>
      </w:r>
      <w:r>
        <w:rPr>
          <w:rFonts w:ascii="Arial" w:hAnsi="Arial" w:cs="Arial"/>
          <w:color w:val="000000" w:themeColor="text1"/>
          <w:sz w:val="20"/>
          <w:szCs w:val="20"/>
        </w:rPr>
        <w:t>ti</w:t>
      </w:r>
      <w:r w:rsidRPr="0063686F">
        <w:rPr>
          <w:rFonts w:ascii="Arial" w:hAnsi="Arial" w:cs="Arial"/>
          <w:color w:val="000000" w:themeColor="text1"/>
          <w:sz w:val="20"/>
          <w:szCs w:val="20"/>
        </w:rPr>
        <w:t>ents très bien équilibrés devant</w:t>
      </w:r>
      <w:r>
        <w:rPr>
          <w:rFonts w:ascii="Arial" w:hAnsi="Arial" w:cs="Arial"/>
          <w:color w:val="000000" w:themeColor="text1"/>
          <w:sz w:val="20"/>
          <w:szCs w:val="20"/>
        </w:rPr>
        <w:t xml:space="preserve"> : </w:t>
      </w:r>
      <w:r w:rsidRPr="008E23D3">
        <w:rPr>
          <w:rFonts w:ascii="Arial" w:hAnsi="Arial" w:cs="Arial"/>
          <w:color w:val="000000" w:themeColor="text1"/>
          <w:sz w:val="20"/>
          <w:szCs w:val="20"/>
        </w:rPr>
        <w:t>coups de fa</w:t>
      </w:r>
      <w:r>
        <w:rPr>
          <w:rFonts w:ascii="Arial" w:hAnsi="Arial" w:cs="Arial"/>
          <w:color w:val="000000" w:themeColor="text1"/>
          <w:sz w:val="20"/>
          <w:szCs w:val="20"/>
        </w:rPr>
        <w:t>ti</w:t>
      </w:r>
      <w:r w:rsidRPr="008E23D3">
        <w:rPr>
          <w:rFonts w:ascii="Arial" w:hAnsi="Arial" w:cs="Arial"/>
          <w:color w:val="000000" w:themeColor="text1"/>
          <w:sz w:val="20"/>
          <w:szCs w:val="20"/>
        </w:rPr>
        <w:t>gue, malaises bizarres</w:t>
      </w:r>
      <w:r>
        <w:rPr>
          <w:rFonts w:ascii="Arial" w:hAnsi="Arial" w:cs="Arial"/>
          <w:color w:val="000000" w:themeColor="text1"/>
          <w:sz w:val="20"/>
          <w:szCs w:val="20"/>
        </w:rPr>
        <w:t xml:space="preserve">, </w:t>
      </w:r>
      <w:r w:rsidRPr="008E23D3">
        <w:rPr>
          <w:rFonts w:ascii="Arial" w:hAnsi="Arial" w:cs="Arial"/>
          <w:color w:val="000000" w:themeColor="text1"/>
          <w:sz w:val="20"/>
          <w:szCs w:val="20"/>
        </w:rPr>
        <w:t>Sueurs</w:t>
      </w:r>
      <w:r>
        <w:rPr>
          <w:rFonts w:ascii="Arial" w:hAnsi="Arial" w:cs="Arial"/>
          <w:color w:val="000000" w:themeColor="text1"/>
          <w:sz w:val="20"/>
          <w:szCs w:val="20"/>
        </w:rPr>
        <w:t xml:space="preserve">, </w:t>
      </w:r>
      <w:r w:rsidRPr="008E23D3">
        <w:rPr>
          <w:rFonts w:ascii="Arial" w:hAnsi="Arial" w:cs="Arial"/>
          <w:color w:val="000000" w:themeColor="text1"/>
          <w:sz w:val="20"/>
          <w:szCs w:val="20"/>
        </w:rPr>
        <w:t>glycémie moins de 0,70g/L (17-18h, nuit)</w:t>
      </w:r>
      <w:r>
        <w:rPr>
          <w:rFonts w:ascii="Arial" w:hAnsi="Arial" w:cs="Arial"/>
          <w:color w:val="000000" w:themeColor="text1"/>
          <w:sz w:val="20"/>
          <w:szCs w:val="20"/>
        </w:rPr>
        <w:t xml:space="preserve">, </w:t>
      </w:r>
      <w:r w:rsidRPr="008E23D3">
        <w:rPr>
          <w:rFonts w:ascii="Arial" w:hAnsi="Arial" w:cs="Arial"/>
          <w:color w:val="000000" w:themeColor="text1"/>
          <w:sz w:val="20"/>
          <w:szCs w:val="20"/>
        </w:rPr>
        <w:t xml:space="preserve">après effort, repas tardif </w:t>
      </w:r>
    </w:p>
    <w:p w14:paraId="62AFCF69"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Plus graves car si sévères, plus prolongées (demi-vie) </w:t>
      </w:r>
    </w:p>
    <w:p w14:paraId="0DB4EC94"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P</w:t>
      </w:r>
      <w:r w:rsidRPr="0063686F">
        <w:rPr>
          <w:rFonts w:ascii="Arial" w:hAnsi="Arial" w:cs="Arial"/>
          <w:color w:val="000000" w:themeColor="text1"/>
          <w:sz w:val="20"/>
          <w:szCs w:val="20"/>
        </w:rPr>
        <w:t>révenir lors de l’introduc</w:t>
      </w:r>
      <w:r>
        <w:rPr>
          <w:rFonts w:ascii="Arial" w:hAnsi="Arial" w:cs="Arial"/>
          <w:color w:val="000000" w:themeColor="text1"/>
          <w:sz w:val="20"/>
          <w:szCs w:val="20"/>
        </w:rPr>
        <w:t>ti</w:t>
      </w:r>
      <w:r w:rsidRPr="0063686F">
        <w:rPr>
          <w:rFonts w:ascii="Arial" w:hAnsi="Arial" w:cs="Arial"/>
          <w:color w:val="000000" w:themeColor="text1"/>
          <w:sz w:val="20"/>
          <w:szCs w:val="20"/>
        </w:rPr>
        <w:t xml:space="preserve">on analogue GLP1 : diminuer la posologie pour la réaugmenter si nécessaire </w:t>
      </w:r>
    </w:p>
    <w:p w14:paraId="70E49FC9" w14:textId="77777777" w:rsidR="00ED4694" w:rsidRDefault="00ED4694" w:rsidP="00ED4694">
      <w:pPr>
        <w:pStyle w:val="Sansinterligne"/>
        <w:jc w:val="both"/>
        <w:rPr>
          <w:rFonts w:ascii="Arial" w:hAnsi="Arial" w:cs="Arial"/>
          <w:color w:val="000000" w:themeColor="text1"/>
          <w:sz w:val="20"/>
          <w:szCs w:val="20"/>
        </w:rPr>
      </w:pPr>
    </w:p>
    <w:p w14:paraId="0DD2E0CD" w14:textId="77777777" w:rsidR="00ED4694" w:rsidRPr="001139F8" w:rsidRDefault="00ED4694" w:rsidP="00ED4694">
      <w:pPr>
        <w:pStyle w:val="Sansinterligne"/>
        <w:jc w:val="both"/>
        <w:rPr>
          <w:rFonts w:ascii="Arial" w:hAnsi="Arial" w:cs="Arial"/>
          <w:color w:val="000000" w:themeColor="text1"/>
          <w:sz w:val="20"/>
          <w:szCs w:val="20"/>
          <w:u w:val="single"/>
        </w:rPr>
      </w:pPr>
      <w:r w:rsidRPr="001139F8">
        <w:rPr>
          <w:rFonts w:ascii="Arial" w:hAnsi="Arial" w:cs="Arial"/>
          <w:color w:val="000000" w:themeColor="text1"/>
          <w:sz w:val="20"/>
          <w:szCs w:val="20"/>
          <w:u w:val="single"/>
        </w:rPr>
        <w:t>Hypoglycémie des patients traités par insuline : patient DT2 fait des hypoglycémies</w:t>
      </w:r>
    </w:p>
    <w:p w14:paraId="6E06D8D5"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nocturnes sous NPH</w:t>
      </w:r>
      <w:r>
        <w:rPr>
          <w:rFonts w:ascii="Arial" w:hAnsi="Arial" w:cs="Arial"/>
          <w:color w:val="000000" w:themeColor="text1"/>
          <w:sz w:val="20"/>
          <w:szCs w:val="20"/>
        </w:rPr>
        <w:t xml:space="preserve"> : </w:t>
      </w:r>
      <w:r w:rsidRPr="001139F8">
        <w:rPr>
          <w:rFonts w:ascii="Arial" w:hAnsi="Arial" w:cs="Arial"/>
          <w:color w:val="000000" w:themeColor="text1"/>
          <w:sz w:val="20"/>
          <w:szCs w:val="20"/>
        </w:rPr>
        <w:t>baisser la dose de 1 en 1 unité</w:t>
      </w:r>
    </w:p>
    <w:p w14:paraId="17B964B5"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1139F8">
        <w:rPr>
          <w:rFonts w:ascii="Arial" w:hAnsi="Arial" w:cs="Arial"/>
          <w:color w:val="000000" w:themeColor="text1"/>
          <w:sz w:val="20"/>
          <w:szCs w:val="20"/>
        </w:rPr>
        <w:t xml:space="preserve">fin de journée </w:t>
      </w:r>
    </w:p>
    <w:p w14:paraId="3E593B03" w14:textId="77777777" w:rsidR="00ED4694" w:rsidRDefault="00ED4694" w:rsidP="00ED4694">
      <w:pPr>
        <w:pStyle w:val="Sansinterligne"/>
        <w:numPr>
          <w:ilvl w:val="1"/>
          <w:numId w:val="140"/>
        </w:numPr>
        <w:jc w:val="both"/>
        <w:rPr>
          <w:rFonts w:ascii="Arial" w:hAnsi="Arial" w:cs="Arial"/>
          <w:color w:val="000000" w:themeColor="text1"/>
          <w:sz w:val="20"/>
          <w:szCs w:val="20"/>
        </w:rPr>
      </w:pPr>
      <w:r w:rsidRPr="001139F8">
        <w:rPr>
          <w:rFonts w:ascii="Arial" w:hAnsi="Arial" w:cs="Arial"/>
          <w:color w:val="000000" w:themeColor="text1"/>
          <w:sz w:val="20"/>
          <w:szCs w:val="20"/>
        </w:rPr>
        <w:t xml:space="preserve">si les sulfamides présents : baisser la dose de sulfamides </w:t>
      </w:r>
    </w:p>
    <w:p w14:paraId="0039B1F8" w14:textId="77777777" w:rsidR="00ED4694" w:rsidRPr="001139F8" w:rsidRDefault="00ED4694" w:rsidP="00ED4694">
      <w:pPr>
        <w:pStyle w:val="Sansinterligne"/>
        <w:numPr>
          <w:ilvl w:val="1"/>
          <w:numId w:val="140"/>
        </w:numPr>
        <w:jc w:val="both"/>
        <w:rPr>
          <w:rFonts w:ascii="Arial" w:hAnsi="Arial" w:cs="Arial"/>
          <w:color w:val="000000" w:themeColor="text1"/>
          <w:sz w:val="20"/>
          <w:szCs w:val="20"/>
        </w:rPr>
      </w:pPr>
      <w:r w:rsidRPr="001139F8">
        <w:rPr>
          <w:rFonts w:ascii="Arial" w:hAnsi="Arial" w:cs="Arial"/>
          <w:color w:val="000000" w:themeColor="text1"/>
          <w:sz w:val="20"/>
          <w:szCs w:val="20"/>
        </w:rPr>
        <w:t xml:space="preserve">sous glargine : baisser la dose de 1 unité </w:t>
      </w:r>
    </w:p>
    <w:p w14:paraId="406D1C55" w14:textId="77777777" w:rsidR="00ED4694" w:rsidRDefault="00ED4694" w:rsidP="00ED4694">
      <w:pPr>
        <w:pStyle w:val="Sansinterligne"/>
        <w:jc w:val="both"/>
        <w:rPr>
          <w:rFonts w:ascii="Arial" w:hAnsi="Arial" w:cs="Arial"/>
          <w:color w:val="000000" w:themeColor="text1"/>
          <w:sz w:val="20"/>
          <w:szCs w:val="20"/>
        </w:rPr>
      </w:pPr>
    </w:p>
    <w:p w14:paraId="34E4CD49" w14:textId="77777777" w:rsidR="00ED4694" w:rsidRPr="001139F8" w:rsidRDefault="00ED4694" w:rsidP="00ED4694">
      <w:pPr>
        <w:pStyle w:val="Sansinterligne"/>
        <w:jc w:val="both"/>
        <w:rPr>
          <w:rFonts w:ascii="Arial" w:hAnsi="Arial" w:cs="Arial"/>
          <w:color w:val="000000" w:themeColor="text1"/>
          <w:sz w:val="20"/>
          <w:szCs w:val="20"/>
          <w:u w:val="single"/>
        </w:rPr>
      </w:pPr>
      <w:r w:rsidRPr="001139F8">
        <w:rPr>
          <w:rFonts w:ascii="Arial" w:hAnsi="Arial" w:cs="Arial"/>
          <w:color w:val="000000" w:themeColor="text1"/>
          <w:sz w:val="20"/>
          <w:szCs w:val="20"/>
          <w:u w:val="single"/>
        </w:rPr>
        <w:t xml:space="preserve">Gérer les hypoglycémies </w:t>
      </w:r>
    </w:p>
    <w:p w14:paraId="48A43AAB"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Resucrage par le patient si conscient</w:t>
      </w:r>
      <w:r>
        <w:rPr>
          <w:rFonts w:ascii="Arial" w:hAnsi="Arial" w:cs="Arial"/>
          <w:color w:val="000000" w:themeColor="text1"/>
          <w:sz w:val="20"/>
          <w:szCs w:val="20"/>
        </w:rPr>
        <w:t> :</w:t>
      </w:r>
      <w:r w:rsidRPr="0063686F">
        <w:rPr>
          <w:rFonts w:ascii="Arial" w:hAnsi="Arial" w:cs="Arial"/>
          <w:color w:val="000000" w:themeColor="text1"/>
          <w:sz w:val="20"/>
          <w:szCs w:val="20"/>
        </w:rPr>
        <w:t xml:space="preserve"> 3 sucres</w:t>
      </w:r>
      <w:r>
        <w:rPr>
          <w:rFonts w:ascii="Arial" w:hAnsi="Arial" w:cs="Arial"/>
          <w:color w:val="000000" w:themeColor="text1"/>
          <w:sz w:val="20"/>
          <w:szCs w:val="20"/>
        </w:rPr>
        <w:t xml:space="preserve"> , </w:t>
      </w:r>
      <w:r w:rsidRPr="001139F8">
        <w:rPr>
          <w:rFonts w:ascii="Arial" w:hAnsi="Arial" w:cs="Arial"/>
          <w:color w:val="000000" w:themeColor="text1"/>
          <w:sz w:val="20"/>
          <w:szCs w:val="20"/>
        </w:rPr>
        <w:t>15 cl Coca</w:t>
      </w:r>
      <w:r>
        <w:rPr>
          <w:rFonts w:ascii="Arial" w:hAnsi="Arial" w:cs="Arial"/>
          <w:color w:val="000000" w:themeColor="text1"/>
          <w:sz w:val="20"/>
          <w:szCs w:val="20"/>
        </w:rPr>
        <w:t xml:space="preserve">, </w:t>
      </w:r>
      <w:r w:rsidRPr="001139F8">
        <w:rPr>
          <w:rFonts w:ascii="Arial" w:hAnsi="Arial" w:cs="Arial"/>
          <w:color w:val="000000" w:themeColor="text1"/>
          <w:sz w:val="20"/>
          <w:szCs w:val="20"/>
        </w:rPr>
        <w:t xml:space="preserve">Adapté si patient sous insulinothérapie fonctionnelle </w:t>
      </w:r>
    </w:p>
    <w:p w14:paraId="5F6B8118"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 xml:space="preserve">Ne pas parler de « sucre » : peut rendre le patient agressif </w:t>
      </w:r>
    </w:p>
    <w:p w14:paraId="3A4460CB" w14:textId="77777777" w:rsidR="00ED4694" w:rsidRPr="0063686F" w:rsidRDefault="00ED4694" w:rsidP="00ED4694">
      <w:pPr>
        <w:pStyle w:val="Sansinterligne"/>
        <w:jc w:val="both"/>
        <w:rPr>
          <w:rFonts w:ascii="Arial" w:hAnsi="Arial" w:cs="Arial"/>
          <w:color w:val="000000" w:themeColor="text1"/>
          <w:sz w:val="20"/>
          <w:szCs w:val="20"/>
        </w:rPr>
      </w:pPr>
    </w:p>
    <w:p w14:paraId="6C4214E0" w14:textId="77777777" w:rsidR="00ED4694" w:rsidRPr="001139F8" w:rsidRDefault="00ED4694" w:rsidP="00ED4694">
      <w:pPr>
        <w:pStyle w:val="Sansinterligne"/>
        <w:jc w:val="both"/>
        <w:rPr>
          <w:rFonts w:ascii="Arial" w:hAnsi="Arial" w:cs="Arial"/>
          <w:color w:val="000000" w:themeColor="text1"/>
          <w:sz w:val="20"/>
          <w:szCs w:val="20"/>
          <w:u w:val="single"/>
        </w:rPr>
      </w:pPr>
      <w:r w:rsidRPr="001139F8">
        <w:rPr>
          <w:rFonts w:ascii="Arial" w:hAnsi="Arial" w:cs="Arial"/>
          <w:color w:val="000000" w:themeColor="text1"/>
          <w:sz w:val="20"/>
          <w:szCs w:val="20"/>
          <w:u w:val="single"/>
        </w:rPr>
        <w:t xml:space="preserve">Glucagon : Médicament liste 1, conseils utiles : </w:t>
      </w:r>
    </w:p>
    <w:p w14:paraId="3E27BA01"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GLUCAGEN KIT® (Novo Nordisk)</w:t>
      </w:r>
    </w:p>
    <w:p w14:paraId="1517901B"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Se conserve au réfrigérateur ou 18 moins température ambiante</w:t>
      </w:r>
    </w:p>
    <w:p w14:paraId="44002A2F"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Seringue pré-remplie de solvant + flacon de poudre </w:t>
      </w:r>
    </w:p>
    <w:p w14:paraId="555F26C3" w14:textId="77777777" w:rsidR="00ED4694" w:rsidRPr="001139F8" w:rsidRDefault="00ED4694" w:rsidP="00ED4694">
      <w:pPr>
        <w:pStyle w:val="Sansinterligne"/>
        <w:numPr>
          <w:ilvl w:val="0"/>
          <w:numId w:val="140"/>
        </w:numPr>
        <w:jc w:val="both"/>
        <w:rPr>
          <w:rFonts w:ascii="Arial" w:hAnsi="Arial" w:cs="Arial"/>
          <w:color w:val="000000" w:themeColor="text1"/>
          <w:sz w:val="20"/>
          <w:szCs w:val="20"/>
        </w:rPr>
      </w:pPr>
      <w:r w:rsidRPr="001139F8">
        <w:rPr>
          <w:rFonts w:ascii="Arial" w:hAnsi="Arial" w:cs="Arial"/>
          <w:color w:val="000000" w:themeColor="text1"/>
          <w:sz w:val="20"/>
          <w:szCs w:val="20"/>
        </w:rPr>
        <w:t>Indica</w:t>
      </w:r>
      <w:r>
        <w:rPr>
          <w:rFonts w:ascii="Arial" w:hAnsi="Arial" w:cs="Arial"/>
          <w:color w:val="000000" w:themeColor="text1"/>
          <w:sz w:val="20"/>
          <w:szCs w:val="20"/>
        </w:rPr>
        <w:t>ti</w:t>
      </w:r>
      <w:r w:rsidRPr="001139F8">
        <w:rPr>
          <w:rFonts w:ascii="Arial" w:hAnsi="Arial" w:cs="Arial"/>
          <w:color w:val="000000" w:themeColor="text1"/>
          <w:sz w:val="20"/>
          <w:szCs w:val="20"/>
        </w:rPr>
        <w:t xml:space="preserve">on : coma hypoglycémique </w:t>
      </w:r>
    </w:p>
    <w:p w14:paraId="3E5EF0F0"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Geste simple, peut-être réalisé par tout le monde </w:t>
      </w:r>
    </w:p>
    <w:p w14:paraId="5B4E08D1"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Efficacité en 20 minutes, au réveil, nausées, se resucrer et </w:t>
      </w:r>
      <w:r>
        <w:rPr>
          <w:rFonts w:ascii="Arial" w:hAnsi="Arial" w:cs="Arial"/>
          <w:color w:val="000000" w:themeColor="text1"/>
          <w:sz w:val="20"/>
          <w:szCs w:val="20"/>
        </w:rPr>
        <w:t>anti-émétique</w:t>
      </w:r>
      <w:r w:rsidRPr="0063686F">
        <w:rPr>
          <w:rFonts w:ascii="Arial" w:hAnsi="Arial" w:cs="Arial"/>
          <w:color w:val="000000" w:themeColor="text1"/>
          <w:sz w:val="20"/>
          <w:szCs w:val="20"/>
        </w:rPr>
        <w:t xml:space="preserve"> </w:t>
      </w:r>
    </w:p>
    <w:p w14:paraId="5BB52DC3"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Devant un pa</w:t>
      </w:r>
      <w:r>
        <w:rPr>
          <w:rFonts w:ascii="Arial" w:hAnsi="Arial" w:cs="Arial"/>
          <w:color w:val="000000" w:themeColor="text1"/>
          <w:sz w:val="20"/>
          <w:szCs w:val="20"/>
        </w:rPr>
        <w:t>tie</w:t>
      </w:r>
      <w:r w:rsidRPr="0063686F">
        <w:rPr>
          <w:rFonts w:ascii="Arial" w:hAnsi="Arial" w:cs="Arial"/>
          <w:color w:val="000000" w:themeColor="text1"/>
          <w:sz w:val="20"/>
          <w:szCs w:val="20"/>
        </w:rPr>
        <w:t xml:space="preserve">nt en coma hypoglycémique, ne pas paniquer, faire les gestes calmement, </w:t>
      </w:r>
      <w:r>
        <w:rPr>
          <w:rFonts w:ascii="Arial" w:hAnsi="Arial" w:cs="Arial"/>
          <w:color w:val="000000" w:themeColor="text1"/>
          <w:sz w:val="20"/>
          <w:szCs w:val="20"/>
        </w:rPr>
        <w:t>mettre</w:t>
      </w:r>
      <w:r w:rsidRPr="0063686F">
        <w:rPr>
          <w:rFonts w:ascii="Arial" w:hAnsi="Arial" w:cs="Arial"/>
          <w:color w:val="000000" w:themeColor="text1"/>
          <w:sz w:val="20"/>
          <w:szCs w:val="20"/>
        </w:rPr>
        <w:t xml:space="preserve"> en posi</w:t>
      </w:r>
      <w:r>
        <w:rPr>
          <w:rFonts w:ascii="Arial" w:hAnsi="Arial" w:cs="Arial"/>
          <w:color w:val="000000" w:themeColor="text1"/>
          <w:sz w:val="20"/>
          <w:szCs w:val="20"/>
        </w:rPr>
        <w:t>ti</w:t>
      </w:r>
      <w:r w:rsidRPr="0063686F">
        <w:rPr>
          <w:rFonts w:ascii="Arial" w:hAnsi="Arial" w:cs="Arial"/>
          <w:color w:val="000000" w:themeColor="text1"/>
          <w:sz w:val="20"/>
          <w:szCs w:val="20"/>
        </w:rPr>
        <w:t>on latérale de sécurité, injec</w:t>
      </w:r>
      <w:r>
        <w:rPr>
          <w:rFonts w:ascii="Arial" w:hAnsi="Arial" w:cs="Arial"/>
          <w:color w:val="000000" w:themeColor="text1"/>
          <w:sz w:val="20"/>
          <w:szCs w:val="20"/>
        </w:rPr>
        <w:t>ti</w:t>
      </w:r>
      <w:r w:rsidRPr="0063686F">
        <w:rPr>
          <w:rFonts w:ascii="Arial" w:hAnsi="Arial" w:cs="Arial"/>
          <w:color w:val="000000" w:themeColor="text1"/>
          <w:sz w:val="20"/>
          <w:szCs w:val="20"/>
        </w:rPr>
        <w:t xml:space="preserve">on IM de Glucagon </w:t>
      </w:r>
    </w:p>
    <w:p w14:paraId="50A98B00"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Si panique, SAMU (15)</w:t>
      </w:r>
    </w:p>
    <w:p w14:paraId="13464DD4" w14:textId="77777777" w:rsidR="00ED4694" w:rsidRPr="0063686F" w:rsidRDefault="00ED4694" w:rsidP="00ED4694">
      <w:pPr>
        <w:pStyle w:val="Sansinterligne"/>
        <w:jc w:val="both"/>
        <w:rPr>
          <w:rFonts w:ascii="Arial" w:hAnsi="Arial" w:cs="Arial"/>
          <w:color w:val="000000" w:themeColor="text1"/>
          <w:sz w:val="20"/>
          <w:szCs w:val="20"/>
        </w:rPr>
      </w:pPr>
    </w:p>
    <w:p w14:paraId="0B2474CB" w14:textId="77777777" w:rsidR="00ED4694" w:rsidRPr="001139F8" w:rsidRDefault="00ED4694" w:rsidP="00ED4694">
      <w:pPr>
        <w:pStyle w:val="Sansinterligne"/>
        <w:jc w:val="both"/>
        <w:rPr>
          <w:rFonts w:ascii="Arial" w:hAnsi="Arial" w:cs="Arial"/>
          <w:color w:val="000000" w:themeColor="text1"/>
          <w:sz w:val="20"/>
          <w:szCs w:val="20"/>
          <w:u w:val="single"/>
        </w:rPr>
      </w:pPr>
      <w:r w:rsidRPr="001139F8">
        <w:rPr>
          <w:rFonts w:ascii="Arial" w:hAnsi="Arial" w:cs="Arial"/>
          <w:color w:val="000000" w:themeColor="text1"/>
          <w:sz w:val="20"/>
          <w:szCs w:val="20"/>
          <w:u w:val="single"/>
        </w:rPr>
        <w:t xml:space="preserve">ASG dans le type 2 </w:t>
      </w:r>
    </w:p>
    <w:p w14:paraId="10A13AC2"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Pa</w:t>
      </w:r>
      <w:r>
        <w:rPr>
          <w:rFonts w:ascii="Arial" w:hAnsi="Arial" w:cs="Arial"/>
          <w:color w:val="000000" w:themeColor="text1"/>
          <w:sz w:val="20"/>
          <w:szCs w:val="20"/>
        </w:rPr>
        <w:t>ti</w:t>
      </w:r>
      <w:r w:rsidRPr="0063686F">
        <w:rPr>
          <w:rFonts w:ascii="Arial" w:hAnsi="Arial" w:cs="Arial"/>
          <w:color w:val="000000" w:themeColor="text1"/>
          <w:sz w:val="20"/>
          <w:szCs w:val="20"/>
        </w:rPr>
        <w:t xml:space="preserve">ents insulinotraités </w:t>
      </w:r>
    </w:p>
    <w:p w14:paraId="1457E1FF" w14:textId="77777777" w:rsidR="00ED4694" w:rsidRPr="001139F8" w:rsidRDefault="00ED4694" w:rsidP="00ED4694">
      <w:pPr>
        <w:pStyle w:val="Sansinterligne"/>
        <w:numPr>
          <w:ilvl w:val="0"/>
          <w:numId w:val="140"/>
        </w:numPr>
        <w:jc w:val="both"/>
        <w:rPr>
          <w:rFonts w:ascii="Arial" w:hAnsi="Arial" w:cs="Arial"/>
          <w:color w:val="000000" w:themeColor="text1"/>
          <w:sz w:val="20"/>
          <w:szCs w:val="20"/>
        </w:rPr>
      </w:pPr>
      <w:r w:rsidRPr="001139F8">
        <w:rPr>
          <w:rFonts w:ascii="Arial" w:hAnsi="Arial" w:cs="Arial"/>
          <w:color w:val="000000" w:themeColor="text1"/>
          <w:sz w:val="20"/>
          <w:szCs w:val="20"/>
        </w:rPr>
        <w:t>Pa</w:t>
      </w:r>
      <w:r>
        <w:rPr>
          <w:rFonts w:ascii="Arial" w:hAnsi="Arial" w:cs="Arial"/>
          <w:color w:val="000000" w:themeColor="text1"/>
          <w:sz w:val="20"/>
          <w:szCs w:val="20"/>
        </w:rPr>
        <w:t>ti</w:t>
      </w:r>
      <w:r w:rsidRPr="001139F8">
        <w:rPr>
          <w:rFonts w:ascii="Arial" w:hAnsi="Arial" w:cs="Arial"/>
          <w:color w:val="000000" w:themeColor="text1"/>
          <w:sz w:val="20"/>
          <w:szCs w:val="20"/>
        </w:rPr>
        <w:t xml:space="preserve">ents chez qui une insulinothérapie est envisagée à court ou moyen terme </w:t>
      </w:r>
    </w:p>
    <w:p w14:paraId="0A85ABFD"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Pa</w:t>
      </w:r>
      <w:r>
        <w:rPr>
          <w:rFonts w:ascii="Arial" w:hAnsi="Arial" w:cs="Arial"/>
          <w:color w:val="000000" w:themeColor="text1"/>
          <w:sz w:val="20"/>
          <w:szCs w:val="20"/>
        </w:rPr>
        <w:t>ti</w:t>
      </w:r>
      <w:r w:rsidRPr="0063686F">
        <w:rPr>
          <w:rFonts w:ascii="Arial" w:hAnsi="Arial" w:cs="Arial"/>
          <w:color w:val="000000" w:themeColor="text1"/>
          <w:sz w:val="20"/>
          <w:szCs w:val="20"/>
        </w:rPr>
        <w:t xml:space="preserve">ents traités par insulinosécréteurs (sulfamides ou glinides, seuls ou associés à d’autres médicaments </w:t>
      </w:r>
      <w:r w:rsidRPr="001139F8">
        <w:rPr>
          <w:rFonts w:ascii="Arial" w:hAnsi="Arial" w:cs="Arial"/>
          <w:color w:val="000000" w:themeColor="text1"/>
          <w:sz w:val="20"/>
          <w:szCs w:val="20"/>
        </w:rPr>
        <w:t xml:space="preserve">antidiabétiques), lorsque des hypoglycémies sont soupçonnées. </w:t>
      </w:r>
    </w:p>
    <w:p w14:paraId="4523ACCD" w14:textId="77777777" w:rsidR="00ED4694" w:rsidRPr="001139F8" w:rsidRDefault="00ED4694" w:rsidP="00ED4694">
      <w:pPr>
        <w:pStyle w:val="Sansinterligne"/>
        <w:numPr>
          <w:ilvl w:val="0"/>
          <w:numId w:val="140"/>
        </w:numPr>
        <w:jc w:val="both"/>
        <w:rPr>
          <w:rFonts w:ascii="Arial" w:hAnsi="Arial" w:cs="Arial"/>
          <w:color w:val="000000" w:themeColor="text1"/>
          <w:sz w:val="20"/>
          <w:szCs w:val="20"/>
        </w:rPr>
      </w:pPr>
      <w:r w:rsidRPr="001139F8">
        <w:rPr>
          <w:rFonts w:ascii="Arial" w:hAnsi="Arial" w:cs="Arial"/>
          <w:color w:val="000000" w:themeColor="text1"/>
          <w:sz w:val="20"/>
          <w:szCs w:val="20"/>
        </w:rPr>
        <w:t>L’autosurveillance glycémique n’est pas jus</w:t>
      </w:r>
      <w:r>
        <w:rPr>
          <w:rFonts w:ascii="Arial" w:hAnsi="Arial" w:cs="Arial"/>
          <w:color w:val="000000" w:themeColor="text1"/>
          <w:sz w:val="20"/>
          <w:szCs w:val="20"/>
        </w:rPr>
        <w:t>ti</w:t>
      </w:r>
      <w:r w:rsidRPr="001139F8">
        <w:rPr>
          <w:rFonts w:ascii="Arial" w:hAnsi="Arial" w:cs="Arial"/>
          <w:color w:val="000000" w:themeColor="text1"/>
          <w:sz w:val="20"/>
          <w:szCs w:val="20"/>
        </w:rPr>
        <w:t>fiée chez les pa</w:t>
      </w:r>
      <w:r>
        <w:rPr>
          <w:rFonts w:ascii="Arial" w:hAnsi="Arial" w:cs="Arial"/>
          <w:color w:val="000000" w:themeColor="text1"/>
          <w:sz w:val="20"/>
          <w:szCs w:val="20"/>
        </w:rPr>
        <w:t>ti</w:t>
      </w:r>
      <w:r w:rsidRPr="001139F8">
        <w:rPr>
          <w:rFonts w:ascii="Arial" w:hAnsi="Arial" w:cs="Arial"/>
          <w:color w:val="000000" w:themeColor="text1"/>
          <w:sz w:val="20"/>
          <w:szCs w:val="20"/>
        </w:rPr>
        <w:t>ents traités par mesures hygiéno-diété</w:t>
      </w:r>
      <w:r>
        <w:rPr>
          <w:rFonts w:ascii="Arial" w:hAnsi="Arial" w:cs="Arial"/>
          <w:color w:val="000000" w:themeColor="text1"/>
          <w:sz w:val="20"/>
          <w:szCs w:val="20"/>
        </w:rPr>
        <w:t>ti</w:t>
      </w:r>
      <w:r w:rsidRPr="001139F8">
        <w:rPr>
          <w:rFonts w:ascii="Arial" w:hAnsi="Arial" w:cs="Arial"/>
          <w:color w:val="000000" w:themeColor="text1"/>
          <w:sz w:val="20"/>
          <w:szCs w:val="20"/>
        </w:rPr>
        <w:t>ques ou me</w:t>
      </w:r>
      <w:r>
        <w:rPr>
          <w:rFonts w:ascii="Arial" w:hAnsi="Arial" w:cs="Arial"/>
          <w:color w:val="000000" w:themeColor="text1"/>
          <w:sz w:val="20"/>
          <w:szCs w:val="20"/>
        </w:rPr>
        <w:t>tf</w:t>
      </w:r>
      <w:r w:rsidRPr="001139F8">
        <w:rPr>
          <w:rFonts w:ascii="Arial" w:hAnsi="Arial" w:cs="Arial"/>
          <w:color w:val="000000" w:themeColor="text1"/>
          <w:sz w:val="20"/>
          <w:szCs w:val="20"/>
        </w:rPr>
        <w:t xml:space="preserve">ormine seule </w:t>
      </w:r>
    </w:p>
    <w:p w14:paraId="04A90E8A" w14:textId="77777777" w:rsidR="00ED4694" w:rsidRDefault="00ED4694" w:rsidP="00ED4694">
      <w:pPr>
        <w:pStyle w:val="Sansinterligne"/>
        <w:jc w:val="both"/>
        <w:rPr>
          <w:rFonts w:ascii="Arial" w:hAnsi="Arial" w:cs="Arial"/>
          <w:color w:val="000000" w:themeColor="text1"/>
          <w:sz w:val="20"/>
          <w:szCs w:val="20"/>
        </w:rPr>
      </w:pPr>
    </w:p>
    <w:p w14:paraId="649F8458" w14:textId="77777777" w:rsidR="00ED4694" w:rsidRPr="001139F8" w:rsidRDefault="00ED4694" w:rsidP="00ED4694">
      <w:pPr>
        <w:pStyle w:val="Sansinterligne"/>
        <w:jc w:val="both"/>
        <w:rPr>
          <w:rFonts w:ascii="Arial" w:hAnsi="Arial" w:cs="Arial"/>
          <w:color w:val="000000" w:themeColor="text1"/>
          <w:sz w:val="20"/>
          <w:szCs w:val="20"/>
          <w:u w:val="single"/>
        </w:rPr>
      </w:pPr>
      <w:r w:rsidRPr="001139F8">
        <w:rPr>
          <w:rFonts w:ascii="Arial" w:hAnsi="Arial" w:cs="Arial"/>
          <w:color w:val="000000" w:themeColor="text1"/>
          <w:sz w:val="20"/>
          <w:szCs w:val="20"/>
          <w:u w:val="single"/>
        </w:rPr>
        <w:t xml:space="preserve">ASG en pratique </w:t>
      </w:r>
    </w:p>
    <w:p w14:paraId="56A5175B"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La prise en charge des bandel</w:t>
      </w:r>
      <w:r>
        <w:rPr>
          <w:rFonts w:ascii="Arial" w:hAnsi="Arial" w:cs="Arial"/>
          <w:color w:val="000000" w:themeColor="text1"/>
          <w:sz w:val="20"/>
          <w:szCs w:val="20"/>
        </w:rPr>
        <w:t>ettes</w:t>
      </w:r>
      <w:r w:rsidRPr="0063686F">
        <w:rPr>
          <w:rFonts w:ascii="Arial" w:hAnsi="Arial" w:cs="Arial"/>
          <w:color w:val="000000" w:themeColor="text1"/>
          <w:sz w:val="20"/>
          <w:szCs w:val="20"/>
        </w:rPr>
        <w:t xml:space="preserve"> d’autosurveillance glycémique par l’Assurance maladie est limitée à 200 par an, à l’excep</w:t>
      </w:r>
      <w:r>
        <w:rPr>
          <w:rFonts w:ascii="Arial" w:hAnsi="Arial" w:cs="Arial"/>
          <w:color w:val="000000" w:themeColor="text1"/>
          <w:sz w:val="20"/>
          <w:szCs w:val="20"/>
        </w:rPr>
        <w:t>ti</w:t>
      </w:r>
      <w:r w:rsidRPr="0063686F">
        <w:rPr>
          <w:rFonts w:ascii="Arial" w:hAnsi="Arial" w:cs="Arial"/>
          <w:color w:val="000000" w:themeColor="text1"/>
          <w:sz w:val="20"/>
          <w:szCs w:val="20"/>
        </w:rPr>
        <w:t>on des pa</w:t>
      </w:r>
      <w:r>
        <w:rPr>
          <w:rFonts w:ascii="Arial" w:hAnsi="Arial" w:cs="Arial"/>
          <w:color w:val="000000" w:themeColor="text1"/>
          <w:sz w:val="20"/>
          <w:szCs w:val="20"/>
        </w:rPr>
        <w:t>ti</w:t>
      </w:r>
      <w:r w:rsidRPr="0063686F">
        <w:rPr>
          <w:rFonts w:ascii="Arial" w:hAnsi="Arial" w:cs="Arial"/>
          <w:color w:val="000000" w:themeColor="text1"/>
          <w:sz w:val="20"/>
          <w:szCs w:val="20"/>
        </w:rPr>
        <w:t xml:space="preserve">ents pour lesquels une insulinothérapie est en cours ou prévue à court ou moyen terme </w:t>
      </w:r>
    </w:p>
    <w:p w14:paraId="167DF3C6"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Les lecteurs de glycémie garan</w:t>
      </w:r>
      <w:r>
        <w:rPr>
          <w:rFonts w:ascii="Arial" w:hAnsi="Arial" w:cs="Arial"/>
          <w:color w:val="000000" w:themeColor="text1"/>
          <w:sz w:val="20"/>
          <w:szCs w:val="20"/>
        </w:rPr>
        <w:t>ti</w:t>
      </w:r>
      <w:r w:rsidRPr="0063686F">
        <w:rPr>
          <w:rFonts w:ascii="Arial" w:hAnsi="Arial" w:cs="Arial"/>
          <w:color w:val="000000" w:themeColor="text1"/>
          <w:sz w:val="20"/>
          <w:szCs w:val="20"/>
        </w:rPr>
        <w:t xml:space="preserve">s 4 ans par le fabricant/distributeur </w:t>
      </w:r>
    </w:p>
    <w:p w14:paraId="78FDB41D"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1139F8">
        <w:rPr>
          <w:rFonts w:ascii="Arial" w:hAnsi="Arial" w:cs="Arial"/>
          <w:color w:val="000000" w:themeColor="text1"/>
          <w:sz w:val="20"/>
          <w:szCs w:val="20"/>
        </w:rPr>
        <w:t xml:space="preserve">Un lecteur de glycémie remboursable tous les 4 ans </w:t>
      </w:r>
    </w:p>
    <w:p w14:paraId="37F3BDCA" w14:textId="77777777" w:rsidR="00ED4694" w:rsidRPr="003865FE" w:rsidRDefault="00ED4694" w:rsidP="00ED4694">
      <w:pPr>
        <w:pStyle w:val="Sansinterligne"/>
        <w:numPr>
          <w:ilvl w:val="0"/>
          <w:numId w:val="140"/>
        </w:numPr>
        <w:jc w:val="both"/>
        <w:rPr>
          <w:rFonts w:ascii="Arial" w:hAnsi="Arial" w:cs="Arial"/>
          <w:color w:val="000000" w:themeColor="text1"/>
          <w:sz w:val="20"/>
          <w:szCs w:val="20"/>
        </w:rPr>
      </w:pPr>
      <w:r w:rsidRPr="001139F8">
        <w:rPr>
          <w:rFonts w:ascii="Arial" w:hAnsi="Arial" w:cs="Arial"/>
          <w:color w:val="000000" w:themeColor="text1"/>
          <w:sz w:val="20"/>
          <w:szCs w:val="20"/>
        </w:rPr>
        <w:t xml:space="preserve">Un autopiqueur remboursable tous les ans </w:t>
      </w:r>
    </w:p>
    <w:p w14:paraId="1CC4AE99" w14:textId="77777777" w:rsidR="00ED4694" w:rsidRPr="001139F8" w:rsidRDefault="00ED4694" w:rsidP="00ED4694">
      <w:pPr>
        <w:pStyle w:val="Sansinterligne"/>
        <w:jc w:val="both"/>
        <w:rPr>
          <w:rFonts w:ascii="Arial" w:hAnsi="Arial" w:cs="Arial"/>
          <w:color w:val="000000" w:themeColor="text1"/>
          <w:sz w:val="20"/>
          <w:szCs w:val="20"/>
          <w:u w:val="single"/>
        </w:rPr>
      </w:pPr>
      <w:r w:rsidRPr="001139F8">
        <w:rPr>
          <w:rFonts w:ascii="Arial" w:hAnsi="Arial" w:cs="Arial"/>
          <w:color w:val="000000" w:themeColor="text1"/>
          <w:sz w:val="20"/>
          <w:szCs w:val="20"/>
          <w:u w:val="single"/>
        </w:rPr>
        <w:lastRenderedPageBreak/>
        <w:t xml:space="preserve">ASG dans le type 2 </w:t>
      </w:r>
    </w:p>
    <w:p w14:paraId="406AF09C"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Les glycémies importantes</w:t>
      </w:r>
      <w:r>
        <w:rPr>
          <w:rFonts w:ascii="Arial" w:hAnsi="Arial" w:cs="Arial"/>
          <w:color w:val="000000" w:themeColor="text1"/>
          <w:sz w:val="20"/>
          <w:szCs w:val="20"/>
        </w:rPr>
        <w:t xml:space="preserve"> : </w:t>
      </w:r>
      <w:r w:rsidRPr="0063686F">
        <w:rPr>
          <w:rFonts w:ascii="Arial" w:hAnsi="Arial" w:cs="Arial"/>
          <w:color w:val="000000" w:themeColor="text1"/>
          <w:sz w:val="20"/>
          <w:szCs w:val="20"/>
        </w:rPr>
        <w:t xml:space="preserve">à jeun (0,80 à 1g10), à 18h (0,70 à 1g/L) </w:t>
      </w:r>
    </w:p>
    <w:p w14:paraId="619D6005" w14:textId="77777777" w:rsidR="00ED4694" w:rsidRPr="001139F8" w:rsidRDefault="00ED4694" w:rsidP="00ED4694">
      <w:pPr>
        <w:pStyle w:val="Sansinterligne"/>
        <w:numPr>
          <w:ilvl w:val="0"/>
          <w:numId w:val="140"/>
        </w:numPr>
        <w:jc w:val="both"/>
        <w:rPr>
          <w:rFonts w:ascii="Arial" w:hAnsi="Arial" w:cs="Arial"/>
          <w:color w:val="000000" w:themeColor="text1"/>
          <w:sz w:val="20"/>
          <w:szCs w:val="20"/>
        </w:rPr>
      </w:pPr>
      <w:r w:rsidRPr="001139F8">
        <w:rPr>
          <w:rFonts w:ascii="Arial" w:hAnsi="Arial" w:cs="Arial"/>
          <w:color w:val="000000" w:themeColor="text1"/>
          <w:sz w:val="20"/>
          <w:szCs w:val="20"/>
        </w:rPr>
        <w:t>Mais aussi les post-prandiales</w:t>
      </w:r>
      <w:r>
        <w:rPr>
          <w:rFonts w:ascii="Arial" w:hAnsi="Arial" w:cs="Arial"/>
          <w:color w:val="000000" w:themeColor="text1"/>
          <w:sz w:val="20"/>
          <w:szCs w:val="20"/>
        </w:rPr>
        <w:t xml:space="preserve"> : </w:t>
      </w:r>
      <w:r w:rsidRPr="001139F8">
        <w:rPr>
          <w:rFonts w:ascii="Arial" w:hAnsi="Arial" w:cs="Arial"/>
          <w:color w:val="000000" w:themeColor="text1"/>
          <w:sz w:val="20"/>
          <w:szCs w:val="20"/>
        </w:rPr>
        <w:t xml:space="preserve">2 heures après les repas 1,40 à 1,60g/l </w:t>
      </w:r>
    </w:p>
    <w:p w14:paraId="6D79875D" w14:textId="77777777" w:rsidR="00ED4694" w:rsidRDefault="00ED4694" w:rsidP="00ED4694">
      <w:pPr>
        <w:pStyle w:val="Sansinterligne"/>
        <w:jc w:val="both"/>
        <w:rPr>
          <w:rFonts w:ascii="Arial" w:hAnsi="Arial" w:cs="Arial"/>
          <w:color w:val="000000" w:themeColor="text1"/>
          <w:sz w:val="20"/>
          <w:szCs w:val="20"/>
        </w:rPr>
      </w:pPr>
    </w:p>
    <w:p w14:paraId="6A4AFC09" w14:textId="77777777" w:rsidR="00ED4694" w:rsidRPr="001139F8" w:rsidRDefault="00ED4694" w:rsidP="00ED4694">
      <w:pPr>
        <w:pStyle w:val="Sansinterligne"/>
        <w:jc w:val="both"/>
        <w:rPr>
          <w:rFonts w:ascii="Arial" w:hAnsi="Arial" w:cs="Arial"/>
          <w:color w:val="000000" w:themeColor="text1"/>
          <w:sz w:val="20"/>
          <w:szCs w:val="20"/>
          <w:u w:val="single"/>
        </w:rPr>
      </w:pPr>
      <w:r w:rsidRPr="001139F8">
        <w:rPr>
          <w:rFonts w:ascii="Arial" w:hAnsi="Arial" w:cs="Arial"/>
          <w:color w:val="000000" w:themeColor="text1"/>
          <w:sz w:val="20"/>
          <w:szCs w:val="20"/>
          <w:u w:val="single"/>
        </w:rPr>
        <w:t xml:space="preserve">Gliptine, agoniste récepteurs GLP1 </w:t>
      </w:r>
    </w:p>
    <w:p w14:paraId="59B3CBD8" w14:textId="77777777" w:rsidR="00ED4694"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Notifications d’obstructions intestinales</w:t>
      </w:r>
    </w:p>
    <w:p w14:paraId="61A010DB" w14:textId="77777777" w:rsidR="00ED4694" w:rsidRPr="0063686F" w:rsidRDefault="00ED4694" w:rsidP="00ED4694">
      <w:pPr>
        <w:pStyle w:val="Sansinterligne"/>
        <w:numPr>
          <w:ilvl w:val="0"/>
          <w:numId w:val="140"/>
        </w:numPr>
        <w:jc w:val="both"/>
        <w:rPr>
          <w:rFonts w:ascii="Arial" w:hAnsi="Arial" w:cs="Arial"/>
          <w:color w:val="000000" w:themeColor="text1"/>
          <w:sz w:val="20"/>
          <w:szCs w:val="20"/>
        </w:rPr>
      </w:pPr>
      <w:r>
        <w:rPr>
          <w:rFonts w:ascii="Arial" w:hAnsi="Arial" w:cs="Arial"/>
          <w:color w:val="000000" w:themeColor="text1"/>
          <w:sz w:val="20"/>
          <w:szCs w:val="20"/>
        </w:rPr>
        <w:t xml:space="preserve">Remettre en cause stratégie thérapeutique si vomissement, reflux gastroœsophagien intenses, pertes de poids involontaires </w:t>
      </w:r>
    </w:p>
    <w:p w14:paraId="54B39745" w14:textId="77777777" w:rsidR="00ED4694" w:rsidRDefault="00ED4694" w:rsidP="00ED4694">
      <w:pPr>
        <w:pStyle w:val="Sansinterligne"/>
        <w:jc w:val="both"/>
        <w:rPr>
          <w:rFonts w:ascii="Arial" w:hAnsi="Arial" w:cs="Arial"/>
          <w:color w:val="000000" w:themeColor="text1"/>
          <w:sz w:val="20"/>
          <w:szCs w:val="20"/>
        </w:rPr>
      </w:pPr>
    </w:p>
    <w:p w14:paraId="08BF199F" w14:textId="77777777" w:rsidR="00ED4694" w:rsidRPr="001139F8" w:rsidRDefault="00ED4694" w:rsidP="00ED4694">
      <w:pPr>
        <w:pStyle w:val="Sansinterligne"/>
        <w:jc w:val="both"/>
        <w:rPr>
          <w:rFonts w:ascii="Arial" w:hAnsi="Arial" w:cs="Arial"/>
          <w:color w:val="000000" w:themeColor="text1"/>
          <w:sz w:val="20"/>
          <w:szCs w:val="20"/>
          <w:u w:val="single"/>
        </w:rPr>
      </w:pPr>
      <w:r w:rsidRPr="001139F8">
        <w:rPr>
          <w:rFonts w:ascii="Arial" w:hAnsi="Arial" w:cs="Arial"/>
          <w:color w:val="000000" w:themeColor="text1"/>
          <w:sz w:val="20"/>
          <w:szCs w:val="20"/>
          <w:u w:val="single"/>
        </w:rPr>
        <w:t xml:space="preserve">Message clé </w:t>
      </w:r>
    </w:p>
    <w:p w14:paraId="26469D4A" w14:textId="77777777" w:rsidR="00ED4694" w:rsidRDefault="00ED4694" w:rsidP="00ED4694">
      <w:pPr>
        <w:pStyle w:val="Sansinterligne"/>
        <w:numPr>
          <w:ilvl w:val="0"/>
          <w:numId w:val="140"/>
        </w:numPr>
        <w:jc w:val="both"/>
        <w:rPr>
          <w:rFonts w:ascii="Arial" w:hAnsi="Arial" w:cs="Arial"/>
          <w:color w:val="000000" w:themeColor="text1"/>
          <w:sz w:val="20"/>
          <w:szCs w:val="20"/>
        </w:rPr>
      </w:pPr>
      <w:r w:rsidRPr="0063686F">
        <w:rPr>
          <w:rFonts w:ascii="Arial" w:hAnsi="Arial" w:cs="Arial"/>
          <w:color w:val="000000" w:themeColor="text1"/>
          <w:sz w:val="20"/>
          <w:szCs w:val="20"/>
        </w:rPr>
        <w:t xml:space="preserve">Quelque soit le type de diabète, il n’y a pas de petit diabète </w:t>
      </w:r>
    </w:p>
    <w:p w14:paraId="7E0CE005" w14:textId="77777777" w:rsidR="00ED4694" w:rsidRPr="003865FE" w:rsidRDefault="00ED4694" w:rsidP="00ED4694">
      <w:pPr>
        <w:pStyle w:val="Sansinterligne"/>
        <w:numPr>
          <w:ilvl w:val="0"/>
          <w:numId w:val="140"/>
        </w:numPr>
        <w:jc w:val="both"/>
        <w:rPr>
          <w:rFonts w:ascii="Arial" w:hAnsi="Arial" w:cs="Arial"/>
          <w:color w:val="000000" w:themeColor="text1"/>
          <w:sz w:val="20"/>
          <w:szCs w:val="20"/>
        </w:rPr>
      </w:pPr>
      <w:r w:rsidRPr="001139F8">
        <w:rPr>
          <w:rFonts w:ascii="Arial" w:hAnsi="Arial" w:cs="Arial"/>
          <w:color w:val="000000" w:themeColor="text1"/>
          <w:sz w:val="20"/>
          <w:szCs w:val="20"/>
        </w:rPr>
        <w:t xml:space="preserve">Le pronostic du diabète en terme de complications ne tient pas au type de diabète ni au traitement, mais à la qualité du contrôle glycémique obtenu sur le long terme </w:t>
      </w:r>
    </w:p>
    <w:p w14:paraId="4EFB0C3D" w14:textId="77777777" w:rsidR="00ED4694" w:rsidRPr="0063686F" w:rsidRDefault="00ED4694" w:rsidP="00ED4694">
      <w:pPr>
        <w:pStyle w:val="Sansinterligne"/>
        <w:jc w:val="both"/>
        <w:rPr>
          <w:rFonts w:ascii="Arial" w:hAnsi="Arial" w:cs="Arial"/>
          <w:color w:val="000000" w:themeColor="text1"/>
          <w:sz w:val="20"/>
          <w:szCs w:val="20"/>
        </w:rPr>
      </w:pPr>
    </w:p>
    <w:p w14:paraId="101153B5" w14:textId="77777777" w:rsidR="00ED4694" w:rsidRPr="0063686F" w:rsidRDefault="00ED4694" w:rsidP="00ED4694">
      <w:pPr>
        <w:pStyle w:val="Sansinterligne"/>
        <w:jc w:val="both"/>
        <w:rPr>
          <w:rFonts w:ascii="Arial" w:hAnsi="Arial" w:cs="Arial"/>
          <w:color w:val="000000" w:themeColor="text1"/>
          <w:sz w:val="20"/>
          <w:szCs w:val="20"/>
        </w:rPr>
      </w:pPr>
      <w:r w:rsidRPr="0063686F">
        <w:rPr>
          <w:rFonts w:ascii="Arial" w:hAnsi="Arial" w:cs="Arial"/>
          <w:color w:val="000000" w:themeColor="text1"/>
          <w:sz w:val="20"/>
          <w:szCs w:val="20"/>
        </w:rPr>
        <w:t xml:space="preserve">• L’enjeu constant de la prise en charge du diabète de type 2 est d’éviter de graves, souvent invalidantes, et nombreuses complications souvent insidieuses telles que la microangiopathie (touchant la rétine, les nerfs, le cœur et le rein) et des complications brutales de la macroangiopathie tels que l’infarctus, l’AVC. Le diabète favorise le développement d’une insuffisance cardiaque. L’amélioration de la qualité de vie des patients diabétiques de type 2 est un enjeu important, en évitant les contraintes liées aux complications, telles que la dialyse, ou les séquelles et le handicap suite à un infarctus ou un AVC. </w:t>
      </w:r>
    </w:p>
    <w:p w14:paraId="03C50E8A" w14:textId="77777777" w:rsidR="00ED4694" w:rsidRPr="0063686F" w:rsidRDefault="00ED4694" w:rsidP="00ED4694">
      <w:pPr>
        <w:pStyle w:val="Sansinterligne"/>
        <w:jc w:val="both"/>
        <w:rPr>
          <w:rFonts w:ascii="Arial" w:hAnsi="Arial" w:cs="Arial"/>
          <w:color w:val="000000" w:themeColor="text1"/>
          <w:sz w:val="20"/>
          <w:szCs w:val="20"/>
        </w:rPr>
      </w:pPr>
      <w:r w:rsidRPr="0063686F">
        <w:rPr>
          <w:rFonts w:ascii="Arial" w:hAnsi="Arial" w:cs="Arial"/>
          <w:color w:val="000000" w:themeColor="text1"/>
          <w:sz w:val="20"/>
          <w:szCs w:val="20"/>
        </w:rPr>
        <w:t xml:space="preserve">• L’information du patient et de ses proches est également un enjeu important en favorisant une décision partagée qui tient compte des préférences du patient. L’intérêt de disposer de traitement favorisant l’adhésion du patient est majeur. La prise en charge du diabète de type 2 n’est donc pas uniquement focalisée sur le contrôle de l’HbA1c, qui n’est qu’un critère biologique de la maladie parmi d’autres critères biologiques et surtout cliniques. Le contrôle de l’HbA1c n’est pas l’unique marqueur d’une prise en charge adéquate du diabète de type 2, qui doit intégrer la prévention des complications graves, très invalidantes, à fort impact sur le système de santé, notamment la réduction du nombre d’hospitalisations pour insuffisance cardiaque, la prévention de la survenue de handicaps sévères tels que AVC et amputations, le ralentissement de la progression de l’atteinte rénale </w:t>
      </w:r>
    </w:p>
    <w:p w14:paraId="39CB780F" w14:textId="77777777" w:rsidR="00ED4694" w:rsidRDefault="00ED4694" w:rsidP="00ED4694">
      <w:pPr>
        <w:shd w:val="clear" w:color="auto" w:fill="FFFFFF"/>
        <w:rPr>
          <w:rFonts w:ascii="Arial" w:hAnsi="Arial" w:cs="Arial"/>
        </w:rPr>
      </w:pPr>
    </w:p>
    <w:p w14:paraId="4DC9AC91" w14:textId="77777777" w:rsidR="00ED4694" w:rsidRDefault="00ED4694" w:rsidP="00ED4694">
      <w:pPr>
        <w:shd w:val="clear" w:color="auto" w:fill="FFFFFF"/>
        <w:rPr>
          <w:rFonts w:ascii="Arial" w:hAnsi="Arial" w:cs="Arial"/>
        </w:rPr>
      </w:pPr>
    </w:p>
    <w:p w14:paraId="4CEE1DB4" w14:textId="77777777" w:rsidR="00ED4694" w:rsidRPr="0063686F" w:rsidRDefault="00ED4694" w:rsidP="00ED4694">
      <w:pPr>
        <w:shd w:val="clear" w:color="auto" w:fill="FFFFFF"/>
        <w:jc w:val="center"/>
        <w:rPr>
          <w:rFonts w:ascii="Arial" w:hAnsi="Arial" w:cs="Arial"/>
        </w:rPr>
      </w:pPr>
      <w:r w:rsidRPr="006D2A4A">
        <w:rPr>
          <w:rFonts w:ascii="Arial" w:hAnsi="Arial" w:cs="Arial"/>
          <w:noProof/>
          <w:color w:val="000000" w:themeColor="text1"/>
          <w:sz w:val="20"/>
          <w:szCs w:val="20"/>
        </w:rPr>
        <w:drawing>
          <wp:anchor distT="0" distB="0" distL="114300" distR="114300" simplePos="0" relativeHeight="251804672" behindDoc="1" locked="0" layoutInCell="1" allowOverlap="1" wp14:anchorId="7D373479" wp14:editId="49E4F094">
            <wp:simplePos x="0" y="0"/>
            <wp:positionH relativeFrom="column">
              <wp:posOffset>693334</wp:posOffset>
            </wp:positionH>
            <wp:positionV relativeFrom="paragraph">
              <wp:posOffset>199390</wp:posOffset>
            </wp:positionV>
            <wp:extent cx="5154930" cy="3544570"/>
            <wp:effectExtent l="0" t="0" r="1270" b="0"/>
            <wp:wrapTight wrapText="bothSides">
              <wp:wrapPolygon edited="0">
                <wp:start x="0" y="0"/>
                <wp:lineTo x="0" y="21515"/>
                <wp:lineTo x="21552" y="21515"/>
                <wp:lineTo x="21552" y="0"/>
                <wp:lineTo x="0" y="0"/>
              </wp:wrapPolygon>
            </wp:wrapTight>
            <wp:docPr id="12601015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01583"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154930" cy="3544570"/>
                    </a:xfrm>
                    <a:prstGeom prst="rect">
                      <a:avLst/>
                    </a:prstGeom>
                  </pic:spPr>
                </pic:pic>
              </a:graphicData>
            </a:graphic>
            <wp14:sizeRelH relativeFrom="page">
              <wp14:pctWidth>0</wp14:pctWidth>
            </wp14:sizeRelH>
            <wp14:sizeRelV relativeFrom="page">
              <wp14:pctHeight>0</wp14:pctHeight>
            </wp14:sizeRelV>
          </wp:anchor>
        </w:drawing>
      </w:r>
    </w:p>
    <w:p w14:paraId="65F652DD" w14:textId="77777777" w:rsidR="0088701E" w:rsidRDefault="0088701E"/>
    <w:sectPr w:rsidR="0088701E" w:rsidSect="00883F3A">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4404B"/>
    <w:multiLevelType w:val="multilevel"/>
    <w:tmpl w:val="9A10E73C"/>
    <w:lvl w:ilvl="0">
      <w:start w:val="1"/>
      <w:numFmt w:val="bullet"/>
      <w:lvlText w:val=""/>
      <w:lvlJc w:val="left"/>
      <w:pPr>
        <w:tabs>
          <w:tab w:val="num" w:pos="2911"/>
        </w:tabs>
        <w:ind w:left="2911" w:hanging="360"/>
      </w:pPr>
      <w:rPr>
        <w:rFonts w:ascii="Symbol" w:hAnsi="Symbol" w:hint="default"/>
        <w:sz w:val="20"/>
      </w:rPr>
    </w:lvl>
    <w:lvl w:ilvl="1" w:tentative="1">
      <w:start w:val="1"/>
      <w:numFmt w:val="bullet"/>
      <w:lvlText w:val=""/>
      <w:lvlJc w:val="left"/>
      <w:pPr>
        <w:tabs>
          <w:tab w:val="num" w:pos="3631"/>
        </w:tabs>
        <w:ind w:left="3631" w:hanging="360"/>
      </w:pPr>
      <w:rPr>
        <w:rFonts w:ascii="Symbol" w:hAnsi="Symbol" w:hint="default"/>
        <w:sz w:val="20"/>
      </w:rPr>
    </w:lvl>
    <w:lvl w:ilvl="2" w:tentative="1">
      <w:start w:val="1"/>
      <w:numFmt w:val="bullet"/>
      <w:lvlText w:val=""/>
      <w:lvlJc w:val="left"/>
      <w:pPr>
        <w:tabs>
          <w:tab w:val="num" w:pos="4351"/>
        </w:tabs>
        <w:ind w:left="4351" w:hanging="360"/>
      </w:pPr>
      <w:rPr>
        <w:rFonts w:ascii="Symbol" w:hAnsi="Symbol" w:hint="default"/>
        <w:sz w:val="20"/>
      </w:rPr>
    </w:lvl>
    <w:lvl w:ilvl="3" w:tentative="1">
      <w:start w:val="1"/>
      <w:numFmt w:val="bullet"/>
      <w:lvlText w:val=""/>
      <w:lvlJc w:val="left"/>
      <w:pPr>
        <w:tabs>
          <w:tab w:val="num" w:pos="5071"/>
        </w:tabs>
        <w:ind w:left="5071" w:hanging="360"/>
      </w:pPr>
      <w:rPr>
        <w:rFonts w:ascii="Symbol" w:hAnsi="Symbol" w:hint="default"/>
        <w:sz w:val="20"/>
      </w:rPr>
    </w:lvl>
    <w:lvl w:ilvl="4" w:tentative="1">
      <w:start w:val="1"/>
      <w:numFmt w:val="bullet"/>
      <w:lvlText w:val=""/>
      <w:lvlJc w:val="left"/>
      <w:pPr>
        <w:tabs>
          <w:tab w:val="num" w:pos="5791"/>
        </w:tabs>
        <w:ind w:left="5791" w:hanging="360"/>
      </w:pPr>
      <w:rPr>
        <w:rFonts w:ascii="Symbol" w:hAnsi="Symbol" w:hint="default"/>
        <w:sz w:val="20"/>
      </w:rPr>
    </w:lvl>
    <w:lvl w:ilvl="5" w:tentative="1">
      <w:start w:val="1"/>
      <w:numFmt w:val="bullet"/>
      <w:lvlText w:val=""/>
      <w:lvlJc w:val="left"/>
      <w:pPr>
        <w:tabs>
          <w:tab w:val="num" w:pos="6511"/>
        </w:tabs>
        <w:ind w:left="6511" w:hanging="360"/>
      </w:pPr>
      <w:rPr>
        <w:rFonts w:ascii="Symbol" w:hAnsi="Symbol" w:hint="default"/>
        <w:sz w:val="20"/>
      </w:rPr>
    </w:lvl>
    <w:lvl w:ilvl="6" w:tentative="1">
      <w:start w:val="1"/>
      <w:numFmt w:val="bullet"/>
      <w:lvlText w:val=""/>
      <w:lvlJc w:val="left"/>
      <w:pPr>
        <w:tabs>
          <w:tab w:val="num" w:pos="7231"/>
        </w:tabs>
        <w:ind w:left="7231" w:hanging="360"/>
      </w:pPr>
      <w:rPr>
        <w:rFonts w:ascii="Symbol" w:hAnsi="Symbol" w:hint="default"/>
        <w:sz w:val="20"/>
      </w:rPr>
    </w:lvl>
    <w:lvl w:ilvl="7" w:tentative="1">
      <w:start w:val="1"/>
      <w:numFmt w:val="bullet"/>
      <w:lvlText w:val=""/>
      <w:lvlJc w:val="left"/>
      <w:pPr>
        <w:tabs>
          <w:tab w:val="num" w:pos="7951"/>
        </w:tabs>
        <w:ind w:left="7951" w:hanging="360"/>
      </w:pPr>
      <w:rPr>
        <w:rFonts w:ascii="Symbol" w:hAnsi="Symbol" w:hint="default"/>
        <w:sz w:val="20"/>
      </w:rPr>
    </w:lvl>
    <w:lvl w:ilvl="8" w:tentative="1">
      <w:start w:val="1"/>
      <w:numFmt w:val="bullet"/>
      <w:lvlText w:val=""/>
      <w:lvlJc w:val="left"/>
      <w:pPr>
        <w:tabs>
          <w:tab w:val="num" w:pos="8671"/>
        </w:tabs>
        <w:ind w:left="8671" w:hanging="360"/>
      </w:pPr>
      <w:rPr>
        <w:rFonts w:ascii="Symbol" w:hAnsi="Symbol" w:hint="default"/>
        <w:sz w:val="20"/>
      </w:rPr>
    </w:lvl>
  </w:abstractNum>
  <w:abstractNum w:abstractNumId="1" w15:restartNumberingAfterBreak="0">
    <w:nsid w:val="01637412"/>
    <w:multiLevelType w:val="hybridMultilevel"/>
    <w:tmpl w:val="8CCE314E"/>
    <w:lvl w:ilvl="0" w:tplc="09FEAD26">
      <w:start w:val="1"/>
      <w:numFmt w:val="upperRoman"/>
      <w:lvlText w:val="%1-"/>
      <w:lvlJc w:val="left"/>
      <w:pPr>
        <w:ind w:left="1080" w:hanging="720"/>
      </w:pPr>
      <w:rPr>
        <w:rFonts w:hint="default"/>
        <w:color w:val="auto"/>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1B47E99"/>
    <w:multiLevelType w:val="hybridMultilevel"/>
    <w:tmpl w:val="24042ADA"/>
    <w:lvl w:ilvl="0" w:tplc="3884751A">
      <w:start w:val="2"/>
      <w:numFmt w:val="bullet"/>
      <w:lvlText w:val="-"/>
      <w:lvlJc w:val="left"/>
      <w:pPr>
        <w:ind w:left="36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2BC2595"/>
    <w:multiLevelType w:val="multilevel"/>
    <w:tmpl w:val="F7E80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36263AD"/>
    <w:multiLevelType w:val="multilevel"/>
    <w:tmpl w:val="4E403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36A2872"/>
    <w:multiLevelType w:val="multilevel"/>
    <w:tmpl w:val="AE8CD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36E378E"/>
    <w:multiLevelType w:val="hybridMultilevel"/>
    <w:tmpl w:val="D9C4DAFE"/>
    <w:lvl w:ilvl="0" w:tplc="D8D2A7D0">
      <w:start w:val="1"/>
      <w:numFmt w:val="decimal"/>
      <w:lvlText w:val="%1-"/>
      <w:lvlJc w:val="left"/>
      <w:pPr>
        <w:ind w:left="720" w:hanging="360"/>
      </w:pPr>
      <w:rPr>
        <w:rFonts w:hint="default"/>
        <w:color w:val="00B0F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4A304B4"/>
    <w:multiLevelType w:val="hybridMultilevel"/>
    <w:tmpl w:val="370E655C"/>
    <w:lvl w:ilvl="0" w:tplc="F26CDE60">
      <w:start w:val="1"/>
      <w:numFmt w:val="bullet"/>
      <w:lvlText w:val="-"/>
      <w:lvlJc w:val="left"/>
      <w:pPr>
        <w:ind w:left="720" w:hanging="360"/>
      </w:pPr>
      <w:rPr>
        <w:rFonts w:ascii="Aptos" w:eastAsiaTheme="minorHAnsi" w:hAnsi="Apto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4EB675B"/>
    <w:multiLevelType w:val="multilevel"/>
    <w:tmpl w:val="CC883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58D2E0A"/>
    <w:multiLevelType w:val="multilevel"/>
    <w:tmpl w:val="E2FA1C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67E3A88"/>
    <w:multiLevelType w:val="multilevel"/>
    <w:tmpl w:val="8A380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7044739"/>
    <w:multiLevelType w:val="hybridMultilevel"/>
    <w:tmpl w:val="D02474E6"/>
    <w:lvl w:ilvl="0" w:tplc="455C355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07B73144"/>
    <w:multiLevelType w:val="multilevel"/>
    <w:tmpl w:val="754C8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8D6345A"/>
    <w:multiLevelType w:val="multilevel"/>
    <w:tmpl w:val="4D36A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A8E1B4D"/>
    <w:multiLevelType w:val="multilevel"/>
    <w:tmpl w:val="FAEE35F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A9761D5"/>
    <w:multiLevelType w:val="multilevel"/>
    <w:tmpl w:val="D8106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ABE3A96"/>
    <w:multiLevelType w:val="multilevel"/>
    <w:tmpl w:val="A5123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BA73216"/>
    <w:multiLevelType w:val="multilevel"/>
    <w:tmpl w:val="6C5A5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0BF202D4"/>
    <w:multiLevelType w:val="multilevel"/>
    <w:tmpl w:val="60646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C427193"/>
    <w:multiLevelType w:val="multilevel"/>
    <w:tmpl w:val="E41A3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C7466E2"/>
    <w:multiLevelType w:val="hybridMultilevel"/>
    <w:tmpl w:val="A70E674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0CB954EB"/>
    <w:multiLevelType w:val="multilevel"/>
    <w:tmpl w:val="F67A5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D302F39"/>
    <w:multiLevelType w:val="multilevel"/>
    <w:tmpl w:val="D8362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D411A2E"/>
    <w:multiLevelType w:val="multilevel"/>
    <w:tmpl w:val="2B3882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E3C3444"/>
    <w:multiLevelType w:val="multilevel"/>
    <w:tmpl w:val="AD5C1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0E58086E"/>
    <w:multiLevelType w:val="hybridMultilevel"/>
    <w:tmpl w:val="4DC62B24"/>
    <w:lvl w:ilvl="0" w:tplc="59B2621C">
      <w:start w:val="1"/>
      <w:numFmt w:val="bullet"/>
      <w:lvlText w:val="-"/>
      <w:lvlJc w:val="left"/>
      <w:pPr>
        <w:ind w:left="36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0E5E6067"/>
    <w:multiLevelType w:val="multilevel"/>
    <w:tmpl w:val="2DE4DF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0EFF107B"/>
    <w:multiLevelType w:val="multilevel"/>
    <w:tmpl w:val="E396A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0F264815"/>
    <w:multiLevelType w:val="hybridMultilevel"/>
    <w:tmpl w:val="689203B0"/>
    <w:lvl w:ilvl="0" w:tplc="EB42DC5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0F283750"/>
    <w:multiLevelType w:val="multilevel"/>
    <w:tmpl w:val="78FCD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0F376FB7"/>
    <w:multiLevelType w:val="multilevel"/>
    <w:tmpl w:val="09487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0F63732C"/>
    <w:multiLevelType w:val="hybridMultilevel"/>
    <w:tmpl w:val="7A6615C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107209ED"/>
    <w:multiLevelType w:val="hybridMultilevel"/>
    <w:tmpl w:val="EFEA8282"/>
    <w:lvl w:ilvl="0" w:tplc="3884751A">
      <w:start w:val="2"/>
      <w:numFmt w:val="bullet"/>
      <w:lvlText w:val="-"/>
      <w:lvlJc w:val="left"/>
      <w:pPr>
        <w:ind w:left="36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107E7711"/>
    <w:multiLevelType w:val="hybridMultilevel"/>
    <w:tmpl w:val="20A8297E"/>
    <w:lvl w:ilvl="0" w:tplc="91C0F8F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10FD6620"/>
    <w:multiLevelType w:val="multilevel"/>
    <w:tmpl w:val="466C1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192424E"/>
    <w:multiLevelType w:val="hybridMultilevel"/>
    <w:tmpl w:val="2B0E2BFE"/>
    <w:lvl w:ilvl="0" w:tplc="0BF62740">
      <w:start w:val="1"/>
      <w:numFmt w:val="decimal"/>
      <w:lvlText w:val="%1."/>
      <w:lvlJc w:val="left"/>
      <w:pPr>
        <w:ind w:left="720" w:hanging="360"/>
      </w:pPr>
      <w:rPr>
        <w:rFonts w:hint="default"/>
        <w:b w:val="0"/>
        <w:bCs w:val="0"/>
        <w:color w:val="ED7D31" w:themeColor="accent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11F22C39"/>
    <w:multiLevelType w:val="multilevel"/>
    <w:tmpl w:val="7B447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13525FB6"/>
    <w:multiLevelType w:val="hybridMultilevel"/>
    <w:tmpl w:val="29E6CE7C"/>
    <w:lvl w:ilvl="0" w:tplc="3884751A">
      <w:start w:val="2"/>
      <w:numFmt w:val="bullet"/>
      <w:lvlText w:val="-"/>
      <w:lvlJc w:val="left"/>
      <w:pPr>
        <w:ind w:left="36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14BC19CA"/>
    <w:multiLevelType w:val="multilevel"/>
    <w:tmpl w:val="42E0F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15080288"/>
    <w:multiLevelType w:val="multilevel"/>
    <w:tmpl w:val="8606F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158F5657"/>
    <w:multiLevelType w:val="hybridMultilevel"/>
    <w:tmpl w:val="FD30E47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15BE6101"/>
    <w:multiLevelType w:val="multilevel"/>
    <w:tmpl w:val="39921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164453ED"/>
    <w:multiLevelType w:val="multilevel"/>
    <w:tmpl w:val="0712B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171C4694"/>
    <w:multiLevelType w:val="multilevel"/>
    <w:tmpl w:val="B8C60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7A268B8"/>
    <w:multiLevelType w:val="multilevel"/>
    <w:tmpl w:val="3724C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8244348"/>
    <w:multiLevelType w:val="multilevel"/>
    <w:tmpl w:val="DAF69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182B4D33"/>
    <w:multiLevelType w:val="multilevel"/>
    <w:tmpl w:val="DD9E7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185C30DF"/>
    <w:multiLevelType w:val="multilevel"/>
    <w:tmpl w:val="29A02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18897E09"/>
    <w:multiLevelType w:val="multilevel"/>
    <w:tmpl w:val="E4961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8A82B4C"/>
    <w:multiLevelType w:val="multilevel"/>
    <w:tmpl w:val="86248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190F138C"/>
    <w:multiLevelType w:val="multilevel"/>
    <w:tmpl w:val="4BE2B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191C7041"/>
    <w:multiLevelType w:val="multilevel"/>
    <w:tmpl w:val="9CA60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1AB2647E"/>
    <w:multiLevelType w:val="multilevel"/>
    <w:tmpl w:val="01963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1B8571E2"/>
    <w:multiLevelType w:val="multilevel"/>
    <w:tmpl w:val="6F0C8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1B897BDC"/>
    <w:multiLevelType w:val="multilevel"/>
    <w:tmpl w:val="D9D42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1D091BC7"/>
    <w:multiLevelType w:val="multilevel"/>
    <w:tmpl w:val="9224E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1DB976FB"/>
    <w:multiLevelType w:val="multilevel"/>
    <w:tmpl w:val="A96C0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1F2741F4"/>
    <w:multiLevelType w:val="multilevel"/>
    <w:tmpl w:val="BF546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1F8E4F05"/>
    <w:multiLevelType w:val="multilevel"/>
    <w:tmpl w:val="7AB03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1FDE396B"/>
    <w:multiLevelType w:val="multilevel"/>
    <w:tmpl w:val="E98C5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20A21576"/>
    <w:multiLevelType w:val="multilevel"/>
    <w:tmpl w:val="1CB26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21BB3523"/>
    <w:multiLevelType w:val="multilevel"/>
    <w:tmpl w:val="66C88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22E72AE5"/>
    <w:multiLevelType w:val="hybridMultilevel"/>
    <w:tmpl w:val="6E3205AE"/>
    <w:lvl w:ilvl="0" w:tplc="C4F0A1AA">
      <w:start w:val="1"/>
      <w:numFmt w:val="bullet"/>
      <w:lvlText w:val="-"/>
      <w:lvlJc w:val="left"/>
      <w:pPr>
        <w:ind w:left="643" w:hanging="360"/>
      </w:pPr>
      <w:rPr>
        <w:rFonts w:ascii="Aptos" w:eastAsiaTheme="minorHAnsi" w:hAnsi="Apto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23BD3AEF"/>
    <w:multiLevelType w:val="hybridMultilevel"/>
    <w:tmpl w:val="368603E4"/>
    <w:lvl w:ilvl="0" w:tplc="F26CDE60">
      <w:start w:val="1"/>
      <w:numFmt w:val="bullet"/>
      <w:lvlText w:val="-"/>
      <w:lvlJc w:val="left"/>
      <w:pPr>
        <w:ind w:left="360" w:hanging="360"/>
      </w:pPr>
      <w:rPr>
        <w:rFonts w:ascii="Aptos" w:eastAsiaTheme="minorHAnsi" w:hAnsi="Apto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243C4189"/>
    <w:multiLevelType w:val="multilevel"/>
    <w:tmpl w:val="DCAC6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255E51A3"/>
    <w:multiLevelType w:val="multilevel"/>
    <w:tmpl w:val="3B045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26280E70"/>
    <w:multiLevelType w:val="hybridMultilevel"/>
    <w:tmpl w:val="02A82A4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262B78B4"/>
    <w:multiLevelType w:val="hybridMultilevel"/>
    <w:tmpl w:val="FBF46FDC"/>
    <w:lvl w:ilvl="0" w:tplc="D9F2B8CA">
      <w:start w:val="1"/>
      <w:numFmt w:val="lowerLetter"/>
      <w:lvlText w:val="%1)"/>
      <w:lvlJc w:val="left"/>
      <w:pPr>
        <w:ind w:left="720" w:hanging="360"/>
      </w:pPr>
      <w:rPr>
        <w:rFonts w:hint="default"/>
        <w:color w:val="EA7C3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8" w15:restartNumberingAfterBreak="0">
    <w:nsid w:val="2680322B"/>
    <w:multiLevelType w:val="multilevel"/>
    <w:tmpl w:val="9258B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26B23732"/>
    <w:multiLevelType w:val="multilevel"/>
    <w:tmpl w:val="5F328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277F69D1"/>
    <w:multiLevelType w:val="multilevel"/>
    <w:tmpl w:val="9AA4F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7D66B2C"/>
    <w:multiLevelType w:val="multilevel"/>
    <w:tmpl w:val="81AC1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28644EE7"/>
    <w:multiLevelType w:val="hybridMultilevel"/>
    <w:tmpl w:val="79A421C8"/>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3" w15:restartNumberingAfterBreak="0">
    <w:nsid w:val="286D1D29"/>
    <w:multiLevelType w:val="hybridMultilevel"/>
    <w:tmpl w:val="AA80779C"/>
    <w:lvl w:ilvl="0" w:tplc="3884751A">
      <w:start w:val="2"/>
      <w:numFmt w:val="bullet"/>
      <w:lvlText w:val="-"/>
      <w:lvlJc w:val="left"/>
      <w:pPr>
        <w:ind w:left="36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28F57696"/>
    <w:multiLevelType w:val="hybridMultilevel"/>
    <w:tmpl w:val="C478E0E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291960E4"/>
    <w:multiLevelType w:val="multilevel"/>
    <w:tmpl w:val="BAC46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2AE37DD8"/>
    <w:multiLevelType w:val="multilevel"/>
    <w:tmpl w:val="378A2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2B1E50C7"/>
    <w:multiLevelType w:val="multilevel"/>
    <w:tmpl w:val="3CC8554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2B220199"/>
    <w:multiLevelType w:val="multilevel"/>
    <w:tmpl w:val="149640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2B3375E4"/>
    <w:multiLevelType w:val="multilevel"/>
    <w:tmpl w:val="1946F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B842A3C"/>
    <w:multiLevelType w:val="multilevel"/>
    <w:tmpl w:val="D4380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2BBC7F58"/>
    <w:multiLevelType w:val="multilevel"/>
    <w:tmpl w:val="719E4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2BE9561F"/>
    <w:multiLevelType w:val="hybridMultilevel"/>
    <w:tmpl w:val="6B74C69C"/>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2D73495A"/>
    <w:multiLevelType w:val="hybridMultilevel"/>
    <w:tmpl w:val="6E9E2750"/>
    <w:lvl w:ilvl="0" w:tplc="3716BCBC">
      <w:start w:val="2"/>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2E8E4C2F"/>
    <w:multiLevelType w:val="multilevel"/>
    <w:tmpl w:val="F3746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2EB519F2"/>
    <w:multiLevelType w:val="multilevel"/>
    <w:tmpl w:val="F7ECE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2F174618"/>
    <w:multiLevelType w:val="multilevel"/>
    <w:tmpl w:val="9970F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2F325B56"/>
    <w:multiLevelType w:val="multilevel"/>
    <w:tmpl w:val="5C769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30777548"/>
    <w:multiLevelType w:val="multilevel"/>
    <w:tmpl w:val="512EB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1537F0B"/>
    <w:multiLevelType w:val="multilevel"/>
    <w:tmpl w:val="41F84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1D8757B"/>
    <w:multiLevelType w:val="hybridMultilevel"/>
    <w:tmpl w:val="C4C09BA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1" w15:restartNumberingAfterBreak="0">
    <w:nsid w:val="32EC3F1C"/>
    <w:multiLevelType w:val="hybridMultilevel"/>
    <w:tmpl w:val="AFE2E4C6"/>
    <w:lvl w:ilvl="0" w:tplc="3716BCBC">
      <w:start w:val="2"/>
      <w:numFmt w:val="bullet"/>
      <w:lvlText w:val=""/>
      <w:lvlJc w:val="left"/>
      <w:pPr>
        <w:ind w:left="786" w:hanging="360"/>
      </w:pPr>
      <w:rPr>
        <w:rFonts w:ascii="Wingdings" w:eastAsiaTheme="minorHAnsi" w:hAnsi="Wingdings" w:cstheme="minorBidi"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92" w15:restartNumberingAfterBreak="0">
    <w:nsid w:val="33132D92"/>
    <w:multiLevelType w:val="hybridMultilevel"/>
    <w:tmpl w:val="AC8E4E0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3" w15:restartNumberingAfterBreak="0">
    <w:nsid w:val="33643328"/>
    <w:multiLevelType w:val="multilevel"/>
    <w:tmpl w:val="7408D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34CF217A"/>
    <w:multiLevelType w:val="multilevel"/>
    <w:tmpl w:val="10E8F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6547683"/>
    <w:multiLevelType w:val="hybridMultilevel"/>
    <w:tmpl w:val="7730F602"/>
    <w:lvl w:ilvl="0" w:tplc="693CB994">
      <w:start w:val="1"/>
      <w:numFmt w:val="decimal"/>
      <w:lvlText w:val="%1."/>
      <w:lvlJc w:val="left"/>
      <w:pPr>
        <w:ind w:left="720" w:hanging="360"/>
      </w:pPr>
      <w:rPr>
        <w:rFonts w:hint="default"/>
        <w:color w:val="ED7D31" w:themeColor="accent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6" w15:restartNumberingAfterBreak="0">
    <w:nsid w:val="36576945"/>
    <w:multiLevelType w:val="hybridMultilevel"/>
    <w:tmpl w:val="FEE4086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365F2537"/>
    <w:multiLevelType w:val="multilevel"/>
    <w:tmpl w:val="CB96F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7237316"/>
    <w:multiLevelType w:val="multilevel"/>
    <w:tmpl w:val="D9787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7A15B2F"/>
    <w:multiLevelType w:val="multilevel"/>
    <w:tmpl w:val="D3F63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38666F13"/>
    <w:multiLevelType w:val="hybridMultilevel"/>
    <w:tmpl w:val="F0DE2164"/>
    <w:lvl w:ilvl="0" w:tplc="A5A2CA0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1" w15:restartNumberingAfterBreak="0">
    <w:nsid w:val="388044C3"/>
    <w:multiLevelType w:val="multilevel"/>
    <w:tmpl w:val="43AEB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39790780"/>
    <w:multiLevelType w:val="hybridMultilevel"/>
    <w:tmpl w:val="DB2471F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39943364"/>
    <w:multiLevelType w:val="hybridMultilevel"/>
    <w:tmpl w:val="C96259BC"/>
    <w:lvl w:ilvl="0" w:tplc="3716BCBC">
      <w:start w:val="2"/>
      <w:numFmt w:val="bullet"/>
      <w:lvlText w:val=""/>
      <w:lvlJc w:val="left"/>
      <w:pPr>
        <w:ind w:left="720" w:hanging="36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1211"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15:restartNumberingAfterBreak="0">
    <w:nsid w:val="399F4ACF"/>
    <w:multiLevelType w:val="multilevel"/>
    <w:tmpl w:val="400A1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39F94B38"/>
    <w:multiLevelType w:val="multilevel"/>
    <w:tmpl w:val="F2E4A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3A6C7FC8"/>
    <w:multiLevelType w:val="multilevel"/>
    <w:tmpl w:val="E9F4F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3ACC5A54"/>
    <w:multiLevelType w:val="multilevel"/>
    <w:tmpl w:val="25C44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B125A9F"/>
    <w:multiLevelType w:val="multilevel"/>
    <w:tmpl w:val="B2DAC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3B4C1267"/>
    <w:multiLevelType w:val="multilevel"/>
    <w:tmpl w:val="645EF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BD219A5"/>
    <w:multiLevelType w:val="multilevel"/>
    <w:tmpl w:val="F3A83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3CB769C9"/>
    <w:multiLevelType w:val="multilevel"/>
    <w:tmpl w:val="0A469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3CC0554F"/>
    <w:multiLevelType w:val="hybridMultilevel"/>
    <w:tmpl w:val="88D035B4"/>
    <w:lvl w:ilvl="0" w:tplc="464C226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3" w15:restartNumberingAfterBreak="0">
    <w:nsid w:val="3CDB6A57"/>
    <w:multiLevelType w:val="multilevel"/>
    <w:tmpl w:val="B36259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3D1E6ED8"/>
    <w:multiLevelType w:val="multilevel"/>
    <w:tmpl w:val="4C7A68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3D5222FC"/>
    <w:multiLevelType w:val="multilevel"/>
    <w:tmpl w:val="B1E2C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3F8F005D"/>
    <w:multiLevelType w:val="multilevel"/>
    <w:tmpl w:val="3CBEB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407101C8"/>
    <w:multiLevelType w:val="multilevel"/>
    <w:tmpl w:val="F182D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40C20C95"/>
    <w:multiLevelType w:val="multilevel"/>
    <w:tmpl w:val="BDB6A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41912C93"/>
    <w:multiLevelType w:val="hybridMultilevel"/>
    <w:tmpl w:val="FEE4086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0" w15:restartNumberingAfterBreak="0">
    <w:nsid w:val="41A50DC8"/>
    <w:multiLevelType w:val="multilevel"/>
    <w:tmpl w:val="C8BE95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421D25BF"/>
    <w:multiLevelType w:val="multilevel"/>
    <w:tmpl w:val="82603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42D225EF"/>
    <w:multiLevelType w:val="hybridMultilevel"/>
    <w:tmpl w:val="559A4CBE"/>
    <w:lvl w:ilvl="0" w:tplc="3716BCBC">
      <w:start w:val="2"/>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15:restartNumberingAfterBreak="0">
    <w:nsid w:val="433515D4"/>
    <w:multiLevelType w:val="hybridMultilevel"/>
    <w:tmpl w:val="7B7CB25A"/>
    <w:lvl w:ilvl="0" w:tplc="846A41F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4" w15:restartNumberingAfterBreak="0">
    <w:nsid w:val="45C60DB4"/>
    <w:multiLevelType w:val="hybridMultilevel"/>
    <w:tmpl w:val="DEB2E6A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45D07E85"/>
    <w:multiLevelType w:val="multilevel"/>
    <w:tmpl w:val="1FB4A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45D9548D"/>
    <w:multiLevelType w:val="multilevel"/>
    <w:tmpl w:val="F87AF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45F757AF"/>
    <w:multiLevelType w:val="multilevel"/>
    <w:tmpl w:val="4BF0A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46125DE4"/>
    <w:multiLevelType w:val="multilevel"/>
    <w:tmpl w:val="A0AC8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463A6408"/>
    <w:multiLevelType w:val="hybridMultilevel"/>
    <w:tmpl w:val="A6C0A4CE"/>
    <w:lvl w:ilvl="0" w:tplc="040C0005">
      <w:start w:val="1"/>
      <w:numFmt w:val="bullet"/>
      <w:lvlText w:val=""/>
      <w:lvlJc w:val="left"/>
      <w:pPr>
        <w:ind w:left="1211" w:hanging="360"/>
      </w:pPr>
      <w:rPr>
        <w:rFonts w:ascii="Wingdings" w:hAnsi="Wingdings" w:hint="default"/>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130" w15:restartNumberingAfterBreak="0">
    <w:nsid w:val="46614954"/>
    <w:multiLevelType w:val="hybridMultilevel"/>
    <w:tmpl w:val="81981CD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1" w15:restartNumberingAfterBreak="0">
    <w:nsid w:val="46852311"/>
    <w:multiLevelType w:val="multilevel"/>
    <w:tmpl w:val="F6884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48CA39E5"/>
    <w:multiLevelType w:val="hybridMultilevel"/>
    <w:tmpl w:val="3048C918"/>
    <w:lvl w:ilvl="0" w:tplc="0A5A683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3" w15:restartNumberingAfterBreak="0">
    <w:nsid w:val="48CD27D5"/>
    <w:multiLevelType w:val="multilevel"/>
    <w:tmpl w:val="973EA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491D198B"/>
    <w:multiLevelType w:val="hybridMultilevel"/>
    <w:tmpl w:val="8EF61AD8"/>
    <w:lvl w:ilvl="0" w:tplc="D5BABA7A">
      <w:start w:val="1"/>
      <w:numFmt w:val="decimal"/>
      <w:lvlText w:val="%1."/>
      <w:lvlJc w:val="left"/>
      <w:pPr>
        <w:ind w:left="720" w:hanging="360"/>
      </w:pPr>
      <w:rPr>
        <w:rFonts w:eastAsiaTheme="minorEastAs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5" w15:restartNumberingAfterBreak="0">
    <w:nsid w:val="49DA7589"/>
    <w:multiLevelType w:val="hybridMultilevel"/>
    <w:tmpl w:val="AE4400D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15:restartNumberingAfterBreak="0">
    <w:nsid w:val="4A25213D"/>
    <w:multiLevelType w:val="multilevel"/>
    <w:tmpl w:val="C9AC5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4AE500D5"/>
    <w:multiLevelType w:val="hybridMultilevel"/>
    <w:tmpl w:val="27C076BA"/>
    <w:lvl w:ilvl="0" w:tplc="24D6993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8" w15:restartNumberingAfterBreak="0">
    <w:nsid w:val="4C133960"/>
    <w:multiLevelType w:val="multilevel"/>
    <w:tmpl w:val="C59C9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4C255D1D"/>
    <w:multiLevelType w:val="hybridMultilevel"/>
    <w:tmpl w:val="DA069F0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0" w15:restartNumberingAfterBreak="0">
    <w:nsid w:val="4C953B9C"/>
    <w:multiLevelType w:val="hybridMultilevel"/>
    <w:tmpl w:val="F29ABAC2"/>
    <w:lvl w:ilvl="0" w:tplc="52D4F0E6">
      <w:start w:val="1"/>
      <w:numFmt w:val="decimal"/>
      <w:lvlText w:val="%1-"/>
      <w:lvlJc w:val="left"/>
      <w:pPr>
        <w:ind w:left="720" w:hanging="360"/>
      </w:pPr>
      <w:rPr>
        <w:rFonts w:hint="default"/>
        <w:color w:val="00B0F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1" w15:restartNumberingAfterBreak="0">
    <w:nsid w:val="4D5740FE"/>
    <w:multiLevelType w:val="multilevel"/>
    <w:tmpl w:val="30069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4D6B4510"/>
    <w:multiLevelType w:val="hybridMultilevel"/>
    <w:tmpl w:val="C2BC4D6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3" w15:restartNumberingAfterBreak="0">
    <w:nsid w:val="4DA740E3"/>
    <w:multiLevelType w:val="hybridMultilevel"/>
    <w:tmpl w:val="B58E860C"/>
    <w:lvl w:ilvl="0" w:tplc="75EE9C5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4" w15:restartNumberingAfterBreak="0">
    <w:nsid w:val="4EF25BC7"/>
    <w:multiLevelType w:val="multilevel"/>
    <w:tmpl w:val="5680C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4EF84ADE"/>
    <w:multiLevelType w:val="multilevel"/>
    <w:tmpl w:val="BF6644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4F6E774C"/>
    <w:multiLevelType w:val="hybridMultilevel"/>
    <w:tmpl w:val="FC46A1A0"/>
    <w:lvl w:ilvl="0" w:tplc="398E52C0">
      <w:start w:val="14"/>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7" w15:restartNumberingAfterBreak="0">
    <w:nsid w:val="4F6F0A3E"/>
    <w:multiLevelType w:val="multilevel"/>
    <w:tmpl w:val="4A122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8" w15:restartNumberingAfterBreak="0">
    <w:nsid w:val="5048188B"/>
    <w:multiLevelType w:val="hybridMultilevel"/>
    <w:tmpl w:val="C958B214"/>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9" w15:restartNumberingAfterBreak="0">
    <w:nsid w:val="50E82085"/>
    <w:multiLevelType w:val="hybridMultilevel"/>
    <w:tmpl w:val="9CF857D4"/>
    <w:lvl w:ilvl="0" w:tplc="3884751A">
      <w:start w:val="2"/>
      <w:numFmt w:val="bullet"/>
      <w:lvlText w:val="-"/>
      <w:lvlJc w:val="left"/>
      <w:pPr>
        <w:ind w:left="360" w:hanging="360"/>
      </w:pPr>
      <w:rPr>
        <w:rFonts w:ascii="Arial" w:eastAsiaTheme="minorHAnsi" w:hAnsi="Arial" w:cs="Aria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51252E14"/>
    <w:multiLevelType w:val="multilevel"/>
    <w:tmpl w:val="EFAAE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522934C9"/>
    <w:multiLevelType w:val="multilevel"/>
    <w:tmpl w:val="61CAE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538C652D"/>
    <w:multiLevelType w:val="multilevel"/>
    <w:tmpl w:val="7D606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53A10709"/>
    <w:multiLevelType w:val="multilevel"/>
    <w:tmpl w:val="113EEE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53DD0E2A"/>
    <w:multiLevelType w:val="multilevel"/>
    <w:tmpl w:val="0D76C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54365266"/>
    <w:multiLevelType w:val="multilevel"/>
    <w:tmpl w:val="AC6AE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46F6D13"/>
    <w:multiLevelType w:val="multilevel"/>
    <w:tmpl w:val="67BAB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550C627B"/>
    <w:multiLevelType w:val="hybridMultilevel"/>
    <w:tmpl w:val="9A845432"/>
    <w:lvl w:ilvl="0" w:tplc="5484D9A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8" w15:restartNumberingAfterBreak="0">
    <w:nsid w:val="55EA3CCA"/>
    <w:multiLevelType w:val="multilevel"/>
    <w:tmpl w:val="A776C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56A53980"/>
    <w:multiLevelType w:val="multilevel"/>
    <w:tmpl w:val="37565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58241C82"/>
    <w:multiLevelType w:val="multilevel"/>
    <w:tmpl w:val="B20E6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1" w15:restartNumberingAfterBreak="0">
    <w:nsid w:val="58F73382"/>
    <w:multiLevelType w:val="hybridMultilevel"/>
    <w:tmpl w:val="B6206E36"/>
    <w:lvl w:ilvl="0" w:tplc="FC36374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2" w15:restartNumberingAfterBreak="0">
    <w:nsid w:val="598C0A61"/>
    <w:multiLevelType w:val="multilevel"/>
    <w:tmpl w:val="BBCE4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15:restartNumberingAfterBreak="0">
    <w:nsid w:val="59A302FF"/>
    <w:multiLevelType w:val="multilevel"/>
    <w:tmpl w:val="37145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5B1D30BC"/>
    <w:multiLevelType w:val="multilevel"/>
    <w:tmpl w:val="8FE82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5B242DD3"/>
    <w:multiLevelType w:val="multilevel"/>
    <w:tmpl w:val="6978A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5B785B58"/>
    <w:multiLevelType w:val="hybridMultilevel"/>
    <w:tmpl w:val="DB2E1A1C"/>
    <w:lvl w:ilvl="0" w:tplc="5A2A994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7" w15:restartNumberingAfterBreak="0">
    <w:nsid w:val="5BA21797"/>
    <w:multiLevelType w:val="multilevel"/>
    <w:tmpl w:val="6D5AA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5BC8484A"/>
    <w:multiLevelType w:val="hybridMultilevel"/>
    <w:tmpl w:val="5322A86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9" w15:restartNumberingAfterBreak="0">
    <w:nsid w:val="5C1E2518"/>
    <w:multiLevelType w:val="hybridMultilevel"/>
    <w:tmpl w:val="A38A7968"/>
    <w:lvl w:ilvl="0" w:tplc="3884751A">
      <w:start w:val="2"/>
      <w:numFmt w:val="bullet"/>
      <w:lvlText w:val="-"/>
      <w:lvlJc w:val="left"/>
      <w:pPr>
        <w:ind w:left="36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0" w15:restartNumberingAfterBreak="0">
    <w:nsid w:val="5D1A03AE"/>
    <w:multiLevelType w:val="hybridMultilevel"/>
    <w:tmpl w:val="EE7CCCC4"/>
    <w:lvl w:ilvl="0" w:tplc="2988AE14">
      <w:start w:val="1"/>
      <w:numFmt w:val="upperRoman"/>
      <w:lvlText w:val="%1-"/>
      <w:lvlJc w:val="left"/>
      <w:pPr>
        <w:ind w:left="1080" w:hanging="72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1" w15:restartNumberingAfterBreak="0">
    <w:nsid w:val="5D420152"/>
    <w:multiLevelType w:val="hybridMultilevel"/>
    <w:tmpl w:val="1F567126"/>
    <w:lvl w:ilvl="0" w:tplc="E312BC44">
      <w:start w:val="1"/>
      <w:numFmt w:val="bullet"/>
      <w:lvlText w:val="-"/>
      <w:lvlJc w:val="left"/>
      <w:pPr>
        <w:ind w:left="720" w:hanging="360"/>
      </w:pPr>
      <w:rPr>
        <w:rFonts w:ascii="Aptos" w:eastAsiaTheme="minorHAnsi" w:hAnsi="Apto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2" w15:restartNumberingAfterBreak="0">
    <w:nsid w:val="5D4C6E4F"/>
    <w:multiLevelType w:val="multilevel"/>
    <w:tmpl w:val="4C70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5D5B431D"/>
    <w:multiLevelType w:val="hybridMultilevel"/>
    <w:tmpl w:val="00F069FE"/>
    <w:lvl w:ilvl="0" w:tplc="3716BCBC">
      <w:start w:val="2"/>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4" w15:restartNumberingAfterBreak="0">
    <w:nsid w:val="5DD61E9B"/>
    <w:multiLevelType w:val="hybridMultilevel"/>
    <w:tmpl w:val="8C2CE4C4"/>
    <w:lvl w:ilvl="0" w:tplc="A470F2A0">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5" w15:restartNumberingAfterBreak="0">
    <w:nsid w:val="5E2B6A67"/>
    <w:multiLevelType w:val="hybridMultilevel"/>
    <w:tmpl w:val="EA625FF4"/>
    <w:lvl w:ilvl="0" w:tplc="6230665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6" w15:restartNumberingAfterBreak="0">
    <w:nsid w:val="5E7D1E9F"/>
    <w:multiLevelType w:val="hybridMultilevel"/>
    <w:tmpl w:val="464653B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7" w15:restartNumberingAfterBreak="0">
    <w:nsid w:val="5F31154D"/>
    <w:multiLevelType w:val="multilevel"/>
    <w:tmpl w:val="D9D66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5FA05704"/>
    <w:multiLevelType w:val="hybridMultilevel"/>
    <w:tmpl w:val="F4445FD2"/>
    <w:lvl w:ilvl="0" w:tplc="3884751A">
      <w:start w:val="2"/>
      <w:numFmt w:val="bullet"/>
      <w:lvlText w:val="-"/>
      <w:lvlJc w:val="left"/>
      <w:pPr>
        <w:ind w:left="36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9" w15:restartNumberingAfterBreak="0">
    <w:nsid w:val="604C0AF0"/>
    <w:multiLevelType w:val="multilevel"/>
    <w:tmpl w:val="74926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605A36CD"/>
    <w:multiLevelType w:val="multilevel"/>
    <w:tmpl w:val="2A3A6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1" w15:restartNumberingAfterBreak="0">
    <w:nsid w:val="60AE36FB"/>
    <w:multiLevelType w:val="multilevel"/>
    <w:tmpl w:val="1520EE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2" w15:restartNumberingAfterBreak="0">
    <w:nsid w:val="61F7098E"/>
    <w:multiLevelType w:val="hybridMultilevel"/>
    <w:tmpl w:val="59CAFFF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3" w15:restartNumberingAfterBreak="0">
    <w:nsid w:val="62A05633"/>
    <w:multiLevelType w:val="multilevel"/>
    <w:tmpl w:val="3C588E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62CF600A"/>
    <w:multiLevelType w:val="multilevel"/>
    <w:tmpl w:val="710C7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15:restartNumberingAfterBreak="0">
    <w:nsid w:val="63172653"/>
    <w:multiLevelType w:val="multilevel"/>
    <w:tmpl w:val="014AD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63FA2F26"/>
    <w:multiLevelType w:val="multilevel"/>
    <w:tmpl w:val="E25EF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15:restartNumberingAfterBreak="0">
    <w:nsid w:val="64363C15"/>
    <w:multiLevelType w:val="multilevel"/>
    <w:tmpl w:val="87625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64F84216"/>
    <w:multiLevelType w:val="multilevel"/>
    <w:tmpl w:val="09DEC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65E6020B"/>
    <w:multiLevelType w:val="multilevel"/>
    <w:tmpl w:val="1C040AF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0" w15:restartNumberingAfterBreak="0">
    <w:nsid w:val="662B4D15"/>
    <w:multiLevelType w:val="multilevel"/>
    <w:tmpl w:val="A86CB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662F57EC"/>
    <w:multiLevelType w:val="multilevel"/>
    <w:tmpl w:val="5C4C2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2" w15:restartNumberingAfterBreak="0">
    <w:nsid w:val="66602BB5"/>
    <w:multiLevelType w:val="hybridMultilevel"/>
    <w:tmpl w:val="AFBC3B3C"/>
    <w:lvl w:ilvl="0" w:tplc="464C2264">
      <w:start w:val="1"/>
      <w:numFmt w:val="upperRoman"/>
      <w:lvlText w:val="%1-"/>
      <w:lvlJc w:val="left"/>
      <w:pPr>
        <w:ind w:left="1080" w:hanging="720"/>
      </w:pPr>
      <w:rPr>
        <w:rFonts w:hint="default"/>
      </w:rPr>
    </w:lvl>
    <w:lvl w:ilvl="1" w:tplc="FA7E776E">
      <w:start w:val="1"/>
      <w:numFmt w:val="decimal"/>
      <w:lvlText w:val="%2)"/>
      <w:lvlJc w:val="left"/>
      <w:pPr>
        <w:ind w:left="927"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3" w15:restartNumberingAfterBreak="0">
    <w:nsid w:val="66DF473C"/>
    <w:multiLevelType w:val="multilevel"/>
    <w:tmpl w:val="0608D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4" w15:restartNumberingAfterBreak="0">
    <w:nsid w:val="6714478A"/>
    <w:multiLevelType w:val="multilevel"/>
    <w:tmpl w:val="5C824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15:restartNumberingAfterBreak="0">
    <w:nsid w:val="67474D39"/>
    <w:multiLevelType w:val="multilevel"/>
    <w:tmpl w:val="B7D624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674F7C0E"/>
    <w:multiLevelType w:val="multilevel"/>
    <w:tmpl w:val="D8C20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7" w15:restartNumberingAfterBreak="0">
    <w:nsid w:val="68153BCC"/>
    <w:multiLevelType w:val="hybridMultilevel"/>
    <w:tmpl w:val="BD8E87EA"/>
    <w:lvl w:ilvl="0" w:tplc="F26CDE60">
      <w:start w:val="1"/>
      <w:numFmt w:val="bullet"/>
      <w:lvlText w:val="-"/>
      <w:lvlJc w:val="left"/>
      <w:pPr>
        <w:ind w:left="2010" w:hanging="360"/>
      </w:pPr>
      <w:rPr>
        <w:rFonts w:ascii="Aptos" w:eastAsiaTheme="minorHAnsi" w:hAnsi="Aptos" w:cstheme="minorBidi" w:hint="default"/>
      </w:rPr>
    </w:lvl>
    <w:lvl w:ilvl="1" w:tplc="040C0003" w:tentative="1">
      <w:start w:val="1"/>
      <w:numFmt w:val="bullet"/>
      <w:lvlText w:val="o"/>
      <w:lvlJc w:val="left"/>
      <w:pPr>
        <w:ind w:left="2730" w:hanging="360"/>
      </w:pPr>
      <w:rPr>
        <w:rFonts w:ascii="Courier New" w:hAnsi="Courier New" w:cs="Courier New" w:hint="default"/>
      </w:rPr>
    </w:lvl>
    <w:lvl w:ilvl="2" w:tplc="040C0005" w:tentative="1">
      <w:start w:val="1"/>
      <w:numFmt w:val="bullet"/>
      <w:lvlText w:val=""/>
      <w:lvlJc w:val="left"/>
      <w:pPr>
        <w:ind w:left="3450" w:hanging="360"/>
      </w:pPr>
      <w:rPr>
        <w:rFonts w:ascii="Wingdings" w:hAnsi="Wingdings" w:hint="default"/>
      </w:rPr>
    </w:lvl>
    <w:lvl w:ilvl="3" w:tplc="040C0001" w:tentative="1">
      <w:start w:val="1"/>
      <w:numFmt w:val="bullet"/>
      <w:lvlText w:val=""/>
      <w:lvlJc w:val="left"/>
      <w:pPr>
        <w:ind w:left="4170" w:hanging="360"/>
      </w:pPr>
      <w:rPr>
        <w:rFonts w:ascii="Symbol" w:hAnsi="Symbol" w:hint="default"/>
      </w:rPr>
    </w:lvl>
    <w:lvl w:ilvl="4" w:tplc="040C0003" w:tentative="1">
      <w:start w:val="1"/>
      <w:numFmt w:val="bullet"/>
      <w:lvlText w:val="o"/>
      <w:lvlJc w:val="left"/>
      <w:pPr>
        <w:ind w:left="4890" w:hanging="360"/>
      </w:pPr>
      <w:rPr>
        <w:rFonts w:ascii="Courier New" w:hAnsi="Courier New" w:cs="Courier New" w:hint="default"/>
      </w:rPr>
    </w:lvl>
    <w:lvl w:ilvl="5" w:tplc="040C0005" w:tentative="1">
      <w:start w:val="1"/>
      <w:numFmt w:val="bullet"/>
      <w:lvlText w:val=""/>
      <w:lvlJc w:val="left"/>
      <w:pPr>
        <w:ind w:left="5610" w:hanging="360"/>
      </w:pPr>
      <w:rPr>
        <w:rFonts w:ascii="Wingdings" w:hAnsi="Wingdings" w:hint="default"/>
      </w:rPr>
    </w:lvl>
    <w:lvl w:ilvl="6" w:tplc="040C0001" w:tentative="1">
      <w:start w:val="1"/>
      <w:numFmt w:val="bullet"/>
      <w:lvlText w:val=""/>
      <w:lvlJc w:val="left"/>
      <w:pPr>
        <w:ind w:left="6330" w:hanging="360"/>
      </w:pPr>
      <w:rPr>
        <w:rFonts w:ascii="Symbol" w:hAnsi="Symbol" w:hint="default"/>
      </w:rPr>
    </w:lvl>
    <w:lvl w:ilvl="7" w:tplc="040C0003" w:tentative="1">
      <w:start w:val="1"/>
      <w:numFmt w:val="bullet"/>
      <w:lvlText w:val="o"/>
      <w:lvlJc w:val="left"/>
      <w:pPr>
        <w:ind w:left="7050" w:hanging="360"/>
      </w:pPr>
      <w:rPr>
        <w:rFonts w:ascii="Courier New" w:hAnsi="Courier New" w:cs="Courier New" w:hint="default"/>
      </w:rPr>
    </w:lvl>
    <w:lvl w:ilvl="8" w:tplc="040C0005" w:tentative="1">
      <w:start w:val="1"/>
      <w:numFmt w:val="bullet"/>
      <w:lvlText w:val=""/>
      <w:lvlJc w:val="left"/>
      <w:pPr>
        <w:ind w:left="7770" w:hanging="360"/>
      </w:pPr>
      <w:rPr>
        <w:rFonts w:ascii="Wingdings" w:hAnsi="Wingdings" w:hint="default"/>
      </w:rPr>
    </w:lvl>
  </w:abstractNum>
  <w:abstractNum w:abstractNumId="198" w15:restartNumberingAfterBreak="0">
    <w:nsid w:val="6845747C"/>
    <w:multiLevelType w:val="hybridMultilevel"/>
    <w:tmpl w:val="B04834C2"/>
    <w:lvl w:ilvl="0" w:tplc="0DFA8E5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9" w15:restartNumberingAfterBreak="0">
    <w:nsid w:val="689024DC"/>
    <w:multiLevelType w:val="multilevel"/>
    <w:tmpl w:val="963C0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6992586F"/>
    <w:multiLevelType w:val="hybridMultilevel"/>
    <w:tmpl w:val="50C887A8"/>
    <w:lvl w:ilvl="0" w:tplc="3884751A">
      <w:start w:val="2"/>
      <w:numFmt w:val="bullet"/>
      <w:lvlText w:val="-"/>
      <w:lvlJc w:val="left"/>
      <w:pPr>
        <w:ind w:left="360" w:hanging="360"/>
      </w:pPr>
      <w:rPr>
        <w:rFonts w:ascii="Arial" w:eastAsiaTheme="minorHAnsi" w:hAnsi="Arial" w:cs="Arial" w:hint="default"/>
      </w:rPr>
    </w:lvl>
    <w:lvl w:ilvl="1" w:tplc="040C0003">
      <w:start w:val="1"/>
      <w:numFmt w:val="bullet"/>
      <w:lvlText w:val="o"/>
      <w:lvlJc w:val="left"/>
      <w:pPr>
        <w:ind w:left="785"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1" w15:restartNumberingAfterBreak="0">
    <w:nsid w:val="69B62A46"/>
    <w:multiLevelType w:val="multilevel"/>
    <w:tmpl w:val="E1806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69F11735"/>
    <w:multiLevelType w:val="multilevel"/>
    <w:tmpl w:val="F5649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6A103650"/>
    <w:multiLevelType w:val="multilevel"/>
    <w:tmpl w:val="9E4AE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4" w15:restartNumberingAfterBreak="0">
    <w:nsid w:val="6A6C7F20"/>
    <w:multiLevelType w:val="multilevel"/>
    <w:tmpl w:val="6F4AC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5" w15:restartNumberingAfterBreak="0">
    <w:nsid w:val="6BCE1BB3"/>
    <w:multiLevelType w:val="multilevel"/>
    <w:tmpl w:val="AC5E2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6BEB6312"/>
    <w:multiLevelType w:val="hybridMultilevel"/>
    <w:tmpl w:val="7C8A3082"/>
    <w:lvl w:ilvl="0" w:tplc="464C226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7" w15:restartNumberingAfterBreak="0">
    <w:nsid w:val="6D134675"/>
    <w:multiLevelType w:val="hybridMultilevel"/>
    <w:tmpl w:val="D44018C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8" w15:restartNumberingAfterBreak="0">
    <w:nsid w:val="6DF52C31"/>
    <w:multiLevelType w:val="multilevel"/>
    <w:tmpl w:val="0F14D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9" w15:restartNumberingAfterBreak="0">
    <w:nsid w:val="6E3E1E64"/>
    <w:multiLevelType w:val="hybridMultilevel"/>
    <w:tmpl w:val="1FAA369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0" w15:restartNumberingAfterBreak="0">
    <w:nsid w:val="6E993829"/>
    <w:multiLevelType w:val="multilevel"/>
    <w:tmpl w:val="5C849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1" w15:restartNumberingAfterBreak="0">
    <w:nsid w:val="6EB323D6"/>
    <w:multiLevelType w:val="multilevel"/>
    <w:tmpl w:val="FCA87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2" w15:restartNumberingAfterBreak="0">
    <w:nsid w:val="6FB828E7"/>
    <w:multiLevelType w:val="hybridMultilevel"/>
    <w:tmpl w:val="A3E068E6"/>
    <w:lvl w:ilvl="0" w:tplc="8CDA15A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3" w15:restartNumberingAfterBreak="0">
    <w:nsid w:val="70FA7E91"/>
    <w:multiLevelType w:val="hybridMultilevel"/>
    <w:tmpl w:val="87F2AE3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4" w15:restartNumberingAfterBreak="0">
    <w:nsid w:val="724B7A00"/>
    <w:multiLevelType w:val="multilevel"/>
    <w:tmpl w:val="326A6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735D7EA4"/>
    <w:multiLevelType w:val="multilevel"/>
    <w:tmpl w:val="64102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6" w15:restartNumberingAfterBreak="0">
    <w:nsid w:val="737F2EAD"/>
    <w:multiLevelType w:val="hybridMultilevel"/>
    <w:tmpl w:val="DF5668E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7" w15:restartNumberingAfterBreak="0">
    <w:nsid w:val="74302F45"/>
    <w:multiLevelType w:val="hybridMultilevel"/>
    <w:tmpl w:val="6916CF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8" w15:restartNumberingAfterBreak="0">
    <w:nsid w:val="75B155C2"/>
    <w:multiLevelType w:val="multilevel"/>
    <w:tmpl w:val="7C6CD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9" w15:restartNumberingAfterBreak="0">
    <w:nsid w:val="768C35CA"/>
    <w:multiLevelType w:val="multilevel"/>
    <w:tmpl w:val="A4469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0" w15:restartNumberingAfterBreak="0">
    <w:nsid w:val="76B138D8"/>
    <w:multiLevelType w:val="multilevel"/>
    <w:tmpl w:val="FA286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7848297F"/>
    <w:multiLevelType w:val="hybridMultilevel"/>
    <w:tmpl w:val="3948DF1E"/>
    <w:lvl w:ilvl="0" w:tplc="3ED6242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2" w15:restartNumberingAfterBreak="0">
    <w:nsid w:val="78801B6D"/>
    <w:multiLevelType w:val="multilevel"/>
    <w:tmpl w:val="B26C5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3" w15:restartNumberingAfterBreak="0">
    <w:nsid w:val="788A15AD"/>
    <w:multiLevelType w:val="multilevel"/>
    <w:tmpl w:val="A4D06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78DF5330"/>
    <w:multiLevelType w:val="multilevel"/>
    <w:tmpl w:val="441AE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5" w15:restartNumberingAfterBreak="0">
    <w:nsid w:val="7A130065"/>
    <w:multiLevelType w:val="multilevel"/>
    <w:tmpl w:val="A7EA5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6" w15:restartNumberingAfterBreak="0">
    <w:nsid w:val="7ADD42D0"/>
    <w:multiLevelType w:val="multilevel"/>
    <w:tmpl w:val="B9081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7" w15:restartNumberingAfterBreak="0">
    <w:nsid w:val="7BC345C0"/>
    <w:multiLevelType w:val="multilevel"/>
    <w:tmpl w:val="40E87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8" w15:restartNumberingAfterBreak="0">
    <w:nsid w:val="7BEB3D80"/>
    <w:multiLevelType w:val="hybridMultilevel"/>
    <w:tmpl w:val="116C9E48"/>
    <w:lvl w:ilvl="0" w:tplc="F26CDE60">
      <w:start w:val="1"/>
      <w:numFmt w:val="bullet"/>
      <w:lvlText w:val="-"/>
      <w:lvlJc w:val="left"/>
      <w:pPr>
        <w:ind w:left="720" w:hanging="360"/>
      </w:pPr>
      <w:rPr>
        <w:rFonts w:ascii="Aptos" w:eastAsiaTheme="minorHAnsi" w:hAnsi="Apto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9" w15:restartNumberingAfterBreak="0">
    <w:nsid w:val="7C3E3422"/>
    <w:multiLevelType w:val="multilevel"/>
    <w:tmpl w:val="87BCB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0" w15:restartNumberingAfterBreak="0">
    <w:nsid w:val="7C9B2BC9"/>
    <w:multiLevelType w:val="hybridMultilevel"/>
    <w:tmpl w:val="ECBA33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1" w15:restartNumberingAfterBreak="0">
    <w:nsid w:val="7D6C5DF8"/>
    <w:multiLevelType w:val="hybridMultilevel"/>
    <w:tmpl w:val="D8ACD916"/>
    <w:lvl w:ilvl="0" w:tplc="C4405B30">
      <w:start w:val="1"/>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2" w15:restartNumberingAfterBreak="0">
    <w:nsid w:val="7DA14BF3"/>
    <w:multiLevelType w:val="multilevel"/>
    <w:tmpl w:val="BE6235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3" w15:restartNumberingAfterBreak="0">
    <w:nsid w:val="7E694692"/>
    <w:multiLevelType w:val="multilevel"/>
    <w:tmpl w:val="21FC1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4" w15:restartNumberingAfterBreak="0">
    <w:nsid w:val="7E932D6D"/>
    <w:multiLevelType w:val="multilevel"/>
    <w:tmpl w:val="F0440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5" w15:restartNumberingAfterBreak="0">
    <w:nsid w:val="7EBA7C8D"/>
    <w:multiLevelType w:val="multilevel"/>
    <w:tmpl w:val="206E6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7EC51B83"/>
    <w:multiLevelType w:val="multilevel"/>
    <w:tmpl w:val="3C18B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15:restartNumberingAfterBreak="0">
    <w:nsid w:val="7ECF2693"/>
    <w:multiLevelType w:val="multilevel"/>
    <w:tmpl w:val="18F85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7FC622AA"/>
    <w:multiLevelType w:val="multilevel"/>
    <w:tmpl w:val="0900A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90270881">
    <w:abstractNumId w:val="197"/>
  </w:num>
  <w:num w:numId="2" w16cid:durableId="2087222786">
    <w:abstractNumId w:val="171"/>
  </w:num>
  <w:num w:numId="3" w16cid:durableId="166140394">
    <w:abstractNumId w:val="62"/>
  </w:num>
  <w:num w:numId="4" w16cid:durableId="2047681266">
    <w:abstractNumId w:val="231"/>
  </w:num>
  <w:num w:numId="5" w16cid:durableId="761950572">
    <w:abstractNumId w:val="132"/>
  </w:num>
  <w:num w:numId="6" w16cid:durableId="140388278">
    <w:abstractNumId w:val="146"/>
  </w:num>
  <w:num w:numId="7" w16cid:durableId="1620212187">
    <w:abstractNumId w:val="6"/>
  </w:num>
  <w:num w:numId="8" w16cid:durableId="135993465">
    <w:abstractNumId w:val="173"/>
  </w:num>
  <w:num w:numId="9" w16cid:durableId="628822661">
    <w:abstractNumId w:val="1"/>
  </w:num>
  <w:num w:numId="10" w16cid:durableId="1767922149">
    <w:abstractNumId w:val="140"/>
  </w:num>
  <w:num w:numId="11" w16cid:durableId="96369685">
    <w:abstractNumId w:val="137"/>
  </w:num>
  <w:num w:numId="12" w16cid:durableId="26488450">
    <w:abstractNumId w:val="148"/>
  </w:num>
  <w:num w:numId="13" w16cid:durableId="9526272">
    <w:abstractNumId w:val="166"/>
  </w:num>
  <w:num w:numId="14" w16cid:durableId="377163717">
    <w:abstractNumId w:val="224"/>
  </w:num>
  <w:num w:numId="15" w16cid:durableId="1691754737">
    <w:abstractNumId w:val="107"/>
  </w:num>
  <w:num w:numId="16" w16cid:durableId="1853058768">
    <w:abstractNumId w:val="70"/>
  </w:num>
  <w:num w:numId="17" w16cid:durableId="463349122">
    <w:abstractNumId w:val="5"/>
  </w:num>
  <w:num w:numId="18" w16cid:durableId="1955595689">
    <w:abstractNumId w:val="100"/>
  </w:num>
  <w:num w:numId="19" w16cid:durableId="937831935">
    <w:abstractNumId w:val="108"/>
  </w:num>
  <w:num w:numId="20" w16cid:durableId="628588061">
    <w:abstractNumId w:val="172"/>
  </w:num>
  <w:num w:numId="21" w16cid:durableId="699623043">
    <w:abstractNumId w:val="237"/>
  </w:num>
  <w:num w:numId="22" w16cid:durableId="1677075108">
    <w:abstractNumId w:val="101"/>
  </w:num>
  <w:num w:numId="23" w16cid:durableId="838277377">
    <w:abstractNumId w:val="47"/>
  </w:num>
  <w:num w:numId="24" w16cid:durableId="1410276019">
    <w:abstractNumId w:val="203"/>
  </w:num>
  <w:num w:numId="25" w16cid:durableId="2113472481">
    <w:abstractNumId w:val="161"/>
  </w:num>
  <w:num w:numId="26" w16cid:durableId="1784956905">
    <w:abstractNumId w:val="9"/>
  </w:num>
  <w:num w:numId="27" w16cid:durableId="1172260570">
    <w:abstractNumId w:val="131"/>
  </w:num>
  <w:num w:numId="28" w16cid:durableId="1822382919">
    <w:abstractNumId w:val="155"/>
  </w:num>
  <w:num w:numId="29" w16cid:durableId="877666855">
    <w:abstractNumId w:val="69"/>
  </w:num>
  <w:num w:numId="30" w16cid:durableId="1155487618">
    <w:abstractNumId w:val="21"/>
  </w:num>
  <w:num w:numId="31" w16cid:durableId="657734469">
    <w:abstractNumId w:val="159"/>
  </w:num>
  <w:num w:numId="32" w16cid:durableId="1828940197">
    <w:abstractNumId w:val="175"/>
  </w:num>
  <w:num w:numId="33" w16cid:durableId="246304680">
    <w:abstractNumId w:val="221"/>
  </w:num>
  <w:num w:numId="34" w16cid:durableId="1646472324">
    <w:abstractNumId w:val="104"/>
  </w:num>
  <w:num w:numId="35" w16cid:durableId="232355106">
    <w:abstractNumId w:val="205"/>
  </w:num>
  <w:num w:numId="36" w16cid:durableId="1750998016">
    <w:abstractNumId w:val="201"/>
  </w:num>
  <w:num w:numId="37" w16cid:durableId="1528642517">
    <w:abstractNumId w:val="185"/>
  </w:num>
  <w:num w:numId="38" w16cid:durableId="896473120">
    <w:abstractNumId w:val="34"/>
  </w:num>
  <w:num w:numId="39" w16cid:durableId="540939818">
    <w:abstractNumId w:val="89"/>
  </w:num>
  <w:num w:numId="40" w16cid:durableId="595213006">
    <w:abstractNumId w:val="109"/>
  </w:num>
  <w:num w:numId="41" w16cid:durableId="479074766">
    <w:abstractNumId w:val="10"/>
  </w:num>
  <w:num w:numId="42" w16cid:durableId="838233252">
    <w:abstractNumId w:val="19"/>
  </w:num>
  <w:num w:numId="43" w16cid:durableId="293368844">
    <w:abstractNumId w:val="53"/>
  </w:num>
  <w:num w:numId="44" w16cid:durableId="269821162">
    <w:abstractNumId w:val="98"/>
  </w:num>
  <w:num w:numId="45" w16cid:durableId="607739180">
    <w:abstractNumId w:val="196"/>
  </w:num>
  <w:num w:numId="46" w16cid:durableId="40634518">
    <w:abstractNumId w:val="93"/>
  </w:num>
  <w:num w:numId="47" w16cid:durableId="565454119">
    <w:abstractNumId w:val="22"/>
  </w:num>
  <w:num w:numId="48" w16cid:durableId="602423947">
    <w:abstractNumId w:val="82"/>
  </w:num>
  <w:num w:numId="49" w16cid:durableId="1590507">
    <w:abstractNumId w:val="130"/>
  </w:num>
  <w:num w:numId="50" w16cid:durableId="1711374235">
    <w:abstractNumId w:val="11"/>
  </w:num>
  <w:num w:numId="51" w16cid:durableId="500120392">
    <w:abstractNumId w:val="139"/>
  </w:num>
  <w:num w:numId="52" w16cid:durableId="688992178">
    <w:abstractNumId w:val="67"/>
  </w:num>
  <w:num w:numId="53" w16cid:durableId="562562669">
    <w:abstractNumId w:val="63"/>
  </w:num>
  <w:num w:numId="54" w16cid:durableId="99495374">
    <w:abstractNumId w:val="216"/>
  </w:num>
  <w:num w:numId="55" w16cid:durableId="1625040719">
    <w:abstractNumId w:val="102"/>
  </w:num>
  <w:num w:numId="56" w16cid:durableId="1464082247">
    <w:abstractNumId w:val="157"/>
  </w:num>
  <w:num w:numId="57" w16cid:durableId="1334257311">
    <w:abstractNumId w:val="135"/>
  </w:num>
  <w:num w:numId="58" w16cid:durableId="923026497">
    <w:abstractNumId w:val="212"/>
  </w:num>
  <w:num w:numId="59" w16cid:durableId="1024675875">
    <w:abstractNumId w:val="24"/>
  </w:num>
  <w:num w:numId="60" w16cid:durableId="980617601">
    <w:abstractNumId w:val="229"/>
  </w:num>
  <w:num w:numId="61" w16cid:durableId="1022628228">
    <w:abstractNumId w:val="163"/>
  </w:num>
  <w:num w:numId="62" w16cid:durableId="1485271695">
    <w:abstractNumId w:val="61"/>
  </w:num>
  <w:num w:numId="63" w16cid:durableId="2056394929">
    <w:abstractNumId w:val="179"/>
  </w:num>
  <w:num w:numId="64" w16cid:durableId="360982869">
    <w:abstractNumId w:val="191"/>
  </w:num>
  <w:num w:numId="65" w16cid:durableId="1284731895">
    <w:abstractNumId w:val="138"/>
  </w:num>
  <w:num w:numId="66" w16cid:durableId="787310791">
    <w:abstractNumId w:val="26"/>
  </w:num>
  <w:num w:numId="67" w16cid:durableId="865097355">
    <w:abstractNumId w:val="116"/>
  </w:num>
  <w:num w:numId="68" w16cid:durableId="1903447414">
    <w:abstractNumId w:val="141"/>
  </w:num>
  <w:num w:numId="69" w16cid:durableId="962200363">
    <w:abstractNumId w:val="153"/>
  </w:num>
  <w:num w:numId="70" w16cid:durableId="1840194619">
    <w:abstractNumId w:val="177"/>
  </w:num>
  <w:num w:numId="71" w16cid:durableId="805779764">
    <w:abstractNumId w:val="152"/>
  </w:num>
  <w:num w:numId="72" w16cid:durableId="1454328130">
    <w:abstractNumId w:val="111"/>
  </w:num>
  <w:num w:numId="73" w16cid:durableId="257564619">
    <w:abstractNumId w:val="75"/>
  </w:num>
  <w:num w:numId="74" w16cid:durableId="1751778736">
    <w:abstractNumId w:val="208"/>
  </w:num>
  <w:num w:numId="75" w16cid:durableId="1091706560">
    <w:abstractNumId w:val="59"/>
  </w:num>
  <w:num w:numId="76" w16cid:durableId="381757399">
    <w:abstractNumId w:val="215"/>
  </w:num>
  <w:num w:numId="77" w16cid:durableId="1607274266">
    <w:abstractNumId w:val="81"/>
  </w:num>
  <w:num w:numId="78" w16cid:durableId="1831478601">
    <w:abstractNumId w:val="234"/>
  </w:num>
  <w:num w:numId="79" w16cid:durableId="1623415133">
    <w:abstractNumId w:val="115"/>
  </w:num>
  <w:num w:numId="80" w16cid:durableId="1724327130">
    <w:abstractNumId w:val="77"/>
  </w:num>
  <w:num w:numId="81" w16cid:durableId="915361216">
    <w:abstractNumId w:val="56"/>
  </w:num>
  <w:num w:numId="82" w16cid:durableId="1459882298">
    <w:abstractNumId w:val="36"/>
  </w:num>
  <w:num w:numId="83" w16cid:durableId="205678024">
    <w:abstractNumId w:val="55"/>
  </w:num>
  <w:num w:numId="84" w16cid:durableId="21325082">
    <w:abstractNumId w:val="150"/>
  </w:num>
  <w:num w:numId="85" w16cid:durableId="452210947">
    <w:abstractNumId w:val="156"/>
  </w:num>
  <w:num w:numId="86" w16cid:durableId="30618460">
    <w:abstractNumId w:val="230"/>
  </w:num>
  <w:num w:numId="87" w16cid:durableId="265772147">
    <w:abstractNumId w:val="217"/>
  </w:num>
  <w:num w:numId="88" w16cid:durableId="1353453460">
    <w:abstractNumId w:val="123"/>
  </w:num>
  <w:num w:numId="89" w16cid:durableId="578172082">
    <w:abstractNumId w:val="20"/>
  </w:num>
  <w:num w:numId="90" w16cid:durableId="1371807591">
    <w:abstractNumId w:val="228"/>
  </w:num>
  <w:num w:numId="91" w16cid:durableId="385221696">
    <w:abstractNumId w:val="74"/>
  </w:num>
  <w:num w:numId="92" w16cid:durableId="1336570773">
    <w:abstractNumId w:val="35"/>
  </w:num>
  <w:num w:numId="93" w16cid:durableId="485900230">
    <w:abstractNumId w:val="92"/>
  </w:num>
  <w:num w:numId="94" w16cid:durableId="216477302">
    <w:abstractNumId w:val="182"/>
  </w:num>
  <w:num w:numId="95" w16cid:durableId="2134014035">
    <w:abstractNumId w:val="90"/>
  </w:num>
  <w:num w:numId="96" w16cid:durableId="1482237965">
    <w:abstractNumId w:val="199"/>
  </w:num>
  <w:num w:numId="97" w16cid:durableId="526917341">
    <w:abstractNumId w:val="183"/>
  </w:num>
  <w:num w:numId="98" w16cid:durableId="545483750">
    <w:abstractNumId w:val="170"/>
  </w:num>
  <w:num w:numId="99" w16cid:durableId="1816601398">
    <w:abstractNumId w:val="25"/>
  </w:num>
  <w:num w:numId="100" w16cid:durableId="2043238026">
    <w:abstractNumId w:val="66"/>
  </w:num>
  <w:num w:numId="101" w16cid:durableId="1534343246">
    <w:abstractNumId w:val="124"/>
  </w:num>
  <w:num w:numId="102" w16cid:durableId="1781222305">
    <w:abstractNumId w:val="83"/>
  </w:num>
  <w:num w:numId="103" w16cid:durableId="262806694">
    <w:abstractNumId w:val="174"/>
  </w:num>
  <w:num w:numId="104" w16cid:durableId="1741757696">
    <w:abstractNumId w:val="122"/>
  </w:num>
  <w:num w:numId="105" w16cid:durableId="28839250">
    <w:abstractNumId w:val="103"/>
  </w:num>
  <w:num w:numId="106" w16cid:durableId="1439905851">
    <w:abstractNumId w:val="213"/>
  </w:num>
  <w:num w:numId="107" w16cid:durableId="1905680961">
    <w:abstractNumId w:val="91"/>
  </w:num>
  <w:num w:numId="108" w16cid:durableId="1633438219">
    <w:abstractNumId w:val="129"/>
  </w:num>
  <w:num w:numId="109" w16cid:durableId="1745450564">
    <w:abstractNumId w:val="209"/>
  </w:num>
  <w:num w:numId="110" w16cid:durableId="975377397">
    <w:abstractNumId w:val="186"/>
  </w:num>
  <w:num w:numId="111" w16cid:durableId="1178545407">
    <w:abstractNumId w:val="225"/>
  </w:num>
  <w:num w:numId="112" w16cid:durableId="47193882">
    <w:abstractNumId w:val="210"/>
  </w:num>
  <w:num w:numId="113" w16cid:durableId="362750503">
    <w:abstractNumId w:val="18"/>
  </w:num>
  <w:num w:numId="114" w16cid:durableId="199560971">
    <w:abstractNumId w:val="160"/>
  </w:num>
  <w:num w:numId="115" w16cid:durableId="1971939959">
    <w:abstractNumId w:val="214"/>
  </w:num>
  <w:num w:numId="116" w16cid:durableId="1891768129">
    <w:abstractNumId w:val="84"/>
  </w:num>
  <w:num w:numId="117" w16cid:durableId="510266969">
    <w:abstractNumId w:val="45"/>
  </w:num>
  <w:num w:numId="118" w16cid:durableId="1645113692">
    <w:abstractNumId w:val="30"/>
  </w:num>
  <w:num w:numId="119" w16cid:durableId="1591768725">
    <w:abstractNumId w:val="121"/>
  </w:num>
  <w:num w:numId="120" w16cid:durableId="1470201146">
    <w:abstractNumId w:val="219"/>
  </w:num>
  <w:num w:numId="121" w16cid:durableId="1176991335">
    <w:abstractNumId w:val="39"/>
  </w:num>
  <w:num w:numId="122" w16cid:durableId="2001733069">
    <w:abstractNumId w:val="71"/>
  </w:num>
  <w:num w:numId="123" w16cid:durableId="763919897">
    <w:abstractNumId w:val="136"/>
  </w:num>
  <w:num w:numId="124" w16cid:durableId="1434517953">
    <w:abstractNumId w:val="167"/>
  </w:num>
  <w:num w:numId="125" w16cid:durableId="2106488280">
    <w:abstractNumId w:val="233"/>
  </w:num>
  <w:num w:numId="126" w16cid:durableId="356082466">
    <w:abstractNumId w:val="226"/>
  </w:num>
  <w:num w:numId="127" w16cid:durableId="549194303">
    <w:abstractNumId w:val="12"/>
  </w:num>
  <w:num w:numId="128" w16cid:durableId="625045798">
    <w:abstractNumId w:val="128"/>
  </w:num>
  <w:num w:numId="129" w16cid:durableId="1755202495">
    <w:abstractNumId w:val="218"/>
  </w:num>
  <w:num w:numId="130" w16cid:durableId="175581153">
    <w:abstractNumId w:val="38"/>
  </w:num>
  <w:num w:numId="131" w16cid:durableId="1697340646">
    <w:abstractNumId w:val="46"/>
  </w:num>
  <w:num w:numId="132" w16cid:durableId="1209532716">
    <w:abstractNumId w:val="112"/>
  </w:num>
  <w:num w:numId="133" w16cid:durableId="654727628">
    <w:abstractNumId w:val="232"/>
  </w:num>
  <w:num w:numId="134" w16cid:durableId="965965348">
    <w:abstractNumId w:val="2"/>
  </w:num>
  <w:num w:numId="135" w16cid:durableId="1074545556">
    <w:abstractNumId w:val="149"/>
  </w:num>
  <w:num w:numId="136" w16cid:durableId="1531721456">
    <w:abstractNumId w:val="178"/>
  </w:num>
  <w:num w:numId="137" w16cid:durableId="268591641">
    <w:abstractNumId w:val="73"/>
  </w:num>
  <w:num w:numId="138" w16cid:durableId="175584309">
    <w:abstractNumId w:val="37"/>
  </w:num>
  <w:num w:numId="139" w16cid:durableId="430472489">
    <w:abstractNumId w:val="169"/>
  </w:num>
  <w:num w:numId="140" w16cid:durableId="796146363">
    <w:abstractNumId w:val="200"/>
  </w:num>
  <w:num w:numId="141" w16cid:durableId="903835341">
    <w:abstractNumId w:val="32"/>
  </w:num>
  <w:num w:numId="142" w16cid:durableId="910694259">
    <w:abstractNumId w:val="192"/>
  </w:num>
  <w:num w:numId="143" w16cid:durableId="479881964">
    <w:abstractNumId w:val="4"/>
  </w:num>
  <w:num w:numId="144" w16cid:durableId="1922906678">
    <w:abstractNumId w:val="133"/>
  </w:num>
  <w:num w:numId="145" w16cid:durableId="1958947275">
    <w:abstractNumId w:val="114"/>
  </w:num>
  <w:num w:numId="146" w16cid:durableId="832644049">
    <w:abstractNumId w:val="23"/>
  </w:num>
  <w:num w:numId="147" w16cid:durableId="694233751">
    <w:abstractNumId w:val="29"/>
  </w:num>
  <w:num w:numId="148" w16cid:durableId="102506957">
    <w:abstractNumId w:val="180"/>
  </w:num>
  <w:num w:numId="149" w16cid:durableId="770972571">
    <w:abstractNumId w:val="187"/>
  </w:num>
  <w:num w:numId="150" w16cid:durableId="656425096">
    <w:abstractNumId w:val="80"/>
  </w:num>
  <w:num w:numId="151" w16cid:durableId="1797481238">
    <w:abstractNumId w:val="51"/>
  </w:num>
  <w:num w:numId="152" w16cid:durableId="1715886791">
    <w:abstractNumId w:val="31"/>
  </w:num>
  <w:num w:numId="153" w16cid:durableId="1790737041">
    <w:abstractNumId w:val="168"/>
  </w:num>
  <w:num w:numId="154" w16cid:durableId="984700141">
    <w:abstractNumId w:val="206"/>
  </w:num>
  <w:num w:numId="155" w16cid:durableId="907761346">
    <w:abstractNumId w:val="72"/>
  </w:num>
  <w:num w:numId="156" w16cid:durableId="1363747777">
    <w:abstractNumId w:val="142"/>
  </w:num>
  <w:num w:numId="157" w16cid:durableId="101847977">
    <w:abstractNumId w:val="40"/>
  </w:num>
  <w:num w:numId="158" w16cid:durableId="749693261">
    <w:abstractNumId w:val="207"/>
  </w:num>
  <w:num w:numId="159" w16cid:durableId="2038004597">
    <w:abstractNumId w:val="7"/>
  </w:num>
  <w:num w:numId="160" w16cid:durableId="1499734143">
    <w:abstractNumId w:val="64"/>
  </w:num>
  <w:num w:numId="161" w16cid:durableId="209071513">
    <w:abstractNumId w:val="204"/>
  </w:num>
  <w:num w:numId="162" w16cid:durableId="330063805">
    <w:abstractNumId w:val="227"/>
  </w:num>
  <w:num w:numId="163" w16cid:durableId="2029403598">
    <w:abstractNumId w:val="110"/>
  </w:num>
  <w:num w:numId="164" w16cid:durableId="1433434156">
    <w:abstractNumId w:val="154"/>
  </w:num>
  <w:num w:numId="165" w16cid:durableId="1383364900">
    <w:abstractNumId w:val="68"/>
  </w:num>
  <w:num w:numId="166" w16cid:durableId="1229413451">
    <w:abstractNumId w:val="145"/>
  </w:num>
  <w:num w:numId="167" w16cid:durableId="307326445">
    <w:abstractNumId w:val="44"/>
  </w:num>
  <w:num w:numId="168" w16cid:durableId="1660888982">
    <w:abstractNumId w:val="65"/>
  </w:num>
  <w:num w:numId="169" w16cid:durableId="567499486">
    <w:abstractNumId w:val="3"/>
  </w:num>
  <w:num w:numId="170" w16cid:durableId="659966460">
    <w:abstractNumId w:val="189"/>
  </w:num>
  <w:num w:numId="171" w16cid:durableId="121197874">
    <w:abstractNumId w:val="76"/>
  </w:num>
  <w:num w:numId="172" w16cid:durableId="1525635404">
    <w:abstractNumId w:val="151"/>
  </w:num>
  <w:num w:numId="173" w16cid:durableId="1573152318">
    <w:abstractNumId w:val="57"/>
  </w:num>
  <w:num w:numId="174" w16cid:durableId="342902255">
    <w:abstractNumId w:val="236"/>
  </w:num>
  <w:num w:numId="175" w16cid:durableId="1360619499">
    <w:abstractNumId w:val="0"/>
  </w:num>
  <w:num w:numId="176" w16cid:durableId="1724595197">
    <w:abstractNumId w:val="105"/>
  </w:num>
  <w:num w:numId="177" w16cid:durableId="1209562948">
    <w:abstractNumId w:val="190"/>
  </w:num>
  <w:num w:numId="178" w16cid:durableId="1160192826">
    <w:abstractNumId w:val="195"/>
  </w:num>
  <w:num w:numId="179" w16cid:durableId="1629774703">
    <w:abstractNumId w:val="238"/>
  </w:num>
  <w:num w:numId="180" w16cid:durableId="2043629104">
    <w:abstractNumId w:val="16"/>
  </w:num>
  <w:num w:numId="181" w16cid:durableId="1931892301">
    <w:abstractNumId w:val="184"/>
  </w:num>
  <w:num w:numId="182" w16cid:durableId="303243899">
    <w:abstractNumId w:val="113"/>
  </w:num>
  <w:num w:numId="183" w16cid:durableId="2109151989">
    <w:abstractNumId w:val="54"/>
  </w:num>
  <w:num w:numId="184" w16cid:durableId="18511971">
    <w:abstractNumId w:val="194"/>
  </w:num>
  <w:num w:numId="185" w16cid:durableId="1553729780">
    <w:abstractNumId w:val="193"/>
  </w:num>
  <w:num w:numId="186" w16cid:durableId="1349067022">
    <w:abstractNumId w:val="106"/>
  </w:num>
  <w:num w:numId="187" w16cid:durableId="2023312875">
    <w:abstractNumId w:val="164"/>
  </w:num>
  <w:num w:numId="188" w16cid:durableId="93674914">
    <w:abstractNumId w:val="158"/>
  </w:num>
  <w:num w:numId="189" w16cid:durableId="679434831">
    <w:abstractNumId w:val="42"/>
  </w:num>
  <w:num w:numId="190" w16cid:durableId="1558279309">
    <w:abstractNumId w:val="27"/>
  </w:num>
  <w:num w:numId="191" w16cid:durableId="1716931249">
    <w:abstractNumId w:val="41"/>
  </w:num>
  <w:num w:numId="192" w16cid:durableId="167331096">
    <w:abstractNumId w:val="28"/>
  </w:num>
  <w:num w:numId="193" w16cid:durableId="1430155462">
    <w:abstractNumId w:val="13"/>
  </w:num>
  <w:num w:numId="194" w16cid:durableId="317002128">
    <w:abstractNumId w:val="220"/>
  </w:num>
  <w:num w:numId="195" w16cid:durableId="788201812">
    <w:abstractNumId w:val="118"/>
  </w:num>
  <w:num w:numId="196" w16cid:durableId="1390151653">
    <w:abstractNumId w:val="88"/>
  </w:num>
  <w:num w:numId="197" w16cid:durableId="1360475205">
    <w:abstractNumId w:val="120"/>
  </w:num>
  <w:num w:numId="198" w16cid:durableId="377049642">
    <w:abstractNumId w:val="126"/>
  </w:num>
  <w:num w:numId="199" w16cid:durableId="2141872268">
    <w:abstractNumId w:val="125"/>
  </w:num>
  <w:num w:numId="200" w16cid:durableId="181364251">
    <w:abstractNumId w:val="223"/>
  </w:num>
  <w:num w:numId="201" w16cid:durableId="1324551702">
    <w:abstractNumId w:val="78"/>
  </w:num>
  <w:num w:numId="202" w16cid:durableId="2049184595">
    <w:abstractNumId w:val="99"/>
  </w:num>
  <w:num w:numId="203" w16cid:durableId="1123425387">
    <w:abstractNumId w:val="235"/>
  </w:num>
  <w:num w:numId="204" w16cid:durableId="1887910062">
    <w:abstractNumId w:val="188"/>
  </w:num>
  <w:num w:numId="205" w16cid:durableId="343212971">
    <w:abstractNumId w:val="165"/>
  </w:num>
  <w:num w:numId="206" w16cid:durableId="2025354856">
    <w:abstractNumId w:val="8"/>
  </w:num>
  <w:num w:numId="207" w16cid:durableId="1926497548">
    <w:abstractNumId w:val="127"/>
  </w:num>
  <w:num w:numId="208" w16cid:durableId="536628862">
    <w:abstractNumId w:val="198"/>
  </w:num>
  <w:num w:numId="209" w16cid:durableId="1197039182">
    <w:abstractNumId w:val="95"/>
  </w:num>
  <w:num w:numId="210" w16cid:durableId="2060933419">
    <w:abstractNumId w:val="119"/>
  </w:num>
  <w:num w:numId="211" w16cid:durableId="1291353344">
    <w:abstractNumId w:val="96"/>
  </w:num>
  <w:num w:numId="212" w16cid:durableId="998273200">
    <w:abstractNumId w:val="94"/>
  </w:num>
  <w:num w:numId="213" w16cid:durableId="730885372">
    <w:abstractNumId w:val="202"/>
  </w:num>
  <w:num w:numId="214" w16cid:durableId="1332413489">
    <w:abstractNumId w:val="58"/>
  </w:num>
  <w:num w:numId="215" w16cid:durableId="103037699">
    <w:abstractNumId w:val="117"/>
  </w:num>
  <w:num w:numId="216" w16cid:durableId="1573350723">
    <w:abstractNumId w:val="52"/>
  </w:num>
  <w:num w:numId="217" w16cid:durableId="366101570">
    <w:abstractNumId w:val="86"/>
  </w:num>
  <w:num w:numId="218" w16cid:durableId="1133904381">
    <w:abstractNumId w:val="147"/>
  </w:num>
  <w:num w:numId="219" w16cid:durableId="140540799">
    <w:abstractNumId w:val="222"/>
  </w:num>
  <w:num w:numId="220" w16cid:durableId="318537663">
    <w:abstractNumId w:val="181"/>
  </w:num>
  <w:num w:numId="221" w16cid:durableId="1195655845">
    <w:abstractNumId w:val="97"/>
  </w:num>
  <w:num w:numId="222" w16cid:durableId="1824466393">
    <w:abstractNumId w:val="43"/>
  </w:num>
  <w:num w:numId="223" w16cid:durableId="1329019164">
    <w:abstractNumId w:val="14"/>
  </w:num>
  <w:num w:numId="224" w16cid:durableId="2029335394">
    <w:abstractNumId w:val="87"/>
  </w:num>
  <w:num w:numId="225" w16cid:durableId="1741832147">
    <w:abstractNumId w:val="15"/>
  </w:num>
  <w:num w:numId="226" w16cid:durableId="1661618727">
    <w:abstractNumId w:val="48"/>
  </w:num>
  <w:num w:numId="227" w16cid:durableId="1888948432">
    <w:abstractNumId w:val="49"/>
  </w:num>
  <w:num w:numId="228" w16cid:durableId="1401636091">
    <w:abstractNumId w:val="79"/>
  </w:num>
  <w:num w:numId="229" w16cid:durableId="635642933">
    <w:abstractNumId w:val="50"/>
  </w:num>
  <w:num w:numId="230" w16cid:durableId="170723070">
    <w:abstractNumId w:val="85"/>
  </w:num>
  <w:num w:numId="231" w16cid:durableId="270020329">
    <w:abstractNumId w:val="144"/>
  </w:num>
  <w:num w:numId="232" w16cid:durableId="1665740848">
    <w:abstractNumId w:val="60"/>
  </w:num>
  <w:num w:numId="233" w16cid:durableId="1440175322">
    <w:abstractNumId w:val="17"/>
  </w:num>
  <w:num w:numId="234" w16cid:durableId="2075152484">
    <w:abstractNumId w:val="162"/>
  </w:num>
  <w:num w:numId="235" w16cid:durableId="452331421">
    <w:abstractNumId w:val="211"/>
  </w:num>
  <w:num w:numId="236" w16cid:durableId="1070694256">
    <w:abstractNumId w:val="33"/>
  </w:num>
  <w:num w:numId="237" w16cid:durableId="2122994579">
    <w:abstractNumId w:val="134"/>
  </w:num>
  <w:num w:numId="238" w16cid:durableId="1936865401">
    <w:abstractNumId w:val="143"/>
  </w:num>
  <w:num w:numId="239" w16cid:durableId="1136876253">
    <w:abstractNumId w:val="17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4694"/>
    <w:rsid w:val="000231CF"/>
    <w:rsid w:val="00047710"/>
    <w:rsid w:val="00066E74"/>
    <w:rsid w:val="0006771E"/>
    <w:rsid w:val="000735D6"/>
    <w:rsid w:val="00092E89"/>
    <w:rsid w:val="001045C0"/>
    <w:rsid w:val="0013144B"/>
    <w:rsid w:val="001573D4"/>
    <w:rsid w:val="0016133C"/>
    <w:rsid w:val="00165242"/>
    <w:rsid w:val="00175335"/>
    <w:rsid w:val="001A4520"/>
    <w:rsid w:val="001E1A9F"/>
    <w:rsid w:val="00217240"/>
    <w:rsid w:val="00225733"/>
    <w:rsid w:val="00246FED"/>
    <w:rsid w:val="002750D4"/>
    <w:rsid w:val="00276181"/>
    <w:rsid w:val="002D5966"/>
    <w:rsid w:val="002E43C3"/>
    <w:rsid w:val="002E61F0"/>
    <w:rsid w:val="0031375B"/>
    <w:rsid w:val="00323028"/>
    <w:rsid w:val="0036287A"/>
    <w:rsid w:val="003B4075"/>
    <w:rsid w:val="003E215D"/>
    <w:rsid w:val="003E2576"/>
    <w:rsid w:val="003E2971"/>
    <w:rsid w:val="0044772D"/>
    <w:rsid w:val="0045505D"/>
    <w:rsid w:val="004572A9"/>
    <w:rsid w:val="004668DB"/>
    <w:rsid w:val="00472CE5"/>
    <w:rsid w:val="0048185E"/>
    <w:rsid w:val="004B74E8"/>
    <w:rsid w:val="0050060E"/>
    <w:rsid w:val="00514561"/>
    <w:rsid w:val="00520F18"/>
    <w:rsid w:val="00561297"/>
    <w:rsid w:val="005976A9"/>
    <w:rsid w:val="005A3502"/>
    <w:rsid w:val="005F274F"/>
    <w:rsid w:val="005F49B6"/>
    <w:rsid w:val="00614F18"/>
    <w:rsid w:val="006367FD"/>
    <w:rsid w:val="00655C3F"/>
    <w:rsid w:val="0066133A"/>
    <w:rsid w:val="00695192"/>
    <w:rsid w:val="006C5D97"/>
    <w:rsid w:val="00712005"/>
    <w:rsid w:val="00716434"/>
    <w:rsid w:val="007A6509"/>
    <w:rsid w:val="007F4EF1"/>
    <w:rsid w:val="0088701E"/>
    <w:rsid w:val="008A0264"/>
    <w:rsid w:val="008B3980"/>
    <w:rsid w:val="0093393A"/>
    <w:rsid w:val="00937D39"/>
    <w:rsid w:val="00962D2F"/>
    <w:rsid w:val="00A5395B"/>
    <w:rsid w:val="00AD6C93"/>
    <w:rsid w:val="00B368C6"/>
    <w:rsid w:val="00B40F08"/>
    <w:rsid w:val="00B64BC1"/>
    <w:rsid w:val="00B93BDD"/>
    <w:rsid w:val="00C234FE"/>
    <w:rsid w:val="00C71B21"/>
    <w:rsid w:val="00CD4355"/>
    <w:rsid w:val="00CE6A93"/>
    <w:rsid w:val="00D15734"/>
    <w:rsid w:val="00D20759"/>
    <w:rsid w:val="00D564FD"/>
    <w:rsid w:val="00D67733"/>
    <w:rsid w:val="00DD18E1"/>
    <w:rsid w:val="00E60797"/>
    <w:rsid w:val="00E678B5"/>
    <w:rsid w:val="00E96B8D"/>
    <w:rsid w:val="00E97DE2"/>
    <w:rsid w:val="00EA28DF"/>
    <w:rsid w:val="00ED4694"/>
    <w:rsid w:val="00F57766"/>
    <w:rsid w:val="00F847D6"/>
    <w:rsid w:val="00FB215A"/>
    <w:rsid w:val="00FB4729"/>
    <w:rsid w:val="00FD396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3F755A"/>
  <w15:chartTrackingRefBased/>
  <w15:docId w15:val="{000D72C5-AA30-D448-B76B-FE9140705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4694"/>
    <w:rPr>
      <w:rFonts w:ascii="Times New Roman" w:eastAsia="Times New Roman" w:hAnsi="Times New Roman" w:cs="Times New Roman"/>
      <w:kern w:val="0"/>
      <w:lang w:eastAsia="fr-FR"/>
      <w14:ligatures w14:val="none"/>
    </w:rPr>
  </w:style>
  <w:style w:type="paragraph" w:styleId="Titre1">
    <w:name w:val="heading 1"/>
    <w:basedOn w:val="Normal"/>
    <w:next w:val="Normal"/>
    <w:link w:val="Titre1Car"/>
    <w:uiPriority w:val="9"/>
    <w:qFormat/>
    <w:rsid w:val="00ED469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itre2">
    <w:name w:val="heading 2"/>
    <w:basedOn w:val="Normal"/>
    <w:next w:val="Normal"/>
    <w:link w:val="Titre2Car"/>
    <w:uiPriority w:val="9"/>
    <w:semiHidden/>
    <w:unhideWhenUsed/>
    <w:qFormat/>
    <w:rsid w:val="00ED469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itre3">
    <w:name w:val="heading 3"/>
    <w:basedOn w:val="Normal"/>
    <w:next w:val="Normal"/>
    <w:link w:val="Titre3Car"/>
    <w:uiPriority w:val="9"/>
    <w:semiHidden/>
    <w:unhideWhenUsed/>
    <w:qFormat/>
    <w:rsid w:val="00ED4694"/>
    <w:pPr>
      <w:keepNext/>
      <w:keepLines/>
      <w:spacing w:before="160" w:after="80"/>
      <w:outlineLvl w:val="2"/>
    </w:pPr>
    <w:rPr>
      <w:rFonts w:eastAsiaTheme="majorEastAsia" w:cstheme="majorBidi"/>
      <w:color w:val="2F5496" w:themeColor="accent1" w:themeShade="BF"/>
      <w:sz w:val="28"/>
      <w:szCs w:val="28"/>
    </w:rPr>
  </w:style>
  <w:style w:type="paragraph" w:styleId="Titre4">
    <w:name w:val="heading 4"/>
    <w:basedOn w:val="Normal"/>
    <w:next w:val="Normal"/>
    <w:link w:val="Titre4Car"/>
    <w:uiPriority w:val="9"/>
    <w:semiHidden/>
    <w:unhideWhenUsed/>
    <w:qFormat/>
    <w:rsid w:val="00ED4694"/>
    <w:pPr>
      <w:keepNext/>
      <w:keepLines/>
      <w:spacing w:before="80" w:after="40"/>
      <w:outlineLvl w:val="3"/>
    </w:pPr>
    <w:rPr>
      <w:rFonts w:eastAsiaTheme="majorEastAsia" w:cstheme="majorBidi"/>
      <w:i/>
      <w:iCs/>
      <w:color w:val="2F5496" w:themeColor="accent1" w:themeShade="BF"/>
    </w:rPr>
  </w:style>
  <w:style w:type="paragraph" w:styleId="Titre5">
    <w:name w:val="heading 5"/>
    <w:basedOn w:val="Normal"/>
    <w:next w:val="Normal"/>
    <w:link w:val="Titre5Car"/>
    <w:uiPriority w:val="9"/>
    <w:semiHidden/>
    <w:unhideWhenUsed/>
    <w:qFormat/>
    <w:rsid w:val="00ED4694"/>
    <w:pPr>
      <w:keepNext/>
      <w:keepLines/>
      <w:spacing w:before="80" w:after="40"/>
      <w:outlineLvl w:val="4"/>
    </w:pPr>
    <w:rPr>
      <w:rFonts w:eastAsiaTheme="majorEastAsia" w:cstheme="majorBidi"/>
      <w:color w:val="2F5496" w:themeColor="accent1" w:themeShade="BF"/>
    </w:rPr>
  </w:style>
  <w:style w:type="paragraph" w:styleId="Titre6">
    <w:name w:val="heading 6"/>
    <w:basedOn w:val="Normal"/>
    <w:next w:val="Normal"/>
    <w:link w:val="Titre6Car"/>
    <w:uiPriority w:val="9"/>
    <w:semiHidden/>
    <w:unhideWhenUsed/>
    <w:qFormat/>
    <w:rsid w:val="00ED4694"/>
    <w:pPr>
      <w:keepNext/>
      <w:keepLines/>
      <w:spacing w:before="4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ED4694"/>
    <w:pPr>
      <w:keepNext/>
      <w:keepLines/>
      <w:spacing w:before="4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ED4694"/>
    <w:pPr>
      <w:keepNext/>
      <w:keepLines/>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ED4694"/>
    <w:pPr>
      <w:keepNext/>
      <w:keepLines/>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D4694"/>
    <w:rPr>
      <w:rFonts w:asciiTheme="majorHAnsi" w:eastAsiaTheme="majorEastAsia" w:hAnsiTheme="majorHAnsi" w:cstheme="majorBidi"/>
      <w:color w:val="2F5496" w:themeColor="accent1" w:themeShade="BF"/>
      <w:kern w:val="0"/>
      <w:sz w:val="40"/>
      <w:szCs w:val="40"/>
      <w:lang w:eastAsia="fr-FR"/>
      <w14:ligatures w14:val="none"/>
    </w:rPr>
  </w:style>
  <w:style w:type="character" w:customStyle="1" w:styleId="Titre2Car">
    <w:name w:val="Titre 2 Car"/>
    <w:basedOn w:val="Policepardfaut"/>
    <w:link w:val="Titre2"/>
    <w:uiPriority w:val="9"/>
    <w:semiHidden/>
    <w:rsid w:val="00ED4694"/>
    <w:rPr>
      <w:rFonts w:asciiTheme="majorHAnsi" w:eastAsiaTheme="majorEastAsia" w:hAnsiTheme="majorHAnsi" w:cstheme="majorBidi"/>
      <w:color w:val="2F5496" w:themeColor="accent1" w:themeShade="BF"/>
      <w:kern w:val="0"/>
      <w:sz w:val="32"/>
      <w:szCs w:val="32"/>
      <w:lang w:eastAsia="fr-FR"/>
      <w14:ligatures w14:val="none"/>
    </w:rPr>
  </w:style>
  <w:style w:type="character" w:customStyle="1" w:styleId="Titre3Car">
    <w:name w:val="Titre 3 Car"/>
    <w:basedOn w:val="Policepardfaut"/>
    <w:link w:val="Titre3"/>
    <w:uiPriority w:val="9"/>
    <w:semiHidden/>
    <w:rsid w:val="00ED4694"/>
    <w:rPr>
      <w:rFonts w:ascii="Times New Roman" w:eastAsiaTheme="majorEastAsia" w:hAnsi="Times New Roman" w:cstheme="majorBidi"/>
      <w:color w:val="2F5496" w:themeColor="accent1" w:themeShade="BF"/>
      <w:kern w:val="0"/>
      <w:sz w:val="28"/>
      <w:szCs w:val="28"/>
      <w:lang w:eastAsia="fr-FR"/>
      <w14:ligatures w14:val="none"/>
    </w:rPr>
  </w:style>
  <w:style w:type="character" w:customStyle="1" w:styleId="Titre4Car">
    <w:name w:val="Titre 4 Car"/>
    <w:basedOn w:val="Policepardfaut"/>
    <w:link w:val="Titre4"/>
    <w:uiPriority w:val="9"/>
    <w:semiHidden/>
    <w:rsid w:val="00ED4694"/>
    <w:rPr>
      <w:rFonts w:ascii="Times New Roman" w:eastAsiaTheme="majorEastAsia" w:hAnsi="Times New Roman" w:cstheme="majorBidi"/>
      <w:i/>
      <w:iCs/>
      <w:color w:val="2F5496" w:themeColor="accent1" w:themeShade="BF"/>
      <w:kern w:val="0"/>
      <w:lang w:eastAsia="fr-FR"/>
      <w14:ligatures w14:val="none"/>
    </w:rPr>
  </w:style>
  <w:style w:type="character" w:customStyle="1" w:styleId="Titre5Car">
    <w:name w:val="Titre 5 Car"/>
    <w:basedOn w:val="Policepardfaut"/>
    <w:link w:val="Titre5"/>
    <w:uiPriority w:val="9"/>
    <w:semiHidden/>
    <w:rsid w:val="00ED4694"/>
    <w:rPr>
      <w:rFonts w:ascii="Times New Roman" w:eastAsiaTheme="majorEastAsia" w:hAnsi="Times New Roman" w:cstheme="majorBidi"/>
      <w:color w:val="2F5496" w:themeColor="accent1" w:themeShade="BF"/>
      <w:kern w:val="0"/>
      <w:lang w:eastAsia="fr-FR"/>
      <w14:ligatures w14:val="none"/>
    </w:rPr>
  </w:style>
  <w:style w:type="character" w:customStyle="1" w:styleId="Titre6Car">
    <w:name w:val="Titre 6 Car"/>
    <w:basedOn w:val="Policepardfaut"/>
    <w:link w:val="Titre6"/>
    <w:uiPriority w:val="9"/>
    <w:semiHidden/>
    <w:rsid w:val="00ED4694"/>
    <w:rPr>
      <w:rFonts w:ascii="Times New Roman" w:eastAsiaTheme="majorEastAsia" w:hAnsi="Times New Roman" w:cstheme="majorBidi"/>
      <w:i/>
      <w:iCs/>
      <w:color w:val="595959" w:themeColor="text1" w:themeTint="A6"/>
      <w:kern w:val="0"/>
      <w:lang w:eastAsia="fr-FR"/>
      <w14:ligatures w14:val="none"/>
    </w:rPr>
  </w:style>
  <w:style w:type="character" w:customStyle="1" w:styleId="Titre7Car">
    <w:name w:val="Titre 7 Car"/>
    <w:basedOn w:val="Policepardfaut"/>
    <w:link w:val="Titre7"/>
    <w:uiPriority w:val="9"/>
    <w:semiHidden/>
    <w:rsid w:val="00ED4694"/>
    <w:rPr>
      <w:rFonts w:ascii="Times New Roman" w:eastAsiaTheme="majorEastAsia" w:hAnsi="Times New Roman" w:cstheme="majorBidi"/>
      <w:color w:val="595959" w:themeColor="text1" w:themeTint="A6"/>
      <w:kern w:val="0"/>
      <w:lang w:eastAsia="fr-FR"/>
      <w14:ligatures w14:val="none"/>
    </w:rPr>
  </w:style>
  <w:style w:type="character" w:customStyle="1" w:styleId="Titre8Car">
    <w:name w:val="Titre 8 Car"/>
    <w:basedOn w:val="Policepardfaut"/>
    <w:link w:val="Titre8"/>
    <w:uiPriority w:val="9"/>
    <w:semiHidden/>
    <w:rsid w:val="00ED4694"/>
    <w:rPr>
      <w:rFonts w:ascii="Times New Roman" w:eastAsiaTheme="majorEastAsia" w:hAnsi="Times New Roman" w:cstheme="majorBidi"/>
      <w:i/>
      <w:iCs/>
      <w:color w:val="272727" w:themeColor="text1" w:themeTint="D8"/>
      <w:kern w:val="0"/>
      <w:lang w:eastAsia="fr-FR"/>
      <w14:ligatures w14:val="none"/>
    </w:rPr>
  </w:style>
  <w:style w:type="character" w:customStyle="1" w:styleId="Titre9Car">
    <w:name w:val="Titre 9 Car"/>
    <w:basedOn w:val="Policepardfaut"/>
    <w:link w:val="Titre9"/>
    <w:uiPriority w:val="9"/>
    <w:semiHidden/>
    <w:rsid w:val="00ED4694"/>
    <w:rPr>
      <w:rFonts w:ascii="Times New Roman" w:eastAsiaTheme="majorEastAsia" w:hAnsi="Times New Roman" w:cstheme="majorBidi"/>
      <w:color w:val="272727" w:themeColor="text1" w:themeTint="D8"/>
      <w:kern w:val="0"/>
      <w:lang w:eastAsia="fr-FR"/>
      <w14:ligatures w14:val="none"/>
    </w:rPr>
  </w:style>
  <w:style w:type="paragraph" w:styleId="Titre">
    <w:name w:val="Title"/>
    <w:basedOn w:val="Normal"/>
    <w:next w:val="Normal"/>
    <w:link w:val="TitreCar"/>
    <w:uiPriority w:val="10"/>
    <w:qFormat/>
    <w:rsid w:val="00ED4694"/>
    <w:pPr>
      <w:spacing w:after="8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ED4694"/>
    <w:rPr>
      <w:rFonts w:asciiTheme="majorHAnsi" w:eastAsiaTheme="majorEastAsia" w:hAnsiTheme="majorHAnsi" w:cstheme="majorBidi"/>
      <w:spacing w:val="-10"/>
      <w:kern w:val="28"/>
      <w:sz w:val="56"/>
      <w:szCs w:val="56"/>
      <w:lang w:eastAsia="fr-FR"/>
      <w14:ligatures w14:val="none"/>
    </w:rPr>
  </w:style>
  <w:style w:type="paragraph" w:styleId="Sous-titre">
    <w:name w:val="Subtitle"/>
    <w:basedOn w:val="Normal"/>
    <w:next w:val="Normal"/>
    <w:link w:val="Sous-titreCar"/>
    <w:uiPriority w:val="11"/>
    <w:qFormat/>
    <w:rsid w:val="00ED4694"/>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ED4694"/>
    <w:rPr>
      <w:rFonts w:ascii="Times New Roman" w:eastAsiaTheme="majorEastAsia" w:hAnsi="Times New Roman" w:cstheme="majorBidi"/>
      <w:color w:val="595959" w:themeColor="text1" w:themeTint="A6"/>
      <w:spacing w:val="15"/>
      <w:kern w:val="0"/>
      <w:sz w:val="28"/>
      <w:szCs w:val="28"/>
      <w:lang w:eastAsia="fr-FR"/>
      <w14:ligatures w14:val="none"/>
    </w:rPr>
  </w:style>
  <w:style w:type="paragraph" w:styleId="Citation">
    <w:name w:val="Quote"/>
    <w:basedOn w:val="Normal"/>
    <w:next w:val="Normal"/>
    <w:link w:val="CitationCar"/>
    <w:uiPriority w:val="29"/>
    <w:qFormat/>
    <w:rsid w:val="00ED4694"/>
    <w:pPr>
      <w:spacing w:before="160"/>
      <w:jc w:val="center"/>
    </w:pPr>
    <w:rPr>
      <w:i/>
      <w:iCs/>
      <w:color w:val="404040" w:themeColor="text1" w:themeTint="BF"/>
    </w:rPr>
  </w:style>
  <w:style w:type="character" w:customStyle="1" w:styleId="CitationCar">
    <w:name w:val="Citation Car"/>
    <w:basedOn w:val="Policepardfaut"/>
    <w:link w:val="Citation"/>
    <w:uiPriority w:val="29"/>
    <w:rsid w:val="00ED4694"/>
    <w:rPr>
      <w:rFonts w:ascii="Times New Roman" w:eastAsia="Times New Roman" w:hAnsi="Times New Roman" w:cs="Times New Roman"/>
      <w:i/>
      <w:iCs/>
      <w:color w:val="404040" w:themeColor="text1" w:themeTint="BF"/>
      <w:kern w:val="0"/>
      <w:lang w:eastAsia="fr-FR"/>
      <w14:ligatures w14:val="none"/>
    </w:rPr>
  </w:style>
  <w:style w:type="paragraph" w:styleId="Paragraphedeliste">
    <w:name w:val="List Paragraph"/>
    <w:basedOn w:val="Normal"/>
    <w:uiPriority w:val="34"/>
    <w:qFormat/>
    <w:rsid w:val="00ED4694"/>
    <w:pPr>
      <w:ind w:left="720"/>
      <w:contextualSpacing/>
    </w:pPr>
  </w:style>
  <w:style w:type="character" w:styleId="Accentuationintense">
    <w:name w:val="Intense Emphasis"/>
    <w:basedOn w:val="Policepardfaut"/>
    <w:uiPriority w:val="21"/>
    <w:qFormat/>
    <w:rsid w:val="00ED4694"/>
    <w:rPr>
      <w:i/>
      <w:iCs/>
      <w:color w:val="2F5496" w:themeColor="accent1" w:themeShade="BF"/>
    </w:rPr>
  </w:style>
  <w:style w:type="paragraph" w:styleId="Citationintense">
    <w:name w:val="Intense Quote"/>
    <w:basedOn w:val="Normal"/>
    <w:next w:val="Normal"/>
    <w:link w:val="CitationintenseCar"/>
    <w:uiPriority w:val="30"/>
    <w:qFormat/>
    <w:rsid w:val="00ED469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tionintenseCar">
    <w:name w:val="Citation intense Car"/>
    <w:basedOn w:val="Policepardfaut"/>
    <w:link w:val="Citationintense"/>
    <w:uiPriority w:val="30"/>
    <w:rsid w:val="00ED4694"/>
    <w:rPr>
      <w:rFonts w:ascii="Times New Roman" w:eastAsia="Times New Roman" w:hAnsi="Times New Roman" w:cs="Times New Roman"/>
      <w:i/>
      <w:iCs/>
      <w:color w:val="2F5496" w:themeColor="accent1" w:themeShade="BF"/>
      <w:kern w:val="0"/>
      <w:lang w:eastAsia="fr-FR"/>
      <w14:ligatures w14:val="none"/>
    </w:rPr>
  </w:style>
  <w:style w:type="character" w:styleId="Rfrenceintense">
    <w:name w:val="Intense Reference"/>
    <w:basedOn w:val="Policepardfaut"/>
    <w:uiPriority w:val="32"/>
    <w:qFormat/>
    <w:rsid w:val="00ED4694"/>
    <w:rPr>
      <w:b/>
      <w:bCs/>
      <w:smallCaps/>
      <w:color w:val="2F5496" w:themeColor="accent1" w:themeShade="BF"/>
      <w:spacing w:val="5"/>
    </w:rPr>
  </w:style>
  <w:style w:type="paragraph" w:styleId="En-tte">
    <w:name w:val="header"/>
    <w:basedOn w:val="Normal"/>
    <w:link w:val="En-tteCar"/>
    <w:uiPriority w:val="99"/>
    <w:unhideWhenUsed/>
    <w:rsid w:val="00ED4694"/>
    <w:pPr>
      <w:tabs>
        <w:tab w:val="center" w:pos="4536"/>
        <w:tab w:val="right" w:pos="9072"/>
      </w:tabs>
    </w:pPr>
  </w:style>
  <w:style w:type="character" w:customStyle="1" w:styleId="En-tteCar">
    <w:name w:val="En-tête Car"/>
    <w:basedOn w:val="Policepardfaut"/>
    <w:link w:val="En-tte"/>
    <w:uiPriority w:val="99"/>
    <w:rsid w:val="00ED4694"/>
    <w:rPr>
      <w:rFonts w:ascii="Times New Roman" w:eastAsia="Times New Roman" w:hAnsi="Times New Roman" w:cs="Times New Roman"/>
      <w:kern w:val="0"/>
      <w:lang w:eastAsia="fr-FR"/>
      <w14:ligatures w14:val="none"/>
    </w:rPr>
  </w:style>
  <w:style w:type="paragraph" w:styleId="Pieddepage">
    <w:name w:val="footer"/>
    <w:basedOn w:val="Normal"/>
    <w:link w:val="PieddepageCar"/>
    <w:uiPriority w:val="99"/>
    <w:unhideWhenUsed/>
    <w:rsid w:val="00ED4694"/>
    <w:pPr>
      <w:tabs>
        <w:tab w:val="center" w:pos="4536"/>
        <w:tab w:val="right" w:pos="9072"/>
      </w:tabs>
    </w:pPr>
  </w:style>
  <w:style w:type="character" w:customStyle="1" w:styleId="PieddepageCar">
    <w:name w:val="Pied de page Car"/>
    <w:basedOn w:val="Policepardfaut"/>
    <w:link w:val="Pieddepage"/>
    <w:uiPriority w:val="99"/>
    <w:rsid w:val="00ED4694"/>
    <w:rPr>
      <w:rFonts w:ascii="Times New Roman" w:eastAsia="Times New Roman" w:hAnsi="Times New Roman" w:cs="Times New Roman"/>
      <w:kern w:val="0"/>
      <w:lang w:eastAsia="fr-FR"/>
      <w14:ligatures w14:val="none"/>
    </w:rPr>
  </w:style>
  <w:style w:type="character" w:styleId="Textedelespacerserv">
    <w:name w:val="Placeholder Text"/>
    <w:basedOn w:val="Policepardfaut"/>
    <w:uiPriority w:val="99"/>
    <w:semiHidden/>
    <w:rsid w:val="00ED4694"/>
    <w:rPr>
      <w:color w:val="808080"/>
    </w:rPr>
  </w:style>
  <w:style w:type="paragraph" w:styleId="NormalWeb">
    <w:name w:val="Normal (Web)"/>
    <w:basedOn w:val="Normal"/>
    <w:uiPriority w:val="99"/>
    <w:unhideWhenUsed/>
    <w:rsid w:val="00ED4694"/>
    <w:pPr>
      <w:spacing w:before="100" w:beforeAutospacing="1" w:after="100" w:afterAutospacing="1"/>
    </w:pPr>
  </w:style>
  <w:style w:type="paragraph" w:styleId="Sansinterligne">
    <w:name w:val="No Spacing"/>
    <w:uiPriority w:val="1"/>
    <w:qFormat/>
    <w:rsid w:val="00ED4694"/>
    <w:rPr>
      <w:sz w:val="22"/>
      <w:szCs w:val="22"/>
    </w:rPr>
  </w:style>
  <w:style w:type="paragraph" w:customStyle="1" w:styleId="msonormal0">
    <w:name w:val="msonormal"/>
    <w:basedOn w:val="Normal"/>
    <w:rsid w:val="00ED4694"/>
    <w:pPr>
      <w:spacing w:before="100" w:beforeAutospacing="1" w:after="100" w:afterAutospacing="1"/>
    </w:pPr>
  </w:style>
  <w:style w:type="table" w:styleId="Grilledutableau">
    <w:name w:val="Table Grid"/>
    <w:basedOn w:val="TableauNormal"/>
    <w:uiPriority w:val="39"/>
    <w:rsid w:val="00ED469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ED4694"/>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34.png"/><Relationship Id="rId159" Type="http://schemas.openxmlformats.org/officeDocument/2006/relationships/image" Target="media/image155.png"/><Relationship Id="rId170" Type="http://schemas.openxmlformats.org/officeDocument/2006/relationships/image" Target="media/image166.png"/><Relationship Id="rId191" Type="http://schemas.openxmlformats.org/officeDocument/2006/relationships/image" Target="media/image187.png"/><Relationship Id="rId107" Type="http://schemas.openxmlformats.org/officeDocument/2006/relationships/image" Target="media/image103.jpeg"/><Relationship Id="rId11" Type="http://schemas.openxmlformats.org/officeDocument/2006/relationships/image" Target="media/image7.png"/><Relationship Id="rId32" Type="http://schemas.openxmlformats.org/officeDocument/2006/relationships/image" Target="media/image28.jpe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4.jpeg"/><Relationship Id="rId149" Type="http://schemas.openxmlformats.org/officeDocument/2006/relationships/image" Target="media/image145.png"/><Relationship Id="rId5" Type="http://schemas.openxmlformats.org/officeDocument/2006/relationships/image" Target="media/image1.png"/><Relationship Id="rId95" Type="http://schemas.openxmlformats.org/officeDocument/2006/relationships/image" Target="media/image91.jpeg"/><Relationship Id="rId160" Type="http://schemas.openxmlformats.org/officeDocument/2006/relationships/image" Target="media/image156.jpeg"/><Relationship Id="rId181" Type="http://schemas.openxmlformats.org/officeDocument/2006/relationships/image" Target="media/image177.png"/><Relationship Id="rId22" Type="http://schemas.openxmlformats.org/officeDocument/2006/relationships/image" Target="media/image18.png"/><Relationship Id="rId43" Type="http://schemas.openxmlformats.org/officeDocument/2006/relationships/image" Target="media/image39.jpeg"/><Relationship Id="rId64" Type="http://schemas.openxmlformats.org/officeDocument/2006/relationships/image" Target="media/image60.png"/><Relationship Id="rId118" Type="http://schemas.openxmlformats.org/officeDocument/2006/relationships/image" Target="media/image114.png"/><Relationship Id="rId139" Type="http://schemas.openxmlformats.org/officeDocument/2006/relationships/image" Target="media/image135.jpeg"/><Relationship Id="rId85" Type="http://schemas.openxmlformats.org/officeDocument/2006/relationships/image" Target="media/image81.png"/><Relationship Id="rId150" Type="http://schemas.openxmlformats.org/officeDocument/2006/relationships/image" Target="media/image146.jpeg"/><Relationship Id="rId171" Type="http://schemas.openxmlformats.org/officeDocument/2006/relationships/image" Target="media/image167.png"/><Relationship Id="rId192" Type="http://schemas.openxmlformats.org/officeDocument/2006/relationships/image" Target="media/image188.png"/><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4.png"/><Relationship Id="rId129" Type="http://schemas.openxmlformats.org/officeDocument/2006/relationships/image" Target="media/image125.png"/><Relationship Id="rId54" Type="http://schemas.openxmlformats.org/officeDocument/2006/relationships/image" Target="media/image50.jpeg"/><Relationship Id="rId75" Type="http://schemas.openxmlformats.org/officeDocument/2006/relationships/image" Target="media/image71.png"/><Relationship Id="rId96" Type="http://schemas.openxmlformats.org/officeDocument/2006/relationships/image" Target="media/image92.jpeg"/><Relationship Id="rId140" Type="http://schemas.openxmlformats.org/officeDocument/2006/relationships/image" Target="media/image136.jpeg"/><Relationship Id="rId161" Type="http://schemas.openxmlformats.org/officeDocument/2006/relationships/image" Target="media/image157.png"/><Relationship Id="rId182" Type="http://schemas.openxmlformats.org/officeDocument/2006/relationships/image" Target="media/image178.png"/><Relationship Id="rId6" Type="http://schemas.openxmlformats.org/officeDocument/2006/relationships/image" Target="media/image2.png"/><Relationship Id="rId23" Type="http://schemas.openxmlformats.org/officeDocument/2006/relationships/image" Target="media/image19.png"/><Relationship Id="rId119" Type="http://schemas.openxmlformats.org/officeDocument/2006/relationships/image" Target="media/image115.png"/><Relationship Id="rId44" Type="http://schemas.openxmlformats.org/officeDocument/2006/relationships/image" Target="media/image40.jpeg"/><Relationship Id="rId65" Type="http://schemas.openxmlformats.org/officeDocument/2006/relationships/image" Target="media/image61.png"/><Relationship Id="rId86" Type="http://schemas.openxmlformats.org/officeDocument/2006/relationships/image" Target="media/image82.png"/><Relationship Id="rId130" Type="http://schemas.openxmlformats.org/officeDocument/2006/relationships/image" Target="media/image126.jpeg"/><Relationship Id="rId151" Type="http://schemas.openxmlformats.org/officeDocument/2006/relationships/image" Target="media/image147.png"/><Relationship Id="rId172" Type="http://schemas.openxmlformats.org/officeDocument/2006/relationships/image" Target="media/image168.png"/><Relationship Id="rId193" Type="http://schemas.openxmlformats.org/officeDocument/2006/relationships/image" Target="media/image189.png"/><Relationship Id="rId13" Type="http://schemas.openxmlformats.org/officeDocument/2006/relationships/image" Target="media/image9.png"/><Relationship Id="rId109" Type="http://schemas.openxmlformats.org/officeDocument/2006/relationships/image" Target="media/image105.jpeg"/><Relationship Id="rId34" Type="http://schemas.openxmlformats.org/officeDocument/2006/relationships/image" Target="media/image30.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20" Type="http://schemas.openxmlformats.org/officeDocument/2006/relationships/image" Target="media/image116.png"/><Relationship Id="rId141" Type="http://schemas.openxmlformats.org/officeDocument/2006/relationships/image" Target="media/image137.jpe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162" Type="http://schemas.openxmlformats.org/officeDocument/2006/relationships/image" Target="media/image158.png"/><Relationship Id="rId183" Type="http://schemas.openxmlformats.org/officeDocument/2006/relationships/image" Target="media/image179.pn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jpe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61" Type="http://schemas.openxmlformats.org/officeDocument/2006/relationships/image" Target="media/image57.png"/><Relationship Id="rId82" Type="http://schemas.openxmlformats.org/officeDocument/2006/relationships/image" Target="media/image78.png"/><Relationship Id="rId152" Type="http://schemas.openxmlformats.org/officeDocument/2006/relationships/image" Target="media/image148.png"/><Relationship Id="rId173" Type="http://schemas.openxmlformats.org/officeDocument/2006/relationships/image" Target="media/image169.png"/><Relationship Id="rId194" Type="http://schemas.openxmlformats.org/officeDocument/2006/relationships/image" Target="media/image190.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jpe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184" Type="http://schemas.openxmlformats.org/officeDocument/2006/relationships/image" Target="media/image180.png"/><Relationship Id="rId189" Type="http://schemas.openxmlformats.org/officeDocument/2006/relationships/image" Target="media/image185.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jpeg"/><Relationship Id="rId67" Type="http://schemas.openxmlformats.org/officeDocument/2006/relationships/image" Target="media/image63.pn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jpe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74" Type="http://schemas.openxmlformats.org/officeDocument/2006/relationships/image" Target="media/image170.png"/><Relationship Id="rId179" Type="http://schemas.openxmlformats.org/officeDocument/2006/relationships/image" Target="media/image175.png"/><Relationship Id="rId195" Type="http://schemas.openxmlformats.org/officeDocument/2006/relationships/image" Target="media/image191.png"/><Relationship Id="rId190" Type="http://schemas.openxmlformats.org/officeDocument/2006/relationships/image" Target="media/image186.png"/><Relationship Id="rId15" Type="http://schemas.openxmlformats.org/officeDocument/2006/relationships/image" Target="media/image11.png"/><Relationship Id="rId36" Type="http://schemas.openxmlformats.org/officeDocument/2006/relationships/image" Target="media/image32.jpe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7.jpe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jpe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48" Type="http://schemas.openxmlformats.org/officeDocument/2006/relationships/image" Target="media/image144.png"/><Relationship Id="rId164" Type="http://schemas.openxmlformats.org/officeDocument/2006/relationships/image" Target="media/image160.png"/><Relationship Id="rId169" Type="http://schemas.openxmlformats.org/officeDocument/2006/relationships/image" Target="media/image165.png"/><Relationship Id="rId185" Type="http://schemas.openxmlformats.org/officeDocument/2006/relationships/image" Target="media/image181.png"/><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image" Target="media/image176.png"/><Relationship Id="rId26" Type="http://schemas.openxmlformats.org/officeDocument/2006/relationships/image" Target="media/image22.pn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196" Type="http://schemas.openxmlformats.org/officeDocument/2006/relationships/image" Target="media/image192.png"/><Relationship Id="rId16" Type="http://schemas.openxmlformats.org/officeDocument/2006/relationships/image" Target="media/image12.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90" Type="http://schemas.openxmlformats.org/officeDocument/2006/relationships/image" Target="media/image86.jpeg"/><Relationship Id="rId165" Type="http://schemas.openxmlformats.org/officeDocument/2006/relationships/image" Target="media/image161.png"/><Relationship Id="rId186" Type="http://schemas.openxmlformats.org/officeDocument/2006/relationships/image" Target="media/image182.png"/><Relationship Id="rId27" Type="http://schemas.openxmlformats.org/officeDocument/2006/relationships/image" Target="media/image23.png"/><Relationship Id="rId48" Type="http://schemas.openxmlformats.org/officeDocument/2006/relationships/image" Target="media/image44.jpeg"/><Relationship Id="rId69" Type="http://schemas.openxmlformats.org/officeDocument/2006/relationships/image" Target="media/image65.png"/><Relationship Id="rId113" Type="http://schemas.openxmlformats.org/officeDocument/2006/relationships/image" Target="media/image109.jpeg"/><Relationship Id="rId134" Type="http://schemas.openxmlformats.org/officeDocument/2006/relationships/image" Target="media/image130.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fontTable" Target="fontTable.xml"/><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70" Type="http://schemas.openxmlformats.org/officeDocument/2006/relationships/image" Target="media/image66.png"/><Relationship Id="rId91" Type="http://schemas.openxmlformats.org/officeDocument/2006/relationships/image" Target="media/image87.jpeg"/><Relationship Id="rId145" Type="http://schemas.openxmlformats.org/officeDocument/2006/relationships/image" Target="media/image141.png"/><Relationship Id="rId166" Type="http://schemas.openxmlformats.org/officeDocument/2006/relationships/image" Target="media/image162.jpeg"/><Relationship Id="rId187" Type="http://schemas.openxmlformats.org/officeDocument/2006/relationships/image" Target="media/image183.png"/><Relationship Id="rId1" Type="http://schemas.openxmlformats.org/officeDocument/2006/relationships/numbering" Target="numbering.xml"/><Relationship Id="rId28" Type="http://schemas.openxmlformats.org/officeDocument/2006/relationships/image" Target="media/image24.jpeg"/><Relationship Id="rId49" Type="http://schemas.openxmlformats.org/officeDocument/2006/relationships/image" Target="media/image45.png"/><Relationship Id="rId114" Type="http://schemas.openxmlformats.org/officeDocument/2006/relationships/image" Target="media/image110.jpe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jpeg"/><Relationship Id="rId177" Type="http://schemas.openxmlformats.org/officeDocument/2006/relationships/image" Target="media/image173.png"/><Relationship Id="rId198" Type="http://schemas.openxmlformats.org/officeDocument/2006/relationships/theme" Target="theme/theme1.xml"/><Relationship Id="rId18" Type="http://schemas.openxmlformats.org/officeDocument/2006/relationships/image" Target="media/image14.png"/><Relationship Id="rId39" Type="http://schemas.openxmlformats.org/officeDocument/2006/relationships/image" Target="media/image35.jpeg"/><Relationship Id="rId50" Type="http://schemas.openxmlformats.org/officeDocument/2006/relationships/image" Target="media/image46.jpe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77</Pages>
  <Words>29218</Words>
  <Characters>160699</Characters>
  <Application>Microsoft Office Word</Application>
  <DocSecurity>0</DocSecurity>
  <Lines>1339</Lines>
  <Paragraphs>379</Paragraphs>
  <ScaleCrop>false</ScaleCrop>
  <Company/>
  <LinksUpToDate>false</LinksUpToDate>
  <CharactersWithSpaces>189538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alienorprudhomme@gmail.com</dc:creator>
  <cp:keywords/>
  <dc:description/>
  <cp:lastModifiedBy>Colombe de Dinechin</cp:lastModifiedBy>
  <cp:revision>77</cp:revision>
  <dcterms:created xsi:type="dcterms:W3CDTF">2024-11-01T13:06:00Z</dcterms:created>
  <dcterms:modified xsi:type="dcterms:W3CDTF">2024-11-27T08:58:00Z</dcterms:modified>
</cp:coreProperties>
</file>