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5F9F" w14:textId="77777777" w:rsidR="00947F56" w:rsidRDefault="00947F56">
      <w:r>
        <w:t xml:space="preserve">Essais cliniques : phase 1, 2, 3, double aveugle, </w:t>
      </w:r>
      <w:proofErr w:type="spellStart"/>
      <w:r>
        <w:t>randommisation</w:t>
      </w:r>
      <w:proofErr w:type="spellEnd"/>
      <w:r>
        <w:t>, critère de jugement</w:t>
      </w:r>
    </w:p>
    <w:p w14:paraId="63264E8E" w14:textId="0A1B6472" w:rsidR="00947F56" w:rsidRDefault="00947F56">
      <w:r w:rsidRPr="009B3679">
        <w:rPr>
          <w:b/>
          <w:bCs/>
        </w:rPr>
        <w:t>Anticoagulants (AVK, AOD)</w:t>
      </w:r>
      <w:r>
        <w:t xml:space="preserve"> : </w:t>
      </w:r>
      <w:r w:rsidR="0032587F">
        <w:t>surveillance</w:t>
      </w:r>
      <w:r>
        <w:t xml:space="preserve"> INR, interactions (millepertuis, antibiotiques), surdosage (vitamine K)</w:t>
      </w:r>
    </w:p>
    <w:p w14:paraId="10354ABB" w14:textId="0C156B1D" w:rsidR="00947F56" w:rsidRDefault="00947F56">
      <w:r>
        <w:t xml:space="preserve">Pathologie </w:t>
      </w:r>
      <w:r w:rsidR="009B3679">
        <w:t>endocriniennes</w:t>
      </w:r>
      <w:r>
        <w:t xml:space="preserve"> (diabète, </w:t>
      </w:r>
      <w:r w:rsidR="009B3679">
        <w:t>thyroïde</w:t>
      </w:r>
      <w:r>
        <w:t>) : HGPO, seuils, hyperthyroïdie, hypothyroïdie, metformine, insuline</w:t>
      </w:r>
    </w:p>
    <w:p w14:paraId="02EDAF4A" w14:textId="1FC34C1D" w:rsidR="00947F56" w:rsidRDefault="00947F56">
      <w:r w:rsidRPr="009B3679">
        <w:rPr>
          <w:b/>
          <w:bCs/>
        </w:rPr>
        <w:t>Infections bactériennes et virales </w:t>
      </w:r>
      <w:r>
        <w:t>: infections urinaire, tuberculose, VIH (</w:t>
      </w:r>
      <w:r w:rsidR="009B3679">
        <w:t>autotest</w:t>
      </w:r>
      <w:r>
        <w:t>, RT-PCR)</w:t>
      </w:r>
    </w:p>
    <w:p w14:paraId="55A90438" w14:textId="224BB02E" w:rsidR="00947F56" w:rsidRDefault="00947F56">
      <w:r w:rsidRPr="009B3679">
        <w:rPr>
          <w:b/>
          <w:bCs/>
        </w:rPr>
        <w:t>AI </w:t>
      </w:r>
      <w:r w:rsidR="009B3679">
        <w:t>(AINS</w:t>
      </w:r>
      <w:r>
        <w:t xml:space="preserve">, corticoïdes) : AINS, </w:t>
      </w:r>
      <w:r w:rsidR="009B3679">
        <w:t>glucocorticoïdes</w:t>
      </w:r>
    </w:p>
    <w:p w14:paraId="5DC279C2" w14:textId="77777777" w:rsidR="00947F56" w:rsidRDefault="00947F56">
      <w:r w:rsidRPr="009B3679">
        <w:rPr>
          <w:b/>
          <w:bCs/>
        </w:rPr>
        <w:t>Intox paracétamol :</w:t>
      </w:r>
      <w:r>
        <w:t xml:space="preserve"> surdosage, production de NAPQI, prise en charge (N-acétylcystéine)</w:t>
      </w:r>
    </w:p>
    <w:p w14:paraId="78A483D3" w14:textId="77777777" w:rsidR="00947F56" w:rsidRDefault="00947F56">
      <w:r>
        <w:t xml:space="preserve">Anémie (carence en fer, drépanocytose) : anémie microcytaire, crise </w:t>
      </w:r>
      <w:proofErr w:type="spellStart"/>
      <w:r>
        <w:t>vaso</w:t>
      </w:r>
      <w:proofErr w:type="spellEnd"/>
      <w:r>
        <w:t xml:space="preserve"> </w:t>
      </w:r>
      <w:proofErr w:type="spellStart"/>
      <w:r>
        <w:t>occusive</w:t>
      </w:r>
      <w:proofErr w:type="spellEnd"/>
    </w:p>
    <w:p w14:paraId="6A2579FF" w14:textId="77777777" w:rsidR="00947F56" w:rsidRDefault="00947F56">
      <w:r>
        <w:t xml:space="preserve">Pathologies respiratoires (asthme, BPCO) : bronchodilatateurs B2 mimétiques, </w:t>
      </w:r>
      <w:proofErr w:type="spellStart"/>
      <w:r>
        <w:t>corticoides</w:t>
      </w:r>
      <w:proofErr w:type="spellEnd"/>
      <w:r>
        <w:t xml:space="preserve"> inhalés</w:t>
      </w:r>
    </w:p>
    <w:p w14:paraId="2350AF5A" w14:textId="77777777" w:rsidR="00947F56" w:rsidRDefault="00947F56">
      <w:r>
        <w:t xml:space="preserve">Antifongiques et infections opportunistes : voriconazole, </w:t>
      </w:r>
      <w:proofErr w:type="spellStart"/>
      <w:r>
        <w:t>amphotérécine</w:t>
      </w:r>
      <w:proofErr w:type="spellEnd"/>
      <w:r>
        <w:t xml:space="preserve"> B, aspergillose, </w:t>
      </w:r>
      <w:proofErr w:type="spellStart"/>
      <w:r>
        <w:t>cryptococcus</w:t>
      </w:r>
      <w:proofErr w:type="spellEnd"/>
    </w:p>
    <w:p w14:paraId="26ECA529" w14:textId="77777777" w:rsidR="00947F56" w:rsidRDefault="00947F56">
      <w:r>
        <w:t>Vaccination et prophylaxie : Vaccins vivants atténués (CI ID) grippe, pneumocoque</w:t>
      </w:r>
    </w:p>
    <w:p w14:paraId="198A3702" w14:textId="77777777" w:rsidR="00947F56" w:rsidRDefault="00947F56">
      <w:r>
        <w:t xml:space="preserve">Pathologie neuro : </w:t>
      </w:r>
      <w:proofErr w:type="spellStart"/>
      <w:r>
        <w:t>Epilespie</w:t>
      </w:r>
      <w:proofErr w:type="spellEnd"/>
      <w:r>
        <w:t>, parkinson</w:t>
      </w:r>
    </w:p>
    <w:p w14:paraId="43A70EAE" w14:textId="6F91C7BC" w:rsidR="00947F56" w:rsidRDefault="00947F56">
      <w:r>
        <w:t xml:space="preserve">Cancer et thérapies ciblées : Imatinib (BCR-ABL), </w:t>
      </w:r>
      <w:proofErr w:type="spellStart"/>
      <w:r>
        <w:t>crizotinib</w:t>
      </w:r>
      <w:proofErr w:type="spellEnd"/>
      <w:r>
        <w:t xml:space="preserve"> (ALK) </w:t>
      </w:r>
    </w:p>
    <w:p w14:paraId="290AEDD2" w14:textId="77777777" w:rsidR="00947F56" w:rsidRDefault="00947F56"/>
    <w:sectPr w:rsidR="00947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56"/>
    <w:rsid w:val="000D755F"/>
    <w:rsid w:val="0032587F"/>
    <w:rsid w:val="00947F56"/>
    <w:rsid w:val="009B3679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8B39AC"/>
  <w15:chartTrackingRefBased/>
  <w15:docId w15:val="{1D2878B0-CAD1-BD4F-BCC7-64C6EA12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7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7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7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7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7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7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7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7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7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7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7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7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7F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7F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7F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7F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7F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7F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7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7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7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7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7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7F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7F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7F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7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7F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7F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MASSON</dc:creator>
  <cp:keywords/>
  <dc:description/>
  <cp:lastModifiedBy>Constance MASSON</cp:lastModifiedBy>
  <cp:revision>1</cp:revision>
  <dcterms:created xsi:type="dcterms:W3CDTF">2025-05-10T11:49:00Z</dcterms:created>
  <dcterms:modified xsi:type="dcterms:W3CDTF">2025-05-10T15:29:00Z</dcterms:modified>
</cp:coreProperties>
</file>