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5962"/>
        <w:gridCol w:w="5095"/>
      </w:tblGrid>
      <w:tr w:rsidR="00A35007" w14:paraId="3A95F871" w14:textId="77777777" w:rsidTr="00CB08CA">
        <w:tc>
          <w:tcPr>
            <w:tcW w:w="11057" w:type="dxa"/>
            <w:gridSpan w:val="2"/>
            <w:shd w:val="clear" w:color="auto" w:fill="F6C5AC" w:themeFill="accent2" w:themeFillTint="66"/>
          </w:tcPr>
          <w:p w14:paraId="74E2C469" w14:textId="464D06B8" w:rsidR="00A35007" w:rsidRPr="00CB08CA" w:rsidRDefault="00A35007" w:rsidP="00A35007">
            <w:pPr>
              <w:jc w:val="center"/>
              <w:rPr>
                <w:rFonts w:ascii="Aptos" w:hAnsi="Aptos"/>
                <w:b/>
                <w:bCs/>
                <w:sz w:val="12"/>
                <w:szCs w:val="12"/>
              </w:rPr>
            </w:pPr>
            <w:r w:rsidRPr="00CB08CA">
              <w:rPr>
                <w:rFonts w:ascii="Aptos" w:hAnsi="Aptos"/>
                <w:b/>
                <w:bCs/>
                <w:sz w:val="12"/>
                <w:szCs w:val="12"/>
              </w:rPr>
              <w:t>DOS 2 - Psychotropes</w:t>
            </w:r>
          </w:p>
        </w:tc>
      </w:tr>
      <w:tr w:rsidR="00CB08CA" w14:paraId="2738826A" w14:textId="77777777" w:rsidTr="001A26F2">
        <w:tc>
          <w:tcPr>
            <w:tcW w:w="5962" w:type="dxa"/>
            <w:shd w:val="clear" w:color="auto" w:fill="auto"/>
          </w:tcPr>
          <w:p w14:paraId="2668CA1D" w14:textId="7F443E96" w:rsidR="00CB08CA" w:rsidRPr="00A35007" w:rsidRDefault="00CB08CA" w:rsidP="00A35007">
            <w:pPr>
              <w:jc w:val="center"/>
              <w:rPr>
                <w:rFonts w:ascii="Aptos" w:hAnsi="Aptos"/>
                <w:sz w:val="12"/>
                <w:szCs w:val="12"/>
              </w:rPr>
            </w:pPr>
            <w:r w:rsidRPr="00A3500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7821F84D" wp14:editId="16231EEF">
                  <wp:extent cx="3649179" cy="1447137"/>
                  <wp:effectExtent l="0" t="0" r="0" b="1270"/>
                  <wp:docPr id="3815436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543661" name=""/>
                          <pic:cNvPicPr/>
                        </pic:nvPicPr>
                        <pic:blipFill rotWithShape="1">
                          <a:blip r:embed="rId4"/>
                          <a:srcRect t="34725" b="10331"/>
                          <a:stretch/>
                        </pic:blipFill>
                        <pic:spPr bwMode="auto">
                          <a:xfrm>
                            <a:off x="0" y="0"/>
                            <a:ext cx="3715562" cy="14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5B8C7A32" w14:textId="3738B744" w:rsidR="00634B82" w:rsidRDefault="00634B82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Ordonnance recevable</w:t>
            </w:r>
          </w:p>
          <w:p w14:paraId="2142FB4F" w14:textId="77777777" w:rsidR="00634B82" w:rsidRDefault="00634B82" w:rsidP="00CB08CA">
            <w:pPr>
              <w:rPr>
                <w:rFonts w:ascii="Aptos" w:hAnsi="Aptos"/>
                <w:sz w:val="12"/>
                <w:szCs w:val="12"/>
              </w:rPr>
            </w:pPr>
          </w:p>
          <w:p w14:paraId="3D99BFD6" w14:textId="15DB8326" w:rsidR="00CB08CA" w:rsidRDefault="00CB08CA" w:rsidP="00CB08CA">
            <w:pPr>
              <w:rPr>
                <w:rFonts w:ascii="Aptos" w:hAnsi="Aptos"/>
                <w:sz w:val="12"/>
                <w:szCs w:val="12"/>
              </w:rPr>
            </w:pPr>
            <w:r w:rsidRPr="00AB2D41">
              <w:rPr>
                <w:rFonts w:ascii="Aptos" w:hAnsi="Aptos"/>
                <w:b/>
                <w:bCs/>
                <w:sz w:val="12"/>
                <w:szCs w:val="12"/>
              </w:rPr>
              <w:t>Alprazolam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="009859BA">
              <w:rPr>
                <w:rFonts w:ascii="Aptos" w:hAnsi="Aptos"/>
                <w:sz w:val="12"/>
                <w:szCs w:val="12"/>
              </w:rPr>
              <w:t>Précaution si grossesse</w:t>
            </w:r>
          </w:p>
          <w:p w14:paraId="5B6F910A" w14:textId="24BC0D44" w:rsidR="009859BA" w:rsidRDefault="009859BA" w:rsidP="00CB08CA">
            <w:pPr>
              <w:rPr>
                <w:rFonts w:ascii="Aptos" w:hAnsi="Aptos"/>
                <w:sz w:val="12"/>
                <w:szCs w:val="12"/>
              </w:rPr>
            </w:pPr>
            <w:r w:rsidRPr="00AB2D41">
              <w:rPr>
                <w:rFonts w:ascii="Aptos" w:hAnsi="Aptos"/>
                <w:b/>
                <w:bCs/>
                <w:sz w:val="12"/>
                <w:szCs w:val="12"/>
              </w:rPr>
              <w:t>Lithium</w:t>
            </w:r>
            <w:r>
              <w:rPr>
                <w:rFonts w:ascii="Aptos" w:hAnsi="Aptos"/>
                <w:sz w:val="12"/>
                <w:szCs w:val="12"/>
              </w:rPr>
              <w:t xml:space="preserve"> : </w:t>
            </w:r>
            <w:r w:rsidR="00E156AD">
              <w:rPr>
                <w:rFonts w:ascii="Aptos" w:hAnsi="Aptos"/>
                <w:sz w:val="12"/>
                <w:szCs w:val="12"/>
              </w:rPr>
              <w:t>CI grossesse</w:t>
            </w:r>
            <w:r>
              <w:rPr>
                <w:rFonts w:ascii="Aptos" w:hAnsi="Aptos"/>
                <w:sz w:val="12"/>
                <w:szCs w:val="12"/>
              </w:rPr>
              <w:t xml:space="preserve"> CI si allaitement/ </w:t>
            </w:r>
            <w:r w:rsidR="00B176EA">
              <w:rPr>
                <w:rFonts w:ascii="Aptos" w:hAnsi="Aptos"/>
                <w:sz w:val="12"/>
                <w:szCs w:val="12"/>
              </w:rPr>
              <w:t>IM déconseillé</w:t>
            </w:r>
            <w:r w:rsidR="00846A89">
              <w:rPr>
                <w:rFonts w:ascii="Aptos" w:hAnsi="Aptos"/>
                <w:sz w:val="12"/>
                <w:szCs w:val="12"/>
              </w:rPr>
              <w:t xml:space="preserve"> </w:t>
            </w:r>
            <w:r>
              <w:rPr>
                <w:rFonts w:ascii="Aptos" w:hAnsi="Aptos"/>
                <w:sz w:val="12"/>
                <w:szCs w:val="12"/>
              </w:rPr>
              <w:t>AINS (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Augm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. Lithémie) </w:t>
            </w:r>
          </w:p>
          <w:p w14:paraId="4599D9C2" w14:textId="268C4AA6" w:rsidR="009859BA" w:rsidRDefault="00AB2D41" w:rsidP="00CB08CA">
            <w:pPr>
              <w:rPr>
                <w:rFonts w:ascii="Aptos" w:hAnsi="Aptos"/>
                <w:sz w:val="12"/>
                <w:szCs w:val="12"/>
              </w:rPr>
            </w:pPr>
            <w:r w:rsidRPr="00AB2D41">
              <w:rPr>
                <w:rFonts w:ascii="Aptos" w:hAnsi="Aptos"/>
                <w:b/>
                <w:bCs/>
                <w:sz w:val="12"/>
                <w:szCs w:val="12"/>
              </w:rPr>
              <w:t>Théralène</w:t>
            </w:r>
            <w:r w:rsidR="009859BA">
              <w:rPr>
                <w:rFonts w:ascii="Aptos" w:hAnsi="Aptos"/>
                <w:sz w:val="12"/>
                <w:szCs w:val="12"/>
              </w:rPr>
              <w:t> : déconseillé si grossesse et allaitement</w:t>
            </w:r>
          </w:p>
          <w:p w14:paraId="7C165204" w14:textId="77777777" w:rsidR="009859BA" w:rsidRDefault="009859BA" w:rsidP="00CB08CA">
            <w:pPr>
              <w:rPr>
                <w:rFonts w:ascii="Aptos" w:hAnsi="Aptos"/>
                <w:sz w:val="12"/>
                <w:szCs w:val="12"/>
              </w:rPr>
            </w:pPr>
            <w:proofErr w:type="spellStart"/>
            <w:r w:rsidRPr="00AB2D41">
              <w:rPr>
                <w:rFonts w:ascii="Aptos" w:hAnsi="Aptos"/>
                <w:b/>
                <w:bCs/>
                <w:sz w:val="12"/>
                <w:szCs w:val="12"/>
              </w:rPr>
              <w:t>Efflexor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> : PE si grossesse et allaitement</w:t>
            </w:r>
          </w:p>
          <w:p w14:paraId="0AC2EB6F" w14:textId="77777777" w:rsidR="009859BA" w:rsidRDefault="009859BA" w:rsidP="00CB08CA">
            <w:pPr>
              <w:rPr>
                <w:rFonts w:ascii="Aptos" w:hAnsi="Aptos"/>
                <w:sz w:val="12"/>
                <w:szCs w:val="12"/>
              </w:rPr>
            </w:pPr>
          </w:p>
          <w:p w14:paraId="6FD268D3" w14:textId="4E6211FA" w:rsidR="009859BA" w:rsidRDefault="009859BA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Surveillance de la lithémie en début de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ttt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pour lithium / FR (créatinine</w:t>
            </w:r>
            <w:r w:rsidR="00634B82">
              <w:rPr>
                <w:rFonts w:ascii="Aptos" w:hAnsi="Aptos"/>
                <w:sz w:val="12"/>
                <w:szCs w:val="12"/>
              </w:rPr>
              <w:t xml:space="preserve"> =&gt; </w:t>
            </w:r>
            <w:r>
              <w:rPr>
                <w:rFonts w:ascii="Aptos" w:hAnsi="Aptos"/>
                <w:sz w:val="12"/>
                <w:szCs w:val="12"/>
              </w:rPr>
              <w:t>DFG)</w:t>
            </w:r>
          </w:p>
          <w:p w14:paraId="4877917B" w14:textId="60C77E30" w:rsidR="00E156AD" w:rsidRDefault="00E156AD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Objectif lithémie : 0,8 - 1,2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mmol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>/L (le matin tous les 6 mois)</w:t>
            </w:r>
          </w:p>
          <w:p w14:paraId="35D9923A" w14:textId="3E466355" w:rsidR="00634B82" w:rsidRDefault="00634B82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Lithium : tératogène</w:t>
            </w:r>
            <w:r w:rsidR="00846A89">
              <w:rPr>
                <w:rFonts w:ascii="Aptos" w:hAnsi="Aptos"/>
                <w:sz w:val="12"/>
                <w:szCs w:val="12"/>
              </w:rPr>
              <w:t xml:space="preserve"> (mal. </w:t>
            </w:r>
            <w:proofErr w:type="spellStart"/>
            <w:r w:rsidR="00846A89">
              <w:rPr>
                <w:rFonts w:ascii="Aptos" w:hAnsi="Aptos"/>
                <w:sz w:val="12"/>
                <w:szCs w:val="12"/>
              </w:rPr>
              <w:t>Cardiaqque</w:t>
            </w:r>
            <w:proofErr w:type="spellEnd"/>
            <w:r w:rsidR="00846A89">
              <w:rPr>
                <w:rFonts w:ascii="Aptos" w:hAnsi="Aptos"/>
                <w:sz w:val="12"/>
                <w:szCs w:val="12"/>
              </w:rPr>
              <w:t xml:space="preserve"> à partir du 50 </w:t>
            </w:r>
            <w:proofErr w:type="spellStart"/>
            <w:r w:rsidR="00846A89">
              <w:rPr>
                <w:rFonts w:ascii="Aptos" w:hAnsi="Aptos"/>
                <w:sz w:val="12"/>
                <w:szCs w:val="12"/>
              </w:rPr>
              <w:t>ème</w:t>
            </w:r>
            <w:proofErr w:type="spellEnd"/>
            <w:r w:rsidR="00846A89">
              <w:rPr>
                <w:rFonts w:ascii="Aptos" w:hAnsi="Aptos"/>
                <w:sz w:val="12"/>
                <w:szCs w:val="12"/>
              </w:rPr>
              <w:t xml:space="preserve"> jour)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  <w:r w:rsidR="00846A89">
              <w:rPr>
                <w:rFonts w:ascii="Aptos" w:hAnsi="Aptos"/>
                <w:sz w:val="12"/>
                <w:szCs w:val="12"/>
              </w:rPr>
              <w:t xml:space="preserve">=&gt; s’assurer qu’il y a une contraception </w:t>
            </w:r>
            <w:r>
              <w:rPr>
                <w:rFonts w:ascii="Aptos" w:hAnsi="Aptos"/>
                <w:sz w:val="12"/>
                <w:szCs w:val="12"/>
              </w:rPr>
              <w:t>/ comprimé sécable parce que 2,5</w:t>
            </w:r>
            <w:r w:rsidR="00E156AD">
              <w:rPr>
                <w:rFonts w:ascii="Aptos" w:hAnsi="Aptos"/>
                <w:sz w:val="12"/>
                <w:szCs w:val="12"/>
              </w:rPr>
              <w:t xml:space="preserve"> LP /  </w:t>
            </w:r>
          </w:p>
          <w:p w14:paraId="7AA6A59E" w14:textId="6C97F244" w:rsidR="00E156AD" w:rsidRDefault="001A26F2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Lithium peut favoriser apparition d’un syndrome métabolique : prise de poids, modification de l’appétit, diminution de l’activité physique, effets métaboliques)</w:t>
            </w:r>
          </w:p>
          <w:p w14:paraId="16A0390B" w14:textId="77777777" w:rsidR="00E156AD" w:rsidRDefault="00E156AD" w:rsidP="00CB08CA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Surveiller thyroïdes</w:t>
            </w:r>
          </w:p>
          <w:p w14:paraId="36B3B521" w14:textId="5E5A1FB2" w:rsidR="00E156AD" w:rsidRPr="00A35007" w:rsidRDefault="00E156AD" w:rsidP="00CB08CA">
            <w:pPr>
              <w:rPr>
                <w:rFonts w:ascii="Aptos" w:hAnsi="Aptos"/>
                <w:sz w:val="12"/>
                <w:szCs w:val="12"/>
              </w:rPr>
            </w:pPr>
          </w:p>
        </w:tc>
      </w:tr>
      <w:tr w:rsidR="00CB08CA" w14:paraId="3153A37D" w14:textId="77777777" w:rsidTr="001A26F2">
        <w:tc>
          <w:tcPr>
            <w:tcW w:w="5962" w:type="dxa"/>
            <w:shd w:val="clear" w:color="auto" w:fill="auto"/>
          </w:tcPr>
          <w:p w14:paraId="3DEFE4AA" w14:textId="12F68CBB" w:rsidR="00CB08CA" w:rsidRPr="00A35007" w:rsidRDefault="00CB08CA" w:rsidP="00A35007">
            <w:pPr>
              <w:jc w:val="center"/>
              <w:rPr>
                <w:rFonts w:ascii="Aptos" w:hAnsi="Aptos"/>
                <w:sz w:val="12"/>
                <w:szCs w:val="12"/>
              </w:rPr>
            </w:pPr>
            <w:r w:rsidRPr="00A3500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1781AD77" wp14:editId="59D8F95A">
                  <wp:extent cx="3076897" cy="1121134"/>
                  <wp:effectExtent l="0" t="0" r="0" b="0"/>
                  <wp:docPr id="14477773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77320" name=""/>
                          <pic:cNvPicPr/>
                        </pic:nvPicPr>
                        <pic:blipFill rotWithShape="1">
                          <a:blip r:embed="rId5"/>
                          <a:srcRect t="55026"/>
                          <a:stretch/>
                        </pic:blipFill>
                        <pic:spPr bwMode="auto">
                          <a:xfrm>
                            <a:off x="0" y="0"/>
                            <a:ext cx="3131062" cy="114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404C4094" w14:textId="4856327A" w:rsidR="004A23B1" w:rsidRDefault="004A23B1" w:rsidP="004A23B1">
            <w:pPr>
              <w:tabs>
                <w:tab w:val="left" w:pos="1453"/>
              </w:tabs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Ordo recevable</w:t>
            </w:r>
            <w:r>
              <w:rPr>
                <w:rFonts w:ascii="Aptos" w:hAnsi="Aptos"/>
                <w:sz w:val="12"/>
                <w:szCs w:val="12"/>
              </w:rPr>
              <w:tab/>
            </w:r>
          </w:p>
          <w:p w14:paraId="4E848F68" w14:textId="10FCAEAB" w:rsidR="004A23B1" w:rsidRDefault="004A23B1" w:rsidP="004A23B1">
            <w:pPr>
              <w:tabs>
                <w:tab w:val="left" w:pos="1453"/>
              </w:tabs>
              <w:rPr>
                <w:rFonts w:ascii="Aptos" w:hAnsi="Aptos"/>
                <w:sz w:val="12"/>
                <w:szCs w:val="12"/>
              </w:rPr>
            </w:pPr>
            <w:proofErr w:type="spellStart"/>
            <w:r>
              <w:rPr>
                <w:rFonts w:ascii="Aptos" w:hAnsi="Aptos"/>
                <w:sz w:val="12"/>
                <w:szCs w:val="12"/>
              </w:rPr>
              <w:t>IsRS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=&gt; AD</w:t>
            </w:r>
            <w:r w:rsidR="00F66224">
              <w:rPr>
                <w:rFonts w:ascii="Aptos" w:hAnsi="Aptos"/>
                <w:sz w:val="12"/>
                <w:szCs w:val="12"/>
              </w:rPr>
              <w:t xml:space="preserve"> =&gt; </w:t>
            </w:r>
            <w:proofErr w:type="gramStart"/>
            <w:r w:rsidR="00F66224">
              <w:rPr>
                <w:rFonts w:ascii="Aptos" w:hAnsi="Aptos"/>
                <w:sz w:val="12"/>
                <w:szCs w:val="12"/>
              </w:rPr>
              <w:t>/!\</w:t>
            </w:r>
            <w:proofErr w:type="gramEnd"/>
            <w:r w:rsidR="00F66224">
              <w:rPr>
                <w:rFonts w:ascii="Aptos" w:hAnsi="Aptos"/>
                <w:sz w:val="12"/>
                <w:szCs w:val="12"/>
              </w:rPr>
              <w:t xml:space="preserve"> torsade de pointe possible / risque </w:t>
            </w:r>
            <w:proofErr w:type="spellStart"/>
            <w:r w:rsidR="00F66224">
              <w:rPr>
                <w:rFonts w:ascii="Aptos" w:hAnsi="Aptos"/>
                <w:sz w:val="12"/>
                <w:szCs w:val="12"/>
              </w:rPr>
              <w:t>hypersérotoninergique</w:t>
            </w:r>
            <w:proofErr w:type="spellEnd"/>
            <w:r w:rsidR="00F66224">
              <w:rPr>
                <w:rFonts w:ascii="Aptos" w:hAnsi="Aptos"/>
                <w:sz w:val="12"/>
                <w:szCs w:val="12"/>
              </w:rPr>
              <w:t xml:space="preserve"> et hyponatrémie</w:t>
            </w:r>
          </w:p>
          <w:p w14:paraId="04F48640" w14:textId="77777777" w:rsidR="00F66224" w:rsidRPr="00F66224" w:rsidRDefault="00F66224" w:rsidP="00F66224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Suivi</w:t>
            </w:r>
          </w:p>
          <w:p w14:paraId="33CEEAB7" w14:textId="77777777" w:rsidR="00F66224" w:rsidRPr="00F66224" w:rsidRDefault="00F66224" w:rsidP="00F6622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Les 2 premières semaines afin d’évaluer la tolérance et le risque suicidaire</w:t>
            </w:r>
          </w:p>
          <w:p w14:paraId="240F416E" w14:textId="77777777" w:rsidR="00F66224" w:rsidRPr="00F66224" w:rsidRDefault="00F66224" w:rsidP="00F6622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À 4 semaines pour évaluer l’efficacité</w:t>
            </w:r>
          </w:p>
          <w:p w14:paraId="784DCF5B" w14:textId="77777777" w:rsidR="00F66224" w:rsidRPr="00F66224" w:rsidRDefault="00F66224" w:rsidP="00F6622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Suivi tension, poids, ECG, ionogramme</w:t>
            </w:r>
          </w:p>
          <w:p w14:paraId="5C18D150" w14:textId="77777777" w:rsidR="00F66224" w:rsidRPr="00F66224" w:rsidRDefault="00F66224" w:rsidP="00F6622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Effets indésirables</w:t>
            </w:r>
          </w:p>
          <w:p w14:paraId="3F22E29F" w14:textId="77777777" w:rsidR="00F66224" w:rsidRPr="00F66224" w:rsidRDefault="00F66224" w:rsidP="00F6622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Adhésion médicamenteuse</w:t>
            </w:r>
          </w:p>
          <w:p w14:paraId="385CD191" w14:textId="77777777" w:rsidR="00F66224" w:rsidRPr="00F66224" w:rsidRDefault="00F66224" w:rsidP="00F6622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</w:pPr>
            <w:r w:rsidRPr="00F66224">
              <w:rPr>
                <w:rFonts w:ascii="Aptos" w:eastAsiaTheme="minorHAnsi" w:hAnsi="Aptos" w:cstheme="minorBidi"/>
                <w:color w:val="auto"/>
                <w:kern w:val="2"/>
                <w:sz w:val="12"/>
                <w:szCs w:val="12"/>
                <w:lang w:eastAsia="en-US"/>
                <w14:ligatures w14:val="standardContextual"/>
              </w:rPr>
              <w:t>• Intervention auprès de l’entourage</w:t>
            </w:r>
          </w:p>
          <w:p w14:paraId="5F13EF0B" w14:textId="3CF07411" w:rsidR="00F66224" w:rsidRDefault="00F66224" w:rsidP="004A23B1">
            <w:pPr>
              <w:tabs>
                <w:tab w:val="left" w:pos="1453"/>
              </w:tabs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5 à 20mg/j =&gt; bonne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poso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ici, max</w:t>
            </w:r>
          </w:p>
          <w:p w14:paraId="009A0F8F" w14:textId="3F22B26C" w:rsidR="004A23B1" w:rsidRPr="00A35007" w:rsidRDefault="004A23B1" w:rsidP="004A23B1">
            <w:pPr>
              <w:rPr>
                <w:rFonts w:ascii="Aptos" w:hAnsi="Aptos"/>
                <w:sz w:val="12"/>
                <w:szCs w:val="12"/>
              </w:rPr>
            </w:pPr>
          </w:p>
        </w:tc>
      </w:tr>
      <w:tr w:rsidR="00CB08CA" w14:paraId="55EB5E01" w14:textId="77777777" w:rsidTr="001A26F2">
        <w:tc>
          <w:tcPr>
            <w:tcW w:w="5962" w:type="dxa"/>
            <w:shd w:val="clear" w:color="auto" w:fill="auto"/>
          </w:tcPr>
          <w:p w14:paraId="70B3B146" w14:textId="60494165" w:rsidR="00CB08CA" w:rsidRPr="00A35007" w:rsidRDefault="00CB08CA" w:rsidP="00A35007">
            <w:pPr>
              <w:jc w:val="center"/>
              <w:rPr>
                <w:rFonts w:ascii="Aptos" w:hAnsi="Aptos"/>
                <w:sz w:val="12"/>
                <w:szCs w:val="12"/>
              </w:rPr>
            </w:pPr>
            <w:r w:rsidRPr="00A35007">
              <w:rPr>
                <w:rFonts w:ascii="Aptos" w:hAnsi="Aptos"/>
                <w:noProof/>
                <w:sz w:val="12"/>
                <w:szCs w:val="12"/>
              </w:rPr>
              <w:drawing>
                <wp:inline distT="0" distB="0" distL="0" distR="0" wp14:anchorId="755E9DE0" wp14:editId="3EE03D90">
                  <wp:extent cx="2664867" cy="1049572"/>
                  <wp:effectExtent l="0" t="0" r="2540" b="5080"/>
                  <wp:docPr id="11533660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366093" name=""/>
                          <pic:cNvPicPr/>
                        </pic:nvPicPr>
                        <pic:blipFill rotWithShape="1">
                          <a:blip r:embed="rId6"/>
                          <a:srcRect t="45947"/>
                          <a:stretch/>
                        </pic:blipFill>
                        <pic:spPr bwMode="auto">
                          <a:xfrm>
                            <a:off x="0" y="0"/>
                            <a:ext cx="2691850" cy="106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21743FFC" w14:textId="7FBBE0A5" w:rsidR="0051399F" w:rsidRDefault="0051399F" w:rsidP="00AA1E30">
            <w:pPr>
              <w:rPr>
                <w:rFonts w:ascii="Aptos" w:hAnsi="Aptos"/>
                <w:sz w:val="12"/>
                <w:szCs w:val="12"/>
              </w:rPr>
            </w:pPr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Haldol (Halopéridol)</w:t>
            </w:r>
            <w:r>
              <w:rPr>
                <w:rFonts w:ascii="Aptos" w:hAnsi="Aptos"/>
                <w:sz w:val="12"/>
                <w:szCs w:val="12"/>
              </w:rPr>
              <w:t xml:space="preserve"> : Psycholeptiques (dérivés de la butyrophénone) : PEC </w:t>
            </w:r>
            <w:r w:rsidR="001A26F2">
              <w:rPr>
                <w:rFonts w:ascii="Aptos" w:hAnsi="Aptos"/>
                <w:sz w:val="12"/>
                <w:szCs w:val="12"/>
              </w:rPr>
              <w:t>schizophrénie</w:t>
            </w:r>
            <w:r>
              <w:rPr>
                <w:rFonts w:ascii="Aptos" w:hAnsi="Aptos"/>
                <w:sz w:val="12"/>
                <w:szCs w:val="12"/>
              </w:rPr>
              <w:t xml:space="preserve"> </w:t>
            </w:r>
          </w:p>
          <w:p w14:paraId="6BC647C8" w14:textId="45B53841" w:rsidR="001A26F2" w:rsidRDefault="001A26F2" w:rsidP="00AA1E30">
            <w:pPr>
              <w:rPr>
                <w:rFonts w:ascii="Aptos" w:hAnsi="Aptos"/>
                <w:sz w:val="12"/>
                <w:szCs w:val="12"/>
              </w:rPr>
            </w:pPr>
            <w:r w:rsidRPr="001A26F2">
              <w:rPr>
                <w:rFonts w:ascii="Aptos" w:hAnsi="Aptos"/>
                <w:sz w:val="12"/>
                <w:szCs w:val="12"/>
                <w:u w:val="single"/>
              </w:rPr>
              <w:t>EI antipsychotique : Syndrome métabolique</w:t>
            </w:r>
            <w:r>
              <w:rPr>
                <w:rFonts w:ascii="Aptos" w:hAnsi="Aptos"/>
                <w:sz w:val="12"/>
                <w:szCs w:val="12"/>
              </w:rPr>
              <w:t xml:space="preserve"> : hypertension artérielle, dyslipidémie, obésité abdominale, augmentation de la glycémie à jeun =&gt; FR cardiovasculaire et DT2 </w:t>
            </w:r>
          </w:p>
          <w:p w14:paraId="08778612" w14:textId="65075ACA" w:rsidR="001A26F2" w:rsidRDefault="001A26F2" w:rsidP="00AA1E30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=&gt; peut favoriser apparition d’un syndrome métabolique : prise de poids, modification de l’appétit, diminution de l’activité physique, effets métaboliques) </w:t>
            </w:r>
          </w:p>
          <w:p w14:paraId="3EE5EB19" w14:textId="1BEB0039" w:rsidR="00AA1E30" w:rsidRDefault="0051399F" w:rsidP="00AA1E30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 xml:space="preserve"> =&gt; </w:t>
            </w:r>
            <w:r w:rsidR="00AA1E30">
              <w:rPr>
                <w:rFonts w:ascii="Aptos" w:hAnsi="Aptos"/>
                <w:sz w:val="12"/>
                <w:szCs w:val="12"/>
              </w:rPr>
              <w:t>NL I</w:t>
            </w:r>
            <w:r w:rsidR="00D240E3">
              <w:rPr>
                <w:rFonts w:ascii="Aptos" w:hAnsi="Aptos"/>
                <w:sz w:val="12"/>
                <w:szCs w:val="12"/>
              </w:rPr>
              <w:t xml:space="preserve">M </w:t>
            </w:r>
            <w:r w:rsidR="00AA1E30">
              <w:rPr>
                <w:rFonts w:ascii="Aptos" w:hAnsi="Aptos"/>
                <w:sz w:val="12"/>
                <w:szCs w:val="12"/>
              </w:rPr>
              <w:t>4 semaines</w:t>
            </w:r>
            <w:r w:rsidR="00D240E3">
              <w:rPr>
                <w:rFonts w:ascii="Aptos" w:hAnsi="Aptos"/>
                <w:sz w:val="12"/>
                <w:szCs w:val="12"/>
              </w:rPr>
              <w:t xml:space="preserve"> =&gt; favoriser observance (chronique) (car E2 et difficultés d’observance avec VO)</w:t>
            </w:r>
          </w:p>
          <w:p w14:paraId="292EA7FA" w14:textId="0478E0D7" w:rsidR="001A26F2" w:rsidRDefault="001A26F2" w:rsidP="00AA1E30">
            <w:pPr>
              <w:rPr>
                <w:rFonts w:ascii="Aptos" w:hAnsi="Aptos"/>
                <w:sz w:val="12"/>
                <w:szCs w:val="12"/>
              </w:rPr>
            </w:pPr>
            <w:r>
              <w:rPr>
                <w:rFonts w:ascii="Aptos" w:hAnsi="Aptos"/>
                <w:sz w:val="12"/>
                <w:szCs w:val="12"/>
              </w:rPr>
              <w:t>Dépistage syndrome métabolique : à l’instauration et au cours : surveillance poids, glycémie, PA, bilan lipidique tous les ans =&gt; habitudes alimentaire, activités physiques, sevrage tabagique, consommation d’alcool</w:t>
            </w:r>
          </w:p>
          <w:p w14:paraId="4506D105" w14:textId="77777777" w:rsidR="00AA1E30" w:rsidRDefault="0051399F" w:rsidP="0051399F">
            <w:pPr>
              <w:rPr>
                <w:rFonts w:ascii="Aptos" w:hAnsi="Aptos"/>
                <w:sz w:val="12"/>
                <w:szCs w:val="12"/>
              </w:rPr>
            </w:pPr>
            <w:proofErr w:type="spellStart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Cyamemazine</w:t>
            </w:r>
            <w:proofErr w:type="spellEnd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 xml:space="preserve"> (Tercian)</w:t>
            </w:r>
            <w:r>
              <w:rPr>
                <w:rFonts w:ascii="Aptos" w:hAnsi="Aptos"/>
                <w:sz w:val="12"/>
                <w:szCs w:val="12"/>
              </w:rPr>
              <w:t> : Psycholeptiques (phénothiazines à chaine aliphatique) : anxiété, épisode dépressif majeur, état psychotique aigu ou chronique</w:t>
            </w:r>
          </w:p>
          <w:p w14:paraId="0988ADD1" w14:textId="77777777" w:rsidR="0051399F" w:rsidRDefault="0051399F" w:rsidP="0051399F">
            <w:pPr>
              <w:rPr>
                <w:rFonts w:ascii="Aptos" w:hAnsi="Aptos"/>
                <w:sz w:val="12"/>
                <w:szCs w:val="12"/>
              </w:rPr>
            </w:pPr>
            <w:proofErr w:type="spellStart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Anétholtrithione</w:t>
            </w:r>
            <w:proofErr w:type="spellEnd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 xml:space="preserve"> (</w:t>
            </w:r>
            <w:proofErr w:type="spellStart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Sulfarlem</w:t>
            </w:r>
            <w:proofErr w:type="spellEnd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> : PEC voies digestives et métabolisme (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anethole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ptos" w:hAnsi="Aptos"/>
                <w:sz w:val="12"/>
                <w:szCs w:val="12"/>
              </w:rPr>
              <w:t>trithione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>)</w:t>
            </w:r>
            <w:r w:rsidR="001A26F2">
              <w:rPr>
                <w:rFonts w:ascii="Aptos" w:hAnsi="Aptos"/>
                <w:sz w:val="12"/>
                <w:szCs w:val="12"/>
              </w:rPr>
              <w:t> : dyspepsie, hyposialie, xérostomie post radiothérapique</w:t>
            </w:r>
          </w:p>
          <w:p w14:paraId="233F7EAC" w14:textId="5DCA28F4" w:rsidR="001A26F2" w:rsidRPr="00A35007" w:rsidRDefault="001A26F2" w:rsidP="0051399F">
            <w:pPr>
              <w:rPr>
                <w:rFonts w:ascii="Aptos" w:hAnsi="Aptos"/>
                <w:sz w:val="12"/>
                <w:szCs w:val="12"/>
              </w:rPr>
            </w:pPr>
            <w:proofErr w:type="spellStart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Tropatépine</w:t>
            </w:r>
            <w:proofErr w:type="spellEnd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 xml:space="preserve"> chlorhydrate (</w:t>
            </w:r>
            <w:proofErr w:type="spellStart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Lepticur</w:t>
            </w:r>
            <w:proofErr w:type="spellEnd"/>
            <w:r w:rsidRPr="001A26F2">
              <w:rPr>
                <w:rFonts w:ascii="Aptos" w:hAnsi="Aptos"/>
                <w:b/>
                <w:bCs/>
                <w:sz w:val="12"/>
                <w:szCs w:val="12"/>
              </w:rPr>
              <w:t>)</w:t>
            </w:r>
            <w:r>
              <w:rPr>
                <w:rFonts w:ascii="Aptos" w:hAnsi="Aptos"/>
                <w:sz w:val="12"/>
                <w:szCs w:val="12"/>
              </w:rPr>
              <w:t xml:space="preserve"> : antiparkinsoniens anticholinergiques (</w:t>
            </w:r>
            <w:proofErr w:type="spellStart"/>
            <w:proofErr w:type="gramStart"/>
            <w:r>
              <w:rPr>
                <w:rFonts w:ascii="Aptos" w:hAnsi="Aptos"/>
                <w:sz w:val="12"/>
                <w:szCs w:val="12"/>
              </w:rPr>
              <w:t>tropatépine</w:t>
            </w:r>
            <w:proofErr w:type="spellEnd"/>
            <w:r>
              <w:rPr>
                <w:rFonts w:ascii="Aptos" w:hAnsi="Aptos"/>
                <w:sz w:val="12"/>
                <w:szCs w:val="12"/>
              </w:rPr>
              <w:t>)  :</w:t>
            </w:r>
            <w:proofErr w:type="gramEnd"/>
            <w:r>
              <w:rPr>
                <w:rFonts w:ascii="Aptos" w:hAnsi="Aptos"/>
                <w:sz w:val="12"/>
                <w:szCs w:val="12"/>
              </w:rPr>
              <w:t xml:space="preserve"> PEC parkinson</w:t>
            </w:r>
          </w:p>
        </w:tc>
      </w:tr>
    </w:tbl>
    <w:p w14:paraId="1E48052C" w14:textId="77777777" w:rsidR="00A35007" w:rsidRDefault="00A35007"/>
    <w:sectPr w:rsidR="00A35007" w:rsidSect="00A350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007"/>
    <w:rsid w:val="0005658E"/>
    <w:rsid w:val="000758D9"/>
    <w:rsid w:val="001A26F2"/>
    <w:rsid w:val="001E6408"/>
    <w:rsid w:val="00246DE2"/>
    <w:rsid w:val="004A23B1"/>
    <w:rsid w:val="0051399F"/>
    <w:rsid w:val="00634B82"/>
    <w:rsid w:val="00846A89"/>
    <w:rsid w:val="00940CC0"/>
    <w:rsid w:val="009859BA"/>
    <w:rsid w:val="00A35007"/>
    <w:rsid w:val="00AA1E30"/>
    <w:rsid w:val="00AB2D41"/>
    <w:rsid w:val="00B176EA"/>
    <w:rsid w:val="00CB08CA"/>
    <w:rsid w:val="00D240E3"/>
    <w:rsid w:val="00E156AD"/>
    <w:rsid w:val="00F6351D"/>
    <w:rsid w:val="00F66224"/>
    <w:rsid w:val="00F8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0893D"/>
  <w15:chartTrackingRefBased/>
  <w15:docId w15:val="{84EF3CC9-575F-2249-BCEA-8E5CBF9E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350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350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350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350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350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350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350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350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350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350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350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350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3500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3500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3500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3500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3500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3500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350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35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350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350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350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3500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3500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3500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50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500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3500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35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F66224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48"/>
      <w:szCs w:val="48"/>
      <w:lang w:eastAsia="fr-FR"/>
      <w14:ligatures w14:val="none"/>
    </w:rPr>
  </w:style>
  <w:style w:type="paragraph" w:customStyle="1" w:styleId="p2">
    <w:name w:val="p2"/>
    <w:basedOn w:val="Normal"/>
    <w:rsid w:val="00F66224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0"/>
      <w:szCs w:val="30"/>
      <w:lang w:eastAsia="fr-FR"/>
      <w14:ligatures w14:val="none"/>
    </w:rPr>
  </w:style>
  <w:style w:type="paragraph" w:customStyle="1" w:styleId="p3">
    <w:name w:val="p3"/>
    <w:basedOn w:val="Normal"/>
    <w:rsid w:val="00F66224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0"/>
      <w:szCs w:val="30"/>
      <w:lang w:eastAsia="fr-FR"/>
      <w14:ligatures w14:val="none"/>
    </w:rPr>
  </w:style>
  <w:style w:type="character" w:customStyle="1" w:styleId="s1">
    <w:name w:val="s1"/>
    <w:basedOn w:val="Policepardfaut"/>
    <w:rsid w:val="00F66224"/>
    <w:rPr>
      <w:rFonts w:ascii="Arial" w:hAnsi="Arial" w:cs="Arial" w:hint="default"/>
      <w:sz w:val="30"/>
      <w:szCs w:val="30"/>
    </w:rPr>
  </w:style>
  <w:style w:type="character" w:customStyle="1" w:styleId="s2">
    <w:name w:val="s2"/>
    <w:basedOn w:val="Policepardfaut"/>
    <w:rsid w:val="00F66224"/>
    <w:rPr>
      <w:rFonts w:ascii="Arial" w:hAnsi="Arial" w:cs="Arial" w:hint="default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4</cp:revision>
  <dcterms:created xsi:type="dcterms:W3CDTF">2025-03-10T13:01:00Z</dcterms:created>
  <dcterms:modified xsi:type="dcterms:W3CDTF">2025-04-25T07:56:00Z</dcterms:modified>
</cp:coreProperties>
</file>