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341"/>
        <w:gridCol w:w="8860"/>
      </w:tblGrid>
      <w:tr w:rsidR="00DA261A" w14:paraId="48F85416" w14:textId="77777777" w:rsidTr="00853978">
        <w:tc>
          <w:tcPr>
            <w:tcW w:w="10201" w:type="dxa"/>
            <w:gridSpan w:val="2"/>
            <w:shd w:val="clear" w:color="auto" w:fill="156082" w:themeFill="accent1"/>
          </w:tcPr>
          <w:p w14:paraId="7745B9DD" w14:textId="38C8FD0F" w:rsidR="00DA261A" w:rsidRPr="00DA261A" w:rsidRDefault="00853978" w:rsidP="00853978">
            <w:pPr>
              <w:tabs>
                <w:tab w:val="left" w:pos="781"/>
                <w:tab w:val="center" w:pos="4992"/>
              </w:tabs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ab/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ab/>
            </w:r>
            <w:r w:rsidR="00DA261A" w:rsidRPr="0085397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Sécurité sanitaire alimentaire</w:t>
            </w:r>
          </w:p>
        </w:tc>
      </w:tr>
      <w:tr w:rsidR="00B45A24" w14:paraId="78F070B3" w14:textId="77777777" w:rsidTr="00853978">
        <w:tc>
          <w:tcPr>
            <w:tcW w:w="1341" w:type="dxa"/>
            <w:shd w:val="clear" w:color="auto" w:fill="DAE9F7" w:themeFill="text2" w:themeFillTint="1A"/>
          </w:tcPr>
          <w:p w14:paraId="79BEB31E" w14:textId="0FE6FB56" w:rsidR="00DA261A" w:rsidRPr="00853978" w:rsidRDefault="00DA261A" w:rsidP="00DA261A">
            <w:pPr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16"/>
                <w:szCs w:val="16"/>
              </w:rPr>
            </w:pPr>
            <w:r w:rsidRPr="00853978">
              <w:rPr>
                <w:rFonts w:ascii="Calibri" w:hAnsi="Calibri" w:cs="Calibri"/>
                <w:b/>
                <w:bCs/>
                <w:color w:val="153D63" w:themeColor="text2" w:themeTint="E6"/>
                <w:sz w:val="16"/>
                <w:szCs w:val="16"/>
              </w:rPr>
              <w:t>Crises alimentaires</w:t>
            </w:r>
          </w:p>
        </w:tc>
        <w:tc>
          <w:tcPr>
            <w:tcW w:w="8860" w:type="dxa"/>
          </w:tcPr>
          <w:p w14:paraId="23EA9204" w14:textId="0759EE67" w:rsidR="00DA261A" w:rsidRDefault="00DA261A">
            <w:r w:rsidRPr="00DA261A">
              <w:rPr>
                <w:noProof/>
              </w:rPr>
              <w:drawing>
                <wp:inline distT="0" distB="0" distL="0" distR="0" wp14:anchorId="4BE6390C" wp14:editId="2C60BC3B">
                  <wp:extent cx="2648309" cy="1268992"/>
                  <wp:effectExtent l="0" t="0" r="0" b="1270"/>
                  <wp:docPr id="4895315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53156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55" cy="128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A261A">
              <w:rPr>
                <w:noProof/>
              </w:rPr>
              <w:drawing>
                <wp:inline distT="0" distB="0" distL="0" distR="0" wp14:anchorId="3F71F035" wp14:editId="47686C84">
                  <wp:extent cx="2055478" cy="1242203"/>
                  <wp:effectExtent l="0" t="0" r="2540" b="2540"/>
                  <wp:docPr id="8349457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94577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309" cy="126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A24" w14:paraId="338463BE" w14:textId="77777777" w:rsidTr="00853978">
        <w:tc>
          <w:tcPr>
            <w:tcW w:w="1341" w:type="dxa"/>
            <w:shd w:val="clear" w:color="auto" w:fill="DAE9F7" w:themeFill="text2" w:themeFillTint="1A"/>
          </w:tcPr>
          <w:p w14:paraId="691E9F6B" w14:textId="77777777" w:rsidR="00DA261A" w:rsidRPr="00853978" w:rsidRDefault="00DA261A" w:rsidP="00DA261A">
            <w:pPr>
              <w:pStyle w:val="p1"/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16"/>
                <w:szCs w:val="16"/>
              </w:rPr>
            </w:pPr>
            <w:r w:rsidRPr="00853978">
              <w:rPr>
                <w:rFonts w:ascii="Calibri" w:hAnsi="Calibri" w:cs="Calibri"/>
                <w:b/>
                <w:bCs/>
                <w:color w:val="153D63" w:themeColor="text2" w:themeTint="E6"/>
                <w:sz w:val="16"/>
                <w:szCs w:val="16"/>
              </w:rPr>
              <w:t>Préoccupations liées à l’alimentation</w:t>
            </w:r>
          </w:p>
          <w:p w14:paraId="3B208DA5" w14:textId="77777777" w:rsidR="00DA261A" w:rsidRPr="00853978" w:rsidRDefault="00DA261A" w:rsidP="00DA261A">
            <w:pPr>
              <w:jc w:val="center"/>
              <w:rPr>
                <w:rFonts w:ascii="Calibri" w:hAnsi="Calibri" w:cs="Calibri"/>
                <w:b/>
                <w:bCs/>
                <w:color w:val="153D63" w:themeColor="text2" w:themeTint="E6"/>
                <w:sz w:val="16"/>
                <w:szCs w:val="16"/>
              </w:rPr>
            </w:pPr>
          </w:p>
        </w:tc>
        <w:tc>
          <w:tcPr>
            <w:tcW w:w="8860" w:type="dxa"/>
          </w:tcPr>
          <w:p w14:paraId="32350B59" w14:textId="77777777" w:rsidR="00DA261A" w:rsidRPr="00DA261A" w:rsidRDefault="00DA261A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27655 personnes</w:t>
            </w:r>
          </w:p>
          <w:p w14:paraId="5177E91A" w14:textId="3453A716" w:rsidR="00DA261A" w:rsidRPr="00DA261A" w:rsidRDefault="00DA261A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Principales préoccupations : résidus de pesticides, additifs, maladies animales, résidus d’ATB, </w:t>
            </w:r>
            <w:proofErr w:type="spellStart"/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hyg</w:t>
            </w:r>
            <w:proofErr w:type="spellEnd"/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 !</w:t>
            </w:r>
            <w:proofErr w:type="spellStart"/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iène</w:t>
            </w:r>
            <w:proofErr w:type="spellEnd"/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 alimentaire, infections causées par bactéries…</w:t>
            </w:r>
          </w:p>
          <w:p w14:paraId="44B7A5A6" w14:textId="1BD973C8" w:rsidR="00DA261A" w:rsidRPr="00DA261A" w:rsidRDefault="00DA261A" w:rsidP="00DA261A">
            <w:pPr>
              <w:pStyle w:val="p1"/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DA261A">
              <w:rPr>
                <w:rStyle w:val="s1"/>
                <w:rFonts w:ascii="Calibri" w:eastAsiaTheme="majorEastAsia" w:hAnsi="Calibri" w:cs="Calibri"/>
                <w:i/>
                <w:iCs/>
                <w:color w:val="000000" w:themeColor="text1"/>
                <w:sz w:val="14"/>
                <w:szCs w:val="14"/>
              </w:rPr>
              <w:t xml:space="preserve">« Des </w:t>
            </w:r>
            <w:r w:rsidRPr="00DA261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14"/>
                <w:szCs w:val="14"/>
              </w:rPr>
              <w:t>insuffisances subsistent à toutes les étapes de la chaîne de contrôle de la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14"/>
                <w:szCs w:val="14"/>
              </w:rPr>
              <w:t xml:space="preserve"> </w:t>
            </w:r>
            <w:r w:rsidRPr="00DA261A">
              <w:rPr>
                <w:rStyle w:val="s2"/>
                <w:rFonts w:ascii="Calibri" w:eastAsiaTheme="majorEastAsia" w:hAnsi="Calibri" w:cs="Calibri"/>
                <w:b/>
                <w:bCs/>
                <w:i/>
                <w:iCs/>
                <w:color w:val="000000" w:themeColor="text1"/>
                <w:sz w:val="14"/>
                <w:szCs w:val="14"/>
              </w:rPr>
              <w:t>sécurité sanitaire de l’alimentation</w:t>
            </w:r>
            <w:r w:rsidRPr="00DA261A"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>, depuis les autocontrôles réalisés par les</w:t>
            </w:r>
            <w:r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 xml:space="preserve"> </w:t>
            </w:r>
            <w:r w:rsidRPr="00DA261A">
              <w:rPr>
                <w:rStyle w:val="s3"/>
                <w:rFonts w:ascii="Calibri" w:eastAsiaTheme="majorEastAsia" w:hAnsi="Calibri" w:cs="Calibri"/>
                <w:i/>
                <w:iCs/>
                <w:color w:val="000000" w:themeColor="text1"/>
                <w:sz w:val="14"/>
                <w:szCs w:val="14"/>
              </w:rPr>
              <w:t>entreprises jusqu’à la publication des résultats des inspections »</w:t>
            </w:r>
          </w:p>
          <w:p w14:paraId="6AE6CE47" w14:textId="05438544" w:rsidR="00DA261A" w:rsidRPr="00DA261A" w:rsidRDefault="00DA261A" w:rsidP="00DA261A">
            <w:pPr>
              <w:pStyle w:val="p2"/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DA261A">
              <w:rPr>
                <w:rStyle w:val="s4"/>
                <w:rFonts w:ascii="Calibri" w:eastAsiaTheme="majorEastAsia" w:hAnsi="Calibri" w:cs="Calibri"/>
                <w:color w:val="000000" w:themeColor="text1"/>
                <w:sz w:val="14"/>
                <w:szCs w:val="14"/>
              </w:rPr>
              <w:sym w:font="Wingdings" w:char="F0F0"/>
            </w:r>
            <w:r w:rsidRPr="00DA261A">
              <w:rPr>
                <w:rStyle w:val="s4"/>
                <w:rFonts w:ascii="Calibri" w:eastAsiaTheme="majorEastAsia" w:hAnsi="Calibri" w:cs="Calibri"/>
                <w:color w:val="000000" w:themeColor="text1"/>
                <w:sz w:val="14"/>
                <w:szCs w:val="14"/>
              </w:rPr>
              <w:t xml:space="preserve"> </w:t>
            </w:r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Recommandations :</w:t>
            </w:r>
            <w:r w:rsid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 </w:t>
            </w:r>
            <w:r w:rsidRPr="00DA261A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Moyens renforcés pour autorités de contrôles publiques</w:t>
            </w:r>
            <w:r w:rsid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 ; </w:t>
            </w:r>
            <w:r w:rsidRPr="00DA261A">
              <w:rPr>
                <w:rStyle w:val="s3"/>
                <w:rFonts w:ascii="Calibri" w:eastAsiaTheme="majorEastAsia" w:hAnsi="Calibri" w:cs="Calibri"/>
                <w:color w:val="000000" w:themeColor="text1"/>
                <w:sz w:val="14"/>
                <w:szCs w:val="14"/>
              </w:rPr>
              <w:t>Transparence des résultats des contrôles</w:t>
            </w:r>
          </w:p>
        </w:tc>
      </w:tr>
      <w:tr w:rsidR="000A425C" w:rsidRPr="00DA261A" w14:paraId="61439D4A" w14:textId="77777777" w:rsidTr="00853978">
        <w:tc>
          <w:tcPr>
            <w:tcW w:w="1341" w:type="dxa"/>
            <w:shd w:val="clear" w:color="auto" w:fill="DAE9F7" w:themeFill="text2" w:themeFillTint="1A"/>
          </w:tcPr>
          <w:p w14:paraId="501C90BE" w14:textId="77777777" w:rsidR="00DA261A" w:rsidRPr="00853978" w:rsidRDefault="00DA261A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Généralités sur la sécurité sanitaire des aliments</w:t>
            </w:r>
          </w:p>
          <w:p w14:paraId="78F343DD" w14:textId="77777777" w:rsidR="00DA261A" w:rsidRPr="00853978" w:rsidRDefault="00DA261A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2E616F79" w14:textId="05207D9F" w:rsidR="00DA261A" w:rsidRPr="00CF674E" w:rsidRDefault="00DA261A" w:rsidP="00CF674E">
            <w:pPr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Définition : Absence – ou présence à un niveau acceptable et sûr – de risques alimentaires pouvant nuire à la santé des consommateurs</w:t>
            </w:r>
          </w:p>
          <w:p w14:paraId="6ABF3AA2" w14:textId="5761E586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Risques d’origine alimentaire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 : Microbiologique (court terme)/ Chimique (moyen et long terme)/ Physique (moyen et long terme)</w:t>
            </w:r>
          </w:p>
          <w:p w14:paraId="4849F1D4" w14:textId="6BDF2AAC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sym w:font="Symbol" w:char="F0DE"/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 Rôle essentiel pour garantir </w:t>
            </w: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aliments sains à tous les stades de la chaîne alimentaire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, de la production à la récolte, en passant par la transformation, le stockage, la distribution, la préparation et la consommation</w:t>
            </w:r>
          </w:p>
          <w:p w14:paraId="5FD1C3E1" w14:textId="77777777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Consommation d’aliments contaminés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 :  &gt;600 millions personnes malades/an ;  420 000 décès/an ; 33 millions d’années de vie en bonne santé</w:t>
            </w:r>
          </w:p>
          <w:p w14:paraId="51F9BDFB" w14:textId="4E3C4481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Populations vulnérables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 : &lt;5 ans (40 % morbidité imputable aux maladies d’origine alimentaire – 125 000 décès/an)/  régions à faible revenu</w:t>
            </w:r>
          </w:p>
          <w:p w14:paraId="6F9B5633" w14:textId="5BCEC416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Intoxication alimentaire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 =&gt; Problème de </w:t>
            </w:r>
            <w:r w:rsid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SP : 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Maladie fréquente </w:t>
            </w:r>
            <w:r w:rsid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(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risque élevé ou risque faible mais exposition fréquente </w:t>
            </w:r>
            <w:r w:rsid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)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; Potentiellement grave ; Sous-populations à risque ; Potentiel épidémique ; Coût social potentiel élevé ; Évitable par la prévention</w:t>
            </w:r>
          </w:p>
          <w:p w14:paraId="0E18737B" w14:textId="77777777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Agents pathogènes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 : bactérie (</w:t>
            </w:r>
            <w:proofErr w:type="spellStart"/>
            <w:r w:rsidRPr="00CF674E"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>salomnella</w:t>
            </w:r>
            <w:proofErr w:type="spellEnd"/>
            <w:r w:rsidRPr="00CF674E"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 w:rsidRPr="00CF674E"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>campylobacter</w:t>
            </w:r>
            <w:proofErr w:type="spellEnd"/>
            <w:r w:rsidRPr="00CF674E"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 xml:space="preserve">, </w:t>
            </w:r>
            <w:proofErr w:type="spellStart"/>
            <w:r w:rsidRPr="00CF674E"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>E.col</w:t>
            </w:r>
            <w:proofErr w:type="spellEnd"/>
            <w:r w:rsidRPr="00CF674E">
              <w:rPr>
                <w:rFonts w:ascii="Calibri" w:hAnsi="Calibri" w:cs="Calibri"/>
                <w:i/>
                <w:iCs/>
                <w:color w:val="000000" w:themeColor="text1"/>
                <w:sz w:val="14"/>
                <w:szCs w:val="14"/>
              </w:rPr>
              <w:t>, Listeria, Vibrio cholerae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), Virus (norovirus, Hépatite A), Parasite (trématodes), Prion</w:t>
            </w:r>
          </w:p>
          <w:p w14:paraId="277F7F4E" w14:textId="30F662A3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Agents chimiques pathogènes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 : Toxiques d’origine naturelles (mycotoxines, biotoxines, glycosides, </w:t>
            </w:r>
            <w:proofErr w:type="spellStart"/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cyanogénique</w:t>
            </w:r>
            <w:proofErr w:type="spellEnd"/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), Polluants organiques (dioxines), Métaux lourds (plomb, cadmium, mercure)</w:t>
            </w:r>
          </w:p>
        </w:tc>
      </w:tr>
      <w:tr w:rsidR="000A425C" w:rsidRPr="00DA261A" w14:paraId="38AF5A91" w14:textId="77777777" w:rsidTr="00853978">
        <w:tc>
          <w:tcPr>
            <w:tcW w:w="1341" w:type="dxa"/>
            <w:shd w:val="clear" w:color="auto" w:fill="DAE9F7" w:themeFill="text2" w:themeFillTint="1A"/>
          </w:tcPr>
          <w:p w14:paraId="79F6046F" w14:textId="4D23F718" w:rsidR="00DA261A" w:rsidRPr="00853978" w:rsidRDefault="00DA261A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Risques microbio</w:t>
            </w:r>
          </w:p>
        </w:tc>
        <w:tc>
          <w:tcPr>
            <w:tcW w:w="8860" w:type="dxa"/>
          </w:tcPr>
          <w:p w14:paraId="6E150D62" w14:textId="77CB3460" w:rsidR="00DA261A" w:rsidRPr="00CF674E" w:rsidRDefault="00DA261A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Origine : ferme, abatage, transformation</w:t>
            </w:r>
            <w:r w:rsid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s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 ultérieures, à la cuisine</w:t>
            </w:r>
          </w:p>
        </w:tc>
      </w:tr>
      <w:tr w:rsidR="000A425C" w:rsidRPr="00DA261A" w14:paraId="00E81AFE" w14:textId="77777777" w:rsidTr="00853978">
        <w:tc>
          <w:tcPr>
            <w:tcW w:w="1341" w:type="dxa"/>
            <w:shd w:val="clear" w:color="auto" w:fill="DAE9F7" w:themeFill="text2" w:themeFillTint="1A"/>
          </w:tcPr>
          <w:p w14:paraId="3A325128" w14:textId="3B41103B" w:rsidR="00DA261A" w:rsidRPr="00853978" w:rsidRDefault="004A08C4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Infection d’origine ali</w:t>
            </w:r>
            <w:r w:rsidR="00CF674E"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m.</w:t>
            </w:r>
          </w:p>
        </w:tc>
        <w:tc>
          <w:tcPr>
            <w:tcW w:w="8860" w:type="dxa"/>
          </w:tcPr>
          <w:p w14:paraId="51BD6592" w14:textId="77777777" w:rsidR="00DA261A" w:rsidRPr="000A425C" w:rsidRDefault="004A08C4" w:rsidP="00CF674E">
            <w:pPr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</w:pPr>
            <w:r w:rsidRPr="000A425C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 xml:space="preserve">Surveillance </w:t>
            </w:r>
          </w:p>
          <w:p w14:paraId="2B700553" w14:textId="22F3524E" w:rsidR="004A08C4" w:rsidRPr="00CF674E" w:rsidRDefault="004A08C4" w:rsidP="00CF674E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Centres nationaux de </w:t>
            </w:r>
            <w:r w:rsidR="00CF674E"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référence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 xml:space="preserve"> =&gt; agents pathogènes</w:t>
            </w:r>
          </w:p>
          <w:p w14:paraId="37603543" w14:textId="67115659" w:rsidR="004A08C4" w:rsidRPr="00CF674E" w:rsidRDefault="004A08C4" w:rsidP="00CF674E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Déclaration obligatoire =&gt; pathologies : 28 maladies à DO (36 infectieuses et 2 non infectieuses)</w:t>
            </w:r>
          </w:p>
        </w:tc>
      </w:tr>
      <w:tr w:rsidR="000A425C" w:rsidRPr="00DA261A" w14:paraId="44215563" w14:textId="77777777" w:rsidTr="00853978">
        <w:tc>
          <w:tcPr>
            <w:tcW w:w="1341" w:type="dxa"/>
            <w:shd w:val="clear" w:color="auto" w:fill="DAE9F7" w:themeFill="text2" w:themeFillTint="1A"/>
          </w:tcPr>
          <w:p w14:paraId="636038F8" w14:textId="224D0C40" w:rsidR="00DA261A" w:rsidRPr="00853978" w:rsidRDefault="004A08C4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TIAC</w:t>
            </w:r>
          </w:p>
        </w:tc>
        <w:tc>
          <w:tcPr>
            <w:tcW w:w="8860" w:type="dxa"/>
          </w:tcPr>
          <w:p w14:paraId="559811EA" w14:textId="4A1945AD" w:rsidR="004A08C4" w:rsidRPr="00CF674E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Toxi-infections alimentaires collectives (TIAC)= Apparition ≥2 cas similaires d’une symptomatologie en général gastro-intestinale, dont on peut rapporter la cause à une même origine alimentaire. Signes cliniques</w:t>
            </w:r>
          </w:p>
          <w:p w14:paraId="5A093257" w14:textId="1931CE4A" w:rsidR="004A08C4" w:rsidRPr="00CF674E" w:rsidRDefault="004A08C4" w:rsidP="00CF674E">
            <w:pPr>
              <w:pStyle w:val="p4"/>
              <w:numPr>
                <w:ilvl w:val="0"/>
                <w:numId w:val="2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Manifestations digestives hautes (nausées, vomissements) ou basses (douleur</w:t>
            </w:r>
            <w:r w:rsid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a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bdominales, diarrhée)</w:t>
            </w:r>
          </w:p>
          <w:p w14:paraId="547A42C3" w14:textId="77777777" w:rsidR="004A08C4" w:rsidRPr="00CF674E" w:rsidRDefault="004A08C4" w:rsidP="00CF674E">
            <w:pPr>
              <w:pStyle w:val="p4"/>
              <w:numPr>
                <w:ilvl w:val="0"/>
                <w:numId w:val="2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Fièvre présente selon l’agent responsable</w:t>
            </w:r>
          </w:p>
          <w:p w14:paraId="57519C17" w14:textId="73BC4862" w:rsidR="004A08C4" w:rsidRPr="00CF674E" w:rsidRDefault="004A08C4" w:rsidP="00CF674E">
            <w:pPr>
              <w:pStyle w:val="p4"/>
              <w:numPr>
                <w:ilvl w:val="0"/>
                <w:numId w:val="2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Autres signes cliniques</w:t>
            </w:r>
          </w:p>
          <w:p w14:paraId="0351B001" w14:textId="0ED9F5B6" w:rsidR="004A08C4" w:rsidRPr="00CF674E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Alerte car risque : URGENCE et surveillance</w:t>
            </w:r>
          </w:p>
          <w:p w14:paraId="11D626A3" w14:textId="170C4593" w:rsidR="004A08C4" w:rsidRPr="00CF674E" w:rsidRDefault="004A08C4" w:rsidP="00CF674E">
            <w:pPr>
              <w:pStyle w:val="p2"/>
              <w:numPr>
                <w:ilvl w:val="0"/>
                <w:numId w:val="3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Diffusion à d’autres personnes, tant que l’aliment en cause n’est pas identifié et retiré de la consommation</w:t>
            </w:r>
          </w:p>
          <w:p w14:paraId="5F94E7CC" w14:textId="41DE5E32" w:rsidR="004A08C4" w:rsidRPr="00CF674E" w:rsidRDefault="004A08C4" w:rsidP="00CF674E">
            <w:pPr>
              <w:pStyle w:val="p3"/>
              <w:numPr>
                <w:ilvl w:val="0"/>
                <w:numId w:val="3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Apparition de nouveaux cas (conséquences sanitaires, économiques, sociales)</w:t>
            </w:r>
          </w:p>
          <w:p w14:paraId="3FBD94E8" w14:textId="0C7F9611" w:rsidR="004A08C4" w:rsidRPr="00CF674E" w:rsidRDefault="004A08C4" w:rsidP="00CF674E">
            <w:pPr>
              <w:pStyle w:val="p2"/>
              <w:numPr>
                <w:ilvl w:val="0"/>
                <w:numId w:val="3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Complications plus ou moins graves (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mortalité) tant que l’agent en cause n’a pas été identifié</w:t>
            </w:r>
          </w:p>
          <w:p w14:paraId="79C9DE1F" w14:textId="433F8845" w:rsidR="004A08C4" w:rsidRPr="00CF674E" w:rsidRDefault="004A08C4" w:rsidP="00CF674E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Alerte car réponse de santé publique possible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=&gt; Requise par code de santé publique (DO)</w:t>
            </w:r>
          </w:p>
          <w:p w14:paraId="50FE73A2" w14:textId="77777777" w:rsidR="004A08C4" w:rsidRPr="00CF674E" w:rsidRDefault="004A08C4" w:rsidP="00CF674E">
            <w:pPr>
              <w:rPr>
                <w:rFonts w:ascii="Calibri" w:hAnsi="Calibri" w:cs="Calibri"/>
                <w:color w:val="000000" w:themeColor="text1"/>
                <w:sz w:val="14"/>
                <w:szCs w:val="14"/>
              </w:rPr>
            </w:pPr>
            <w:r w:rsidRPr="00CF674E">
              <w:rPr>
                <w:rFonts w:ascii="Calibri" w:hAnsi="Calibri" w:cs="Calibri"/>
                <w:b/>
                <w:bCs/>
                <w:color w:val="000000" w:themeColor="text1"/>
                <w:sz w:val="14"/>
                <w:szCs w:val="14"/>
              </w:rPr>
              <w:t>Surveillance </w:t>
            </w:r>
            <w:r w:rsidRPr="00CF674E">
              <w:rPr>
                <w:rFonts w:ascii="Calibri" w:hAnsi="Calibri" w:cs="Calibri"/>
                <w:color w:val="000000" w:themeColor="text1"/>
                <w:sz w:val="14"/>
                <w:szCs w:val="14"/>
              </w:rPr>
              <w:t>: décrire les caractéristiques des TIAC : saisonnalité, agents en cause, facteurs associés/ identifier les aliments ou produits à risques et pathogènes/ Orienter les mesures de prévention et évaluer leur impact</w:t>
            </w:r>
          </w:p>
          <w:p w14:paraId="1599C98F" w14:textId="5D1B440F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Démarche méthodologique d’investigation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</w:p>
          <w:p w14:paraId="72A88E93" w14:textId="04FA0962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Enquête épidémiologique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Descriptive : temps, lieu, personnes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Analytique (cas-témoins, cohorte rétrospective)</w:t>
            </w:r>
          </w:p>
          <w:p w14:paraId="105D745B" w14:textId="12461919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Enquête microbiologique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Prélèvements malades et/ou alimentaires</w:t>
            </w:r>
          </w:p>
          <w:p w14:paraId="5A711038" w14:textId="5CC32B73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Étude chaîne alimentaire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Facteurs favorisants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Erreurs</w:t>
            </w:r>
          </w:p>
          <w:p w14:paraId="7ED59AE2" w14:textId="3D132872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Épidémiologie descriptive – éléments du diagnostic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</w:p>
          <w:p w14:paraId="2D70D7FE" w14:textId="77777777" w:rsidR="000A425C" w:rsidRDefault="004A08C4" w:rsidP="00CF674E">
            <w:pPr>
              <w:pStyle w:val="p2"/>
              <w:numPr>
                <w:ilvl w:val="0"/>
                <w:numId w:val="4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Clinique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Signes digestifs</w:t>
            </w:r>
            <w:r w:rsidR="000A425C"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(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hauts : B. cereus forme émétisante</w:t>
            </w:r>
            <w:r w:rsidR="000A425C"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) (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bas : salmonelles, </w:t>
            </w:r>
            <w:proofErr w:type="spellStart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shigelles</w:t>
            </w:r>
            <w:proofErr w:type="spellEnd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, E. coli…</w:t>
            </w:r>
            <w:r w:rsidR="000A425C"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) (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les 2 : staphylocoque, virus...</w:t>
            </w:r>
            <w:r w:rsidR="000A425C"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)</w:t>
            </w:r>
          </w:p>
          <w:p w14:paraId="63C2C464" w14:textId="77777777" w:rsidR="000A425C" w:rsidRDefault="004A08C4" w:rsidP="00CF674E">
            <w:pPr>
              <w:pStyle w:val="p2"/>
              <w:numPr>
                <w:ilvl w:val="0"/>
                <w:numId w:val="4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Fièvre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salmonelles, </w:t>
            </w:r>
            <w:proofErr w:type="spellStart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shigelles</w:t>
            </w:r>
            <w:proofErr w:type="spellEnd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, virus</w:t>
            </w:r>
          </w:p>
          <w:p w14:paraId="55501197" w14:textId="77777777" w:rsidR="000A425C" w:rsidRDefault="004A08C4" w:rsidP="00CF674E">
            <w:pPr>
              <w:pStyle w:val="p2"/>
              <w:numPr>
                <w:ilvl w:val="0"/>
                <w:numId w:val="4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Selles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sang : </w:t>
            </w:r>
            <w:proofErr w:type="spellStart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shigelles</w:t>
            </w:r>
            <w:proofErr w:type="spellEnd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, E. coli </w:t>
            </w:r>
            <w:proofErr w:type="spellStart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entéro-hémorragique</w:t>
            </w:r>
            <w:proofErr w:type="spellEnd"/>
          </w:p>
          <w:p w14:paraId="63EFAA45" w14:textId="2C98402F" w:rsidR="004A08C4" w:rsidRPr="000A425C" w:rsidRDefault="004A08C4" w:rsidP="00CF674E">
            <w:pPr>
              <w:pStyle w:val="p2"/>
              <w:numPr>
                <w:ilvl w:val="0"/>
                <w:numId w:val="4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Autres signes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crampes musculaires, céphalées, troubles vasomoteurs, palpitations, vertiges, troubles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neurologiques</w:t>
            </w:r>
          </w:p>
          <w:p w14:paraId="4064F8DE" w14:textId="7E2CFDC6" w:rsidR="004A08C4" w:rsidRPr="000A425C" w:rsidRDefault="000A425C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Épidémiologie</w:t>
            </w:r>
            <w:r w:rsidR="004A08C4"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analytique</w:t>
            </w:r>
          </w:p>
          <w:p w14:paraId="5C9F8967" w14:textId="77777777" w:rsidR="000A425C" w:rsidRDefault="000A425C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E0"/>
            </w:r>
            <w: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Cohorte rétrospective</w:t>
            </w:r>
            <w: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Comparaison des taux d’attaque / chaque aliment </w:t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RR</w:t>
            </w:r>
          </w:p>
          <w:p w14:paraId="28C75C6A" w14:textId="1278B2D7" w:rsidR="004A08C4" w:rsidRPr="00CF674E" w:rsidRDefault="000A425C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E0"/>
            </w:r>
            <w: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Étude cas-témoins</w:t>
            </w:r>
            <w: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Comparaison des fréquences de consommation malades / non malades </w:t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="004A08C4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OR</w:t>
            </w:r>
          </w:p>
          <w:p w14:paraId="0BE23840" w14:textId="77777777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Surveillance</w:t>
            </w:r>
          </w:p>
          <w:p w14:paraId="0094B77C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Déclaration obligatoire (depuis 1987)</w:t>
            </w:r>
          </w:p>
          <w:p w14:paraId="644FC76B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Données du Centre national de référence (CNR)</w:t>
            </w:r>
          </w:p>
          <w:p w14:paraId="61168CDD" w14:textId="0E22B6B6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Déclaration auprès ARS, Direction départementale de l'emploi, du travail, des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solidarités et de la protection des populations (DDETSPP)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transmission à la</w:t>
            </w:r>
          </w:p>
          <w:p w14:paraId="219EE18F" w14:textId="6C660691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Direction des maladies infectieuses de Santé publique France et à la Mission des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Urgences Sanitaires (MUS) de la Direction Générale de l’Alimentation (DGAL)</w:t>
            </w:r>
          </w:p>
          <w:p w14:paraId="673FE637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BDD Santé publique France</w:t>
            </w:r>
          </w:p>
          <w:p w14:paraId="196FBFD3" w14:textId="77777777" w:rsidR="004A08C4" w:rsidRPr="00CF674E" w:rsidRDefault="004A08C4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Foyers :</w:t>
            </w:r>
          </w:p>
          <w:p w14:paraId="070950D2" w14:textId="0680B675" w:rsidR="004A08C4" w:rsidRPr="00CF674E" w:rsidRDefault="004A08C4" w:rsidP="00CF674E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•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Confirmés: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agent isolé dans un prélèvement d’origine humaine (sang/selles) ou dans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restes alimentaires ou repas témoins</w:t>
            </w:r>
          </w:p>
          <w:p w14:paraId="10D760F5" w14:textId="34F097F5" w:rsidR="004A08C4" w:rsidRPr="00CF674E" w:rsidRDefault="004A08C4" w:rsidP="00CF674E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•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Suspectés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: agent pathogène non confirmé, suspecté à l’aide d’un algorithme étiologique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prenant en compte les signes cliniques, durée médiane d’incubation et type d’aliments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consommés</w:t>
            </w:r>
          </w:p>
          <w:p w14:paraId="31AF4F5A" w14:textId="77777777" w:rsidR="004A08C4" w:rsidRPr="00CF674E" w:rsidRDefault="004A08C4" w:rsidP="00CF674E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•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D’étiologie inconnue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: agent pathogène ni confirmé ni suspecté à l’aide de l’algorithme</w:t>
            </w:r>
          </w:p>
          <w:p w14:paraId="4BBA0C2F" w14:textId="77777777" w:rsidR="004A08C4" w:rsidRPr="000A425C" w:rsidRDefault="004A08C4" w:rsidP="000A425C">
            <w:pPr>
              <w:pStyle w:val="p1"/>
              <w:jc w:val="center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Acteurs / Rôles</w:t>
            </w:r>
          </w:p>
          <w:p w14:paraId="3B725020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ARS (CVAGS)/DGS</w:t>
            </w:r>
          </w:p>
          <w:p w14:paraId="3FF0F3A5" w14:textId="57FB6C9A" w:rsidR="004A08C4" w:rsidRPr="00CF674E" w:rsidRDefault="004A08C4" w:rsidP="000A425C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Enquête épidémiologique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connaître les circonstances de l’incident (lieu, temps et personnes)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déterminer le(s) aliment(s) ayant la plus grande probabilité d’être à l’origine des malades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(enquêtes </w:t>
            </w:r>
            <w:r w:rsidR="000A425C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épidémiologiques)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orienter ou confirmer les analyses microbiologiques</w:t>
            </w:r>
          </w:p>
          <w:p w14:paraId="19BFDE74" w14:textId="77777777" w:rsidR="004A08C4" w:rsidRPr="00CF674E" w:rsidRDefault="004A08C4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Interface avec Santé Publique France</w:t>
            </w:r>
          </w:p>
          <w:p w14:paraId="70C5D5FD" w14:textId="77777777" w:rsidR="004A08C4" w:rsidRPr="00CF674E" w:rsidRDefault="004A08C4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Sensibilisation structures médicales</w:t>
            </w:r>
          </w:p>
          <w:p w14:paraId="1F462450" w14:textId="77777777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DDETSPP (ex-DD(CS)PP)</w:t>
            </w:r>
          </w:p>
          <w:p w14:paraId="60EBDB9D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Enquête alimentaire avec étude de la chaîne alimentaire (facteurs favorisants des TIAC)</w:t>
            </w:r>
          </w:p>
          <w:p w14:paraId="53550BF9" w14:textId="77777777" w:rsidR="004A08C4" w:rsidRPr="00CF674E" w:rsidRDefault="004A08C4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Analyses microbiologiques (plats témoins, restes, matières premières)</w:t>
            </w:r>
          </w:p>
          <w:p w14:paraId="00B9258E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Mesures correctives, mesures de police sanitaire : consigne, saisie, fermeture</w:t>
            </w:r>
          </w:p>
          <w:p w14:paraId="76CACB68" w14:textId="4AFC88D1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Interface avec la DGAL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enquête alimentaire en distributio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n 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analyses microbiologiques en distribution</w:t>
            </w:r>
          </w:p>
          <w:p w14:paraId="5CEA5582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Interface avec la DGCCRF</w:t>
            </w:r>
          </w:p>
          <w:p w14:paraId="27F3A959" w14:textId="77777777" w:rsidR="004A08C4" w:rsidRPr="00CF674E" w:rsidRDefault="004A08C4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Laboratoires de référence</w:t>
            </w:r>
          </w:p>
          <w:p w14:paraId="49B48E6D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Réception des souches humaines pour identification : typage, génotypage...</w:t>
            </w:r>
          </w:p>
          <w:p w14:paraId="2EC8D64C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Réception des souches ou échantillons alimentaires</w:t>
            </w:r>
          </w:p>
          <w:p w14:paraId="0F54C6F8" w14:textId="77777777" w:rsidR="004A08C4" w:rsidRPr="00CF674E" w:rsidRDefault="004A08C4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Santé publique France</w:t>
            </w:r>
          </w:p>
          <w:p w14:paraId="4261DD8D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Réception et validation des signalements et des DO des ARS</w:t>
            </w:r>
          </w:p>
          <w:p w14:paraId="3F7D52AC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Centralisation et analyse des informations</w:t>
            </w:r>
          </w:p>
          <w:p w14:paraId="45D97244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lastRenderedPageBreak/>
              <w:t>• Appui technique</w:t>
            </w:r>
          </w:p>
          <w:p w14:paraId="4201761E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Relation avec DGAL (cellule des alertes), DGS, DGCCRF, CNR/LNR</w:t>
            </w:r>
          </w:p>
          <w:p w14:paraId="4D1D2774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Alimentation et exploitation de la base de données</w:t>
            </w:r>
          </w:p>
          <w:p w14:paraId="727F5CB6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Réalisation et publication de statistiques</w:t>
            </w:r>
          </w:p>
          <w:p w14:paraId="1B14AE93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Relation avec les autorités européennes ou internationales</w:t>
            </w:r>
          </w:p>
          <w:p w14:paraId="3D37DF19" w14:textId="77777777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DGAL (mission des urgences sanitaires – MUS)</w:t>
            </w:r>
          </w:p>
          <w:p w14:paraId="2376A9B6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Réception et validation des déclarations DDETSPP</w:t>
            </w:r>
          </w:p>
          <w:p w14:paraId="1A59669D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Centralisation et analyse des informations</w:t>
            </w:r>
          </w:p>
          <w:p w14:paraId="72C2510D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Appui technique</w:t>
            </w:r>
          </w:p>
          <w:p w14:paraId="23AC4C85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Émission d’instructions et coordination si plusieurs départements impliqués</w:t>
            </w:r>
          </w:p>
          <w:p w14:paraId="24005A44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Relation avec Santé publique France, DGS, DGCCRF, CNR/LNR</w:t>
            </w:r>
          </w:p>
          <w:p w14:paraId="3C93B546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Relation avec autorités européennes</w:t>
            </w:r>
          </w:p>
          <w:p w14:paraId="099E1EB7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Alimentation base de données et transmission Santé publique France</w:t>
            </w:r>
          </w:p>
          <w:p w14:paraId="2644967D" w14:textId="77777777" w:rsidR="004A08C4" w:rsidRPr="000A425C" w:rsidRDefault="004A08C4" w:rsidP="000A425C">
            <w:pPr>
              <w:pStyle w:val="p1"/>
              <w:jc w:val="center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Recommandations</w:t>
            </w:r>
          </w:p>
          <w:p w14:paraId="304E005E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Stimulation de la déclaration pour améliorer exhaustivité</w:t>
            </w:r>
          </w:p>
          <w:p w14:paraId="7B7CC4F5" w14:textId="38CC6A1A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Déclaration des foyers doit être précoce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Investigations réactives, coordonnées et plus systématiques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Logiciel 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WinTiac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: gestion des signalements / DO et automatisation de la transmission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des signalements entre différents acteurs de surveillance</w:t>
            </w:r>
          </w:p>
          <w:p w14:paraId="7C9CEAD4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Systématiser investigation (au moins descriptive)</w:t>
            </w:r>
          </w:p>
          <w:p w14:paraId="4BED7D6B" w14:textId="0443155B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Améliorer diagnostic étiologique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Prescription de coprocultures – pathogènes recherchés en routine mais aussi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Campylobacter, virus entériques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Logiciel 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WinTiac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inclut algorithme orientation étiologique</w:t>
            </w:r>
          </w:p>
          <w:p w14:paraId="647E0D24" w14:textId="77777777" w:rsidR="000A425C" w:rsidRDefault="004A08C4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 </w:t>
            </w:r>
          </w:p>
          <w:p w14:paraId="4B4F433F" w14:textId="1C96E93A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Bilan TIAC en 2022</w:t>
            </w:r>
          </w:p>
          <w:p w14:paraId="6CB7ADB1" w14:textId="5073FBC4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1 924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TIAC déclarées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 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16 763 personnes – 643 présentées à l’hôpital et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17 décédées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F0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Nombre le plus élevé enregistré depuis surveillance en 1987</w:t>
            </w:r>
          </w:p>
          <w:p w14:paraId="5D8F54A3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Agent pathogène confirmé : Salmonella +++ (42 % TIAC)</w:t>
            </w:r>
          </w:p>
          <w:p w14:paraId="754B8BC0" w14:textId="5025C98D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Agent pathogène suspecté sans confirmation sur le plan microbiologique :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Bacillus cereus, Staphylococcus aureus, Clostridium perfringens, (73 % TIAC)</w:t>
            </w:r>
          </w:p>
          <w:p w14:paraId="6E3D477F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Aucun agent mis en évidence ni suspecté : 15 % TIAC</w:t>
            </w:r>
          </w:p>
          <w:p w14:paraId="5C2AB8AC" w14:textId="22D77BBC" w:rsidR="004A08C4" w:rsidRPr="00CF674E" w:rsidRDefault="004A08C4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591 mesures correctives (information / formation personnel, désinfection d’établissement,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demande de travaux, fermeture d’établissement et saisie de denrées) pour TIAC en restaurations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collectives ou commerciales</w:t>
            </w:r>
          </w:p>
          <w:p w14:paraId="7DAF9D24" w14:textId="42BECE06" w:rsidR="004A08C4" w:rsidRPr="00CF674E" w:rsidRDefault="004A08C4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2F29FB9D" wp14:editId="3427B907">
                  <wp:extent cx="2470150" cy="1322873"/>
                  <wp:effectExtent l="0" t="0" r="0" b="0"/>
                  <wp:docPr id="10907602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76024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997" cy="133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614DEBA3" wp14:editId="222625A8">
                  <wp:extent cx="1996440" cy="1208813"/>
                  <wp:effectExtent l="0" t="0" r="0" b="0"/>
                  <wp:docPr id="6196505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6505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36" cy="121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E852E" w14:textId="737324E1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Délais médians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Cadre familial 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4 jours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Restauration collective 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4 jours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Restauration commerciale 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4 jours</w:t>
            </w:r>
          </w:p>
          <w:p w14:paraId="7D7672DC" w14:textId="7D8A19F4" w:rsidR="004A08C4" w:rsidRPr="000A425C" w:rsidRDefault="004A08C4" w:rsidP="000A425C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Saisonnalité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Été : Salmonella (59 % 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mai-sept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.)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Hiver : virus entériques – norovirus</w:t>
            </w:r>
          </w:p>
        </w:tc>
      </w:tr>
      <w:tr w:rsidR="000A425C" w:rsidRPr="00DA261A" w14:paraId="5D764DA5" w14:textId="77777777" w:rsidTr="00853978">
        <w:tc>
          <w:tcPr>
            <w:tcW w:w="1341" w:type="dxa"/>
            <w:shd w:val="clear" w:color="auto" w:fill="DAE9F7" w:themeFill="text2" w:themeFillTint="1A"/>
          </w:tcPr>
          <w:p w14:paraId="7F330F59" w14:textId="77777777" w:rsidR="004A08C4" w:rsidRPr="00853978" w:rsidRDefault="004A08C4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lastRenderedPageBreak/>
              <w:t>Épidémies communautaires</w:t>
            </w:r>
          </w:p>
          <w:p w14:paraId="4DD58D5B" w14:textId="77777777" w:rsidR="00DA261A" w:rsidRPr="00853978" w:rsidRDefault="00DA261A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48420396" w14:textId="63EF33F3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Contamination d’une filière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Début progressif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Nationale voire internationale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Prolongée</w:t>
            </w:r>
          </w:p>
          <w:p w14:paraId="6CF8E588" w14:textId="724C9204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Contamination au niveau d’une unité de production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Épidémie brutale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Limitée dans le temps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Régionale</w:t>
            </w:r>
          </w:p>
          <w:p w14:paraId="149CC676" w14:textId="7FB7F892" w:rsidR="00DA261A" w:rsidRPr="000A425C" w:rsidRDefault="004A08C4" w:rsidP="000A425C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6D9FCAB6" wp14:editId="294DC9FC">
                  <wp:extent cx="2734734" cy="1197262"/>
                  <wp:effectExtent l="0" t="0" r="0" b="0"/>
                  <wp:docPr id="1900318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3180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788" cy="120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5DF678A6" wp14:editId="5F5BFFFB">
                  <wp:extent cx="2734310" cy="1122358"/>
                  <wp:effectExtent l="0" t="0" r="0" b="0"/>
                  <wp:docPr id="2490284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02841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41" cy="113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8C4" w:rsidRPr="00DA261A" w14:paraId="3FA08BE1" w14:textId="77777777" w:rsidTr="00853978">
        <w:tc>
          <w:tcPr>
            <w:tcW w:w="1341" w:type="dxa"/>
            <w:shd w:val="clear" w:color="auto" w:fill="DAE9F7" w:themeFill="text2" w:themeFillTint="1A"/>
          </w:tcPr>
          <w:p w14:paraId="6D753883" w14:textId="77777777" w:rsidR="004A08C4" w:rsidRPr="00853978" w:rsidRDefault="004A08C4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Risque chimique : exemple du chlordécone</w:t>
            </w:r>
          </w:p>
          <w:p w14:paraId="4CE5A989" w14:textId="67C5F501" w:rsidR="00E844A8" w:rsidRPr="00853978" w:rsidRDefault="00E844A8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******</w:t>
            </w:r>
          </w:p>
          <w:p w14:paraId="25E150CF" w14:textId="77777777" w:rsidR="004A08C4" w:rsidRPr="00853978" w:rsidRDefault="004A08C4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67FD8BAF" w14:textId="77777777" w:rsidR="004A08C4" w:rsidRPr="00CF674E" w:rsidRDefault="004A08C4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30BE46DC" wp14:editId="32392B2D">
                  <wp:extent cx="2150533" cy="1060679"/>
                  <wp:effectExtent l="0" t="0" r="0" b="6350"/>
                  <wp:docPr id="493151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1511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84" cy="10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1BBD8A60" wp14:editId="26C44DE2">
                  <wp:extent cx="2819400" cy="965212"/>
                  <wp:effectExtent l="0" t="0" r="0" b="0"/>
                  <wp:docPr id="5447577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75772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68" cy="98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3B0DE" w14:textId="44B4F497" w:rsidR="004A08C4" w:rsidRPr="00CF674E" w:rsidRDefault="004A08C4" w:rsidP="000A425C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 Exposition :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enfants 3-5 ans +++</w:t>
            </w:r>
          </w:p>
          <w:p w14:paraId="10953752" w14:textId="12A329B3" w:rsidR="004A08C4" w:rsidRPr="00CF674E" w:rsidRDefault="004A08C4" w:rsidP="000A425C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Principaux aliments – apports majeurs :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produits de la mer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légumes racines</w:t>
            </w:r>
          </w:p>
          <w:p w14:paraId="5B0EA16C" w14:textId="1698A89C" w:rsidR="004A08C4" w:rsidRPr="000A425C" w:rsidRDefault="004A08C4" w:rsidP="000A425C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Imprégnation sanguine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Détection : &gt;90 % individus</w:t>
            </w:r>
          </w:p>
          <w:p w14:paraId="5B539EB9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Niveau moyen de chlordécone comparable en Martinique et Guadeloupe (0,15 et 0,13 µg/L)</w:t>
            </w:r>
          </w:p>
          <w:p w14:paraId="540FEED2" w14:textId="1DD2BAEB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Niveaux contrastés : 5 % avec niveau d’imprégnation (&gt;1,24 µg/L) ‒ 10x &gt; imprégnation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moyenne</w:t>
            </w:r>
          </w:p>
          <w:p w14:paraId="41A11F27" w14:textId="5B932874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Depuis 2003 : ↓ imprégnation pour majorité population mais niveau sujets plus exposés ↔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Imprégnation sanguine</w:t>
            </w:r>
          </w:p>
          <w:p w14:paraId="5B1C02DC" w14:textId="6A1299B4" w:rsidR="004A08C4" w:rsidRPr="00CF674E" w:rsidRDefault="004A08C4" w:rsidP="000A425C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Populations les plus imprégnées :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Pêcheurs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Résidents de zones contaminées ou vivant à proximité de zones de pêches interdites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Forts consommateurs de produits de la pêche (poissons, coquillages, crustacés) et de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légumes racines et tubercules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Personnes consommant majoritairement aliments provenant circuit informel (produits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dans un jardin / élevage familial ou aussi pêche amateur)</w:t>
            </w:r>
          </w:p>
          <w:p w14:paraId="6752C406" w14:textId="4CCFF990" w:rsidR="004A08C4" w:rsidRPr="000A425C" w:rsidRDefault="004A08C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Indicateurs de surveillance du cancer de la prostate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 :</w:t>
            </w:r>
            <w:r w:rsidR="000A425C" w:rsidRPr="00E844A8">
              <w:rPr>
                <w:rFonts w:ascii="Calibri" w:eastAsiaTheme="minorHAnsi" w:hAnsi="Calibri" w:cs="Calibri"/>
                <w:b/>
                <w:bCs/>
                <w:color w:val="FF0000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="00E844A8">
              <w:rPr>
                <w:rFonts w:ascii="Calibri" w:eastAsiaTheme="minorHAnsi" w:hAnsi="Calibri" w:cs="Calibri"/>
                <w:b/>
                <w:bCs/>
                <w:color w:val="FF0000"/>
                <w:kern w:val="2"/>
                <w:sz w:val="14"/>
                <w:szCs w:val="14"/>
                <w:lang w:eastAsia="en-US"/>
                <w14:ligatures w14:val="standardContextual"/>
              </w:rPr>
              <w:t>*</w:t>
            </w:r>
            <w:r w:rsidRPr="00E844A8">
              <w:rPr>
                <w:rFonts w:ascii="Calibri" w:eastAsiaTheme="minorHAnsi" w:hAnsi="Calibri" w:cs="Calibri"/>
                <w:b/>
                <w:bCs/>
                <w:color w:val="FF0000"/>
                <w:kern w:val="2"/>
                <w:sz w:val="14"/>
                <w:szCs w:val="14"/>
                <w:lang w:eastAsia="en-US"/>
                <w14:ligatures w14:val="standardContextual"/>
              </w:rPr>
              <w:t>Taux d’incidence en Guadeloupe et Martinique parmi les plus élevés au monde</w:t>
            </w:r>
            <w:r w:rsidR="00E844A8">
              <w:rPr>
                <w:rFonts w:ascii="Calibri" w:eastAsiaTheme="minorHAnsi" w:hAnsi="Calibri" w:cs="Calibri"/>
                <w:b/>
                <w:bCs/>
                <w:color w:val="FF0000"/>
                <w:kern w:val="2"/>
                <w:sz w:val="14"/>
                <w:szCs w:val="14"/>
                <w:lang w:eastAsia="en-US"/>
                <w14:ligatures w14:val="standardContextual"/>
              </w:rPr>
              <w:t>*</w:t>
            </w:r>
          </w:p>
          <w:p w14:paraId="6D370746" w14:textId="77777777" w:rsidR="004A08C4" w:rsidRPr="00CF674E" w:rsidRDefault="004A08C4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(↓ 2005-2009 : 182,5 cas pour 100 000 hommes)</w:t>
            </w:r>
          </w:p>
          <w:p w14:paraId="3E065033" w14:textId="011BC134" w:rsidR="004A08C4" w:rsidRPr="00CF674E" w:rsidRDefault="004A08C4" w:rsidP="000A425C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Facteurs de risque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Origine africaine de la population (mutations génétiques héréditaires)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Antécédents familiaux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Surpoids et obésité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Diabète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Caractéristiques socio-économiques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/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Expositions environnementales et professionnelles (impact du chlordécone toujours non quantifié)</w:t>
            </w:r>
          </w:p>
          <w:p w14:paraId="4FE5D81C" w14:textId="03F4BBFA" w:rsidR="004A08C4" w:rsidRPr="00CF674E" w:rsidRDefault="004A08C4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Plan chlordécone 1 (2008-2010)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,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Plan chlordécone 2 (2011-2013)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,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Plan chlordécone 3 (2014-2020)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,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Plan chlordécone 4 (2021-2027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)</w:t>
            </w:r>
          </w:p>
        </w:tc>
      </w:tr>
      <w:tr w:rsidR="004A08C4" w:rsidRPr="00DA261A" w14:paraId="02DC6629" w14:textId="77777777" w:rsidTr="00853978">
        <w:tc>
          <w:tcPr>
            <w:tcW w:w="1341" w:type="dxa"/>
            <w:shd w:val="clear" w:color="auto" w:fill="DAE9F7" w:themeFill="text2" w:themeFillTint="1A"/>
          </w:tcPr>
          <w:p w14:paraId="404568D9" w14:textId="1655A76B" w:rsidR="004A08C4" w:rsidRPr="00853978" w:rsidRDefault="004A08C4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Risque chimique : exemple du mercure</w:t>
            </w:r>
          </w:p>
        </w:tc>
        <w:tc>
          <w:tcPr>
            <w:tcW w:w="8860" w:type="dxa"/>
          </w:tcPr>
          <w:p w14:paraId="6B5730EA" w14:textId="3385187A" w:rsidR="004A08C4" w:rsidRPr="000A425C" w:rsidRDefault="004A08C4" w:rsidP="000A425C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Pollution industrielle – eau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Baie de Minamata (Japon), 1956-1968 : usine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pétrochimique évacue déchets production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contenant métaux lourds (dont Hg)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bioaccumulation / bioamplification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2 265 victimes dont 1 784 décès</w:t>
            </w:r>
          </w:p>
          <w:p w14:paraId="53F26534" w14:textId="37D9C901" w:rsidR="004A08C4" w:rsidRPr="000A425C" w:rsidRDefault="004A08C4" w:rsidP="000A425C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Céréale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 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Irak : famine des années 1970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méthyl-mercure utilisé comme fongicide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6 500 victimes dont 650 décès</w:t>
            </w:r>
          </w:p>
          <w:p w14:paraId="54322999" w14:textId="3E1012EB" w:rsidR="004A08C4" w:rsidRPr="00CF674E" w:rsidRDefault="004A08C4" w:rsidP="000A425C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Chercheurs d’or – orpailleurs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Guyane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rejet naturel dans l’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environt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de Hg lors procédés extraction or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érosion, lessivage des sols riches en Hg</w:t>
            </w:r>
          </w:p>
          <w:p w14:paraId="561A7859" w14:textId="579DC7D8" w:rsidR="004A08C4" w:rsidRPr="000A425C" w:rsidRDefault="004A08C4" w:rsidP="000A425C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Déterminants</w:t>
            </w:r>
            <w:r w:rsid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Conso. </w:t>
            </w:r>
            <w:r w:rsidR="000A425C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Poissons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d’eau douce +++</w:t>
            </w:r>
          </w:p>
          <w:p w14:paraId="76B38551" w14:textId="77777777" w:rsidR="00CF674E" w:rsidRPr="000A425C" w:rsidRDefault="00CF674E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0A425C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Effets sanitaires</w:t>
            </w:r>
          </w:p>
          <w:p w14:paraId="658B3640" w14:textId="77E2AABA" w:rsidR="00CF674E" w:rsidRPr="000A425C" w:rsidRDefault="00CF674E" w:rsidP="00CF674E">
            <w:pPr>
              <w:pStyle w:val="p2"/>
              <w:numPr>
                <w:ilvl w:val="0"/>
                <w:numId w:val="4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Développement psychomoteur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Légère baisse des performances sur les tests mesurant coordination motrice et organisation </w:t>
            </w:r>
            <w:proofErr w:type="spellStart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visuo</w:t>
            </w:r>
            <w:proofErr w:type="spellEnd"/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-</w:t>
            </w:r>
            <w:r w:rsidR="000A425C"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spatiale si niveaux imprégnation 10-20 µg/g</w:t>
            </w:r>
          </w:p>
          <w:p w14:paraId="160B4A49" w14:textId="30CBCCFA" w:rsidR="00CF674E" w:rsidRPr="000A425C" w:rsidRDefault="00CF674E" w:rsidP="00CF674E">
            <w:pPr>
              <w:pStyle w:val="p2"/>
              <w:numPr>
                <w:ilvl w:val="0"/>
                <w:numId w:val="4"/>
              </w:numP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Malformations congénitales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8 cas sur une période de 12 ans – prévalence à la naissance des malformations majeures : 3,2 %</w:t>
            </w:r>
          </w:p>
          <w:p w14:paraId="4E71E535" w14:textId="6CE6CCD5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lastRenderedPageBreak/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2 hydrocéphalies, 1 hémangiome sous-glottique bilatéral, 1 imperforation anale, 1 agénésie des 2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oreilles, 1 agénésie de l’oreille gauche, 1 anomalie rénale, 1 trisomie 21</w:t>
            </w:r>
          </w:p>
          <w:p w14:paraId="41D426AC" w14:textId="659A30CC" w:rsidR="004A08C4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Prévention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Information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Réglementation</w:t>
            </w:r>
            <w:r w:rsidR="000A425C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Répression</w:t>
            </w:r>
          </w:p>
        </w:tc>
      </w:tr>
      <w:tr w:rsidR="00CF674E" w:rsidRPr="00DA261A" w14:paraId="7EE992A7" w14:textId="77777777" w:rsidTr="00853978">
        <w:tc>
          <w:tcPr>
            <w:tcW w:w="1341" w:type="dxa"/>
            <w:shd w:val="clear" w:color="auto" w:fill="DAE9F7" w:themeFill="text2" w:themeFillTint="1A"/>
          </w:tcPr>
          <w:p w14:paraId="4769C544" w14:textId="279190F8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lastRenderedPageBreak/>
              <w:t>Risque chimique : exemple des dioxines</w:t>
            </w:r>
          </w:p>
        </w:tc>
        <w:tc>
          <w:tcPr>
            <w:tcW w:w="8860" w:type="dxa"/>
          </w:tcPr>
          <w:p w14:paraId="775B9EFB" w14:textId="77777777" w:rsidR="00CF674E" w:rsidRPr="00B45A24" w:rsidRDefault="00CF674E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Effets sanitaires</w:t>
            </w:r>
          </w:p>
          <w:p w14:paraId="10EEF215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Aigus : acné chlorée, altération de l’état général</w:t>
            </w:r>
          </w:p>
          <w:p w14:paraId="0B51BFDD" w14:textId="4B44D63E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Chroniques : atteinte cardiaque, diabète, effets sur reproduction (hormones, poids de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naissances, malformations)</w:t>
            </w:r>
          </w:p>
          <w:p w14:paraId="3FC18A75" w14:textId="11FF39D6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Cancers (Groupe 1, CIRC, 1997) : Lymphomes non-hodgkiniens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Sarcomes des tissus mous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Cancers bronchopulmonaires</w:t>
            </w:r>
          </w:p>
        </w:tc>
      </w:tr>
      <w:tr w:rsidR="00CF674E" w:rsidRPr="00DA261A" w14:paraId="2C73383C" w14:textId="77777777" w:rsidTr="00853978">
        <w:tc>
          <w:tcPr>
            <w:tcW w:w="1341" w:type="dxa"/>
            <w:shd w:val="clear" w:color="auto" w:fill="DAE9F7" w:themeFill="text2" w:themeFillTint="1A"/>
          </w:tcPr>
          <w:p w14:paraId="27F0461B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Études INCA (individuelles des consommations alimentaires)</w:t>
            </w:r>
          </w:p>
          <w:p w14:paraId="043339BC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673C962A" w14:textId="5D83D6D5" w:rsidR="00CF674E" w:rsidRPr="00CF674E" w:rsidRDefault="00CF674E" w:rsidP="00B45A24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Habitudes et consommations alimentaires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 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INCA1 (1998-1999)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/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INCA2 (2006-2007)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INCA3 (2014-2015) : n=5 800 (3 157 adultes : 18-79 ans, 2 698 enfants : 0-17 ans)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France métropolitaine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données de consommations alimentaires/7 j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données sur poids et taille, niveaux d’activité physique, compléments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alimentaires, pratiques de conservation de certains aliments</w:t>
            </w:r>
          </w:p>
          <w:p w14:paraId="3C3A87A9" w14:textId="0E011A5C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1245BDD6" wp14:editId="091EF2BD">
                  <wp:extent cx="2413544" cy="1407170"/>
                  <wp:effectExtent l="0" t="0" r="0" b="2540"/>
                  <wp:docPr id="13066525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6525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375" cy="141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6A885D9C" wp14:editId="6F55CBC9">
                  <wp:extent cx="2831556" cy="1529679"/>
                  <wp:effectExtent l="0" t="0" r="635" b="0"/>
                  <wp:docPr id="14251347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13479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11" cy="154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74E" w:rsidRPr="00DA261A" w14:paraId="624CE541" w14:textId="77777777" w:rsidTr="00853978">
        <w:tc>
          <w:tcPr>
            <w:tcW w:w="1341" w:type="dxa"/>
            <w:shd w:val="clear" w:color="auto" w:fill="DAE9F7" w:themeFill="text2" w:themeFillTint="1A"/>
          </w:tcPr>
          <w:p w14:paraId="17D513CD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Études de l’alimentation totale (EAT)</w:t>
            </w:r>
          </w:p>
          <w:p w14:paraId="2908FC8E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04CC31DC" w14:textId="77777777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Enquêtes nationales transversales</w:t>
            </w:r>
          </w:p>
          <w:p w14:paraId="571E8102" w14:textId="0C03826A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But : estimer exposition par ingestion à des composés chimiques : résidus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 produits phytosanitaires, contaminants de l’environnement, composés</w:t>
            </w:r>
          </w:p>
          <w:p w14:paraId="48480DFB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néoformés, toxines naturelles, additifs, éléments traces ou minéraux, etc.</w:t>
            </w:r>
          </w:p>
          <w:p w14:paraId="1F6BE587" w14:textId="37763C52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Analyses sur grand nombre de substances portant sur échantillons alimentaires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représentatifs du régime alimentaire de la population étudiée</w:t>
            </w:r>
          </w:p>
          <w:p w14:paraId="08837F5F" w14:textId="7D903D19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Identification des substances pour lesquelles il existe, dans la population, risque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d’inadéquation d’apport (pour les minéraux) et/ou excès (minéraux et</w:t>
            </w:r>
          </w:p>
          <w:p w14:paraId="37BA123D" w14:textId="493ABDEB" w:rsidR="00CF674E" w:rsidRPr="00CF674E" w:rsidRDefault="00B45A24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</w:t>
            </w:r>
            <w:r w:rsidR="00CF674E"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ontaminants) et aliments contribuant le plus à cet apport ou exposition</w:t>
            </w:r>
          </w:p>
          <w:p w14:paraId="58CD97FF" w14:textId="0E39A853" w:rsidR="00CF674E" w:rsidRPr="00B45A24" w:rsidRDefault="00CF674E" w:rsidP="00B45A24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EAT1 (2000-2004)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EAT2 (2006-2010)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EAT infantile (2011)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estimer exposition chez &lt;3 ans (non allaités) à 670 substances</w:t>
            </w:r>
          </w:p>
        </w:tc>
      </w:tr>
      <w:tr w:rsidR="00CF674E" w:rsidRPr="00DA261A" w14:paraId="3BB90F20" w14:textId="77777777" w:rsidTr="00853978">
        <w:tc>
          <w:tcPr>
            <w:tcW w:w="1341" w:type="dxa"/>
            <w:shd w:val="clear" w:color="auto" w:fill="DAE9F7" w:themeFill="text2" w:themeFillTint="1A"/>
          </w:tcPr>
          <w:p w14:paraId="7B8D795B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À l’échelle individuelle</w:t>
            </w:r>
          </w:p>
          <w:p w14:paraId="46B08E74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1484D326" w14:textId="5E2CA968" w:rsidR="00CF674E" w:rsidRPr="00B45A24" w:rsidRDefault="00CF674E" w:rsidP="00B45A24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Hygiène dans la cuisine</w:t>
            </w:r>
            <w:r w:rsid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Homme principale source de germes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Normes d'hygiène pour le cuisinier (privé ou public)</w:t>
            </w:r>
          </w:p>
          <w:p w14:paraId="46A502C4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Mains propres (ongles)</w:t>
            </w:r>
          </w:p>
          <w:p w14:paraId="4367E841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Ustensiles propres (couteaux, planches à découper, etc.)</w:t>
            </w:r>
          </w:p>
          <w:p w14:paraId="057AEF42" w14:textId="45F30C90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Cuisson des aliments (élimination de nombreux agents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pathogènes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&gt; 70°C)</w:t>
            </w:r>
          </w:p>
          <w:p w14:paraId="5839759E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Ne pas mélanger aliments crus et cuisinés</w:t>
            </w:r>
          </w:p>
          <w:p w14:paraId="2F62028B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Conserver correctement les aliments</w:t>
            </w:r>
          </w:p>
          <w:p w14:paraId="037D9E15" w14:textId="603A8720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Conserves (boites de conserve bombées) respect des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dates de péremption impératif</w:t>
            </w:r>
          </w:p>
          <w:p w14:paraId="7E55C6D0" w14:textId="726BDD9C" w:rsidR="00CF674E" w:rsidRPr="00B45A24" w:rsidRDefault="00CF674E" w:rsidP="00B45A24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Cuisine à l'œuf cru (traitement thermique ≥10 min. à &gt;75°C)</w:t>
            </w:r>
          </w:p>
        </w:tc>
      </w:tr>
      <w:tr w:rsidR="00CF674E" w:rsidRPr="00DA261A" w14:paraId="7A86ACE4" w14:textId="77777777" w:rsidTr="00853978">
        <w:tc>
          <w:tcPr>
            <w:tcW w:w="1341" w:type="dxa"/>
            <w:shd w:val="clear" w:color="auto" w:fill="DAE9F7" w:themeFill="text2" w:themeFillTint="1A"/>
          </w:tcPr>
          <w:p w14:paraId="53A247E0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Gestion des risques</w:t>
            </w:r>
          </w:p>
          <w:p w14:paraId="08FDF09F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41E61A6B" w14:textId="17B77294" w:rsidR="00CF674E" w:rsidRPr="00B45A24" w:rsidRDefault="00CF674E" w:rsidP="00B45A24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 Plupart des textes réglementaires adoptés au niveau européen</w:t>
            </w:r>
            <w:r w:rsid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=&gt;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Exigences et principes généraux de la législation alimentaire, tout au long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chaîne alimentaire, depuis la production jusqu’à la remise de produits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alimentaires au consommateur</w:t>
            </w:r>
          </w:p>
          <w:p w14:paraId="417C2DE5" w14:textId="07AC7661" w:rsidR="00CF674E" w:rsidRPr="00CF674E" w:rsidRDefault="00CF674E" w:rsidP="00B45A24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Traçabilité et sécurité sanitaire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Règles harmonisées dans l’Union Européenne</w:t>
            </w:r>
          </w:p>
          <w:p w14:paraId="73B786D0" w14:textId="720141A5" w:rsidR="00CF674E" w:rsidRPr="00B45A24" w:rsidRDefault="00CF674E" w:rsidP="00B45A24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Loi alimentaire générale (Règlement CE n°178/2002)</w:t>
            </w:r>
            <w:r w:rsid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Principes généraux pour la sécurité des aliments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Approche intégrée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/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Principe de précaution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Analyse de risque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Responsabilité des opérateurs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/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Traçabilité</w:t>
            </w:r>
          </w:p>
          <w:p w14:paraId="5B59090D" w14:textId="234A88E1" w:rsidR="00CF674E" w:rsidRPr="00CF674E" w:rsidRDefault="00CF674E" w:rsidP="00B45A24">
            <w:pPr>
              <w:pStyle w:val="p5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Création de l’Autorité Européenne de Sécurité des Aliments (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EFSA / AESA) :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support scientifique et technique</w:t>
            </w:r>
          </w:p>
          <w:p w14:paraId="2F071310" w14:textId="4E09A99C" w:rsidR="00CF674E" w:rsidRPr="00CF674E" w:rsidRDefault="00CF674E" w:rsidP="00CF674E">
            <w:pPr>
              <w:pStyle w:val="p6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organisme européen de référence pour l’évaluation des risques liés à la sécurité des aliments destinés à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l’alimentation humaine et animale, à la santé et au bien-être des animaux, à la nutrition ainsi qu’à la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protection et à la santé des plantes</w:t>
            </w:r>
          </w:p>
          <w:p w14:paraId="3D732813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Mise en place d’un système d’alerte rapide renforcé</w:t>
            </w:r>
          </w:p>
          <w:p w14:paraId="05D543E3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Mise en place d’une procédure de gestion des crises</w:t>
            </w:r>
          </w:p>
          <w:p w14:paraId="114284AE" w14:textId="482FEFB3" w:rsidR="00CF674E" w:rsidRPr="00CF674E" w:rsidRDefault="00CF674E" w:rsidP="00B45A24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Système de gestion de la sécurité des aliments</w:t>
            </w:r>
            <w:r w:rsidR="00B45A24"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 :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Séparation fonctionnelle pour répondre aux attentes de la société civile</w:t>
            </w:r>
          </w:p>
          <w:p w14:paraId="3FE8C34E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Évaluation séparée de la gestion des risques</w:t>
            </w:r>
          </w:p>
          <w:p w14:paraId="5F9954BC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Contrôles sanitaires séparés du soutien aux filières</w:t>
            </w:r>
          </w:p>
          <w:p w14:paraId="1854A27E" w14:textId="77777777" w:rsidR="00CF674E" w:rsidRDefault="00CF674E" w:rsidP="00CF674E">
            <w:pPr>
              <w:pStyle w:val="p4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o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Chaîne unique de commandement</w:t>
            </w:r>
          </w:p>
          <w:p w14:paraId="40C1BBF7" w14:textId="15A3C512" w:rsidR="00B45A24" w:rsidRPr="00B45A24" w:rsidRDefault="00B45A24" w:rsidP="00B45A24">
            <w:pPr>
              <w:pStyle w:val="p4"/>
              <w:jc w:val="center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46CC034E" wp14:editId="7814FEBD">
                  <wp:extent cx="1933275" cy="1100667"/>
                  <wp:effectExtent l="0" t="0" r="0" b="4445"/>
                  <wp:docPr id="16432193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1932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310" cy="110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B3B06" w14:textId="77777777" w:rsidR="00CF674E" w:rsidRPr="00B45A24" w:rsidRDefault="00CF674E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Système de gestion de la sécurité des aliments</w:t>
            </w:r>
          </w:p>
          <w:p w14:paraId="11E3038E" w14:textId="1DE524BB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Séparation fonctionnelle pour répondre aux attentes de la société civile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Évaluation séparée de la gestion des risques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/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Contrôles sanitaires séparés du soutien aux filières</w:t>
            </w:r>
          </w:p>
          <w:p w14:paraId="4D0C1881" w14:textId="77777777" w:rsidR="00CF674E" w:rsidRPr="00B45A24" w:rsidRDefault="00CF674E" w:rsidP="00CF674E">
            <w:pPr>
              <w:pStyle w:val="p4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Chaîne unique de commandement</w:t>
            </w:r>
          </w:p>
          <w:p w14:paraId="6414F65C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Approche intégrée « de la fourche à la fourchette » (ou du « champ à l’assiette »)</w:t>
            </w:r>
          </w:p>
          <w:p w14:paraId="667BD77E" w14:textId="068F5E6F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Responsabilité des opérateurs du secteur alimentaire (producteurs, transformateurs,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distributeurs) mettant en place leurs propres contrôles « auto-contrôles » afin de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s’assurer qu’ils mettent sur le marché des produits sains et sûrs</w:t>
            </w:r>
          </w:p>
          <w:p w14:paraId="3806E7C6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Contrôles officiels</w:t>
            </w:r>
          </w:p>
          <w:p w14:paraId="7BF65917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Adaptation constante de la réglementation</w:t>
            </w:r>
          </w:p>
          <w:p w14:paraId="34C4B01B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Système d’agrément et de contrôles des établissements</w:t>
            </w:r>
          </w:p>
          <w:p w14:paraId="78A4D33F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Identification et traçabilité des produits</w:t>
            </w:r>
          </w:p>
          <w:p w14:paraId="23D6D5F1" w14:textId="30E7CE12" w:rsidR="00CF674E" w:rsidRPr="00CF674E" w:rsidRDefault="00CF674E" w:rsidP="00CF674E">
            <w:pPr>
              <w:pStyle w:val="p5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Réseau d’alerte national et européen</w:t>
            </w:r>
          </w:p>
          <w:p w14:paraId="212DCE4C" w14:textId="77777777" w:rsidR="00CF674E" w:rsidRPr="00B45A24" w:rsidRDefault="00CF674E" w:rsidP="00B45A24">
            <w:pPr>
              <w:pStyle w:val="p1"/>
              <w:jc w:val="center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Acteurs</w:t>
            </w:r>
          </w:p>
          <w:p w14:paraId="1B8E39E2" w14:textId="7017BCC3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Ministère en charge de l’agriculture et de l’alimentation, via Direction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générale de l’alimentation (DGAL)</w:t>
            </w:r>
          </w:p>
          <w:p w14:paraId="11334C55" w14:textId="0A440901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Depuis 1er janvier 2024, police unique de sécurité sanitaire en matière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d’alimentation humaine et animale</w:t>
            </w:r>
          </w:p>
          <w:p w14:paraId="78041F15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contrôle des filières de production de denrées animales ou d’origine animale ;</w:t>
            </w:r>
          </w:p>
          <w:p w14:paraId="51297066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contrôle des filières de production de denrées végétales ou d’origine végétale ;</w:t>
            </w:r>
          </w:p>
          <w:p w14:paraId="26E58FDD" w14:textId="324A24B1" w:rsidR="00CF674E" w:rsidRPr="00CF674E" w:rsidRDefault="00CF674E" w:rsidP="00B45A24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contrôle des établissements du secteur de la remise directe qui inclut la distribution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(commerces de détail, moyenne et grande distribution…), la restauration commerciale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(restaurants…) et la restauration collective (cantines scolaires, restaurants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d’entreprise…)</w:t>
            </w:r>
          </w:p>
          <w:p w14:paraId="6915F95A" w14:textId="645C26E8" w:rsidR="00CF674E" w:rsidRPr="00B45A24" w:rsidRDefault="00CF674E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Direction générale de la concurrence, de la consommation et de la</w:t>
            </w:r>
            <w:r w:rsidR="00B45A24"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répression des fraudes (DGCCRF)</w:t>
            </w:r>
          </w:p>
          <w:p w14:paraId="6171B713" w14:textId="3BB82D3E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contrôles sur la qualité et la loyauté des produits alimentaires à l’égard des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consommateurs et des professionnels :</w:t>
            </w:r>
          </w:p>
          <w:p w14:paraId="6289383B" w14:textId="77777777" w:rsidR="00CF674E" w:rsidRPr="00CF674E" w:rsidRDefault="00CF674E" w:rsidP="00CF674E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respect des règles d’étiquetage, de composition et de dénomination des marchandises</w:t>
            </w:r>
          </w:p>
          <w:p w14:paraId="57ED6CB2" w14:textId="34155197" w:rsidR="00CF674E" w:rsidRPr="00CF674E" w:rsidRDefault="00CF674E" w:rsidP="00CF674E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lutte contre les pratiques trompeuses sur l’origine, la qualité, les allégations relatives aux produits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(ex : contrôles des signes officiels de qualité (appellation d’origine protégée [AOP], indication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géographique protégée [IGP]… ou des produits issus de l'agriculture biologique [AB])</w:t>
            </w:r>
          </w:p>
          <w:p w14:paraId="1104A6FB" w14:textId="4D7C22F5" w:rsidR="00CF674E" w:rsidRPr="00CF674E" w:rsidRDefault="00CF674E" w:rsidP="00CF674E">
            <w:pPr>
              <w:pStyle w:val="p5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contrôles des matériaux en contact avec les aliments</w:t>
            </w:r>
          </w:p>
        </w:tc>
      </w:tr>
      <w:tr w:rsidR="00CF674E" w:rsidRPr="00DA261A" w14:paraId="7EBF247C" w14:textId="77777777" w:rsidTr="00853978">
        <w:tc>
          <w:tcPr>
            <w:tcW w:w="1341" w:type="dxa"/>
            <w:shd w:val="clear" w:color="auto" w:fill="DAE9F7" w:themeFill="text2" w:themeFillTint="1A"/>
          </w:tcPr>
          <w:p w14:paraId="510946B0" w14:textId="39DAB779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lastRenderedPageBreak/>
              <w:t>Contrôles</w:t>
            </w:r>
          </w:p>
        </w:tc>
        <w:tc>
          <w:tcPr>
            <w:tcW w:w="8860" w:type="dxa"/>
          </w:tcPr>
          <w:p w14:paraId="6BE9ADD8" w14:textId="0B7D0ED9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noProof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drawing>
                <wp:inline distT="0" distB="0" distL="0" distR="0" wp14:anchorId="57AF5B32" wp14:editId="38BB737B">
                  <wp:extent cx="3335443" cy="1206254"/>
                  <wp:effectExtent l="0" t="0" r="5080" b="635"/>
                  <wp:docPr id="20541382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13826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00" cy="121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74E" w:rsidRPr="00DA261A" w14:paraId="0683E822" w14:textId="77777777" w:rsidTr="00853978">
        <w:tc>
          <w:tcPr>
            <w:tcW w:w="1341" w:type="dxa"/>
            <w:shd w:val="clear" w:color="auto" w:fill="DAE9F7" w:themeFill="text2" w:themeFillTint="1A"/>
          </w:tcPr>
          <w:p w14:paraId="301B1086" w14:textId="7D1BB03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Alerte alimentaire</w:t>
            </w:r>
          </w:p>
        </w:tc>
        <w:tc>
          <w:tcPr>
            <w:tcW w:w="8860" w:type="dxa"/>
          </w:tcPr>
          <w:p w14:paraId="4C19A4A7" w14:textId="77B46B06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Mise en évidence d’une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anomalie sur un aliment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: non-conformité qui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témoigne d’un danger potentiel pour les consommateurs</w:t>
            </w:r>
          </w:p>
          <w:p w14:paraId="1F5BA7CB" w14:textId="4D40E415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Détectée suite à la réalisation de contrôles et d’analyses ou suite à l’apparition de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malades</w:t>
            </w:r>
          </w:p>
          <w:p w14:paraId="1A40CA4D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Objectifs :</w:t>
            </w:r>
          </w:p>
          <w:p w14:paraId="33CCD285" w14:textId="7AB683C8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faire cesser l’exposition du consommateur au produit (retrait du produit des rayons des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magasins concernés)</w:t>
            </w:r>
          </w:p>
          <w:p w14:paraId="73FD4AAE" w14:textId="7D44E836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informer le consommateur qui a déjà acheté le produit afin qu’il ne le consomme pas ou, s’il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l’a déjà consommé, qu’il puisse en parler à son médecin en cas de symptômes (rappel du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produit)</w:t>
            </w:r>
          </w:p>
          <w:p w14:paraId="08380829" w14:textId="678D56FE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éviter que la situation ne se reproduise (ex : mise en place des mesures adaptées au sein de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l’entreprise concernée)</w:t>
            </w:r>
          </w:p>
          <w:p w14:paraId="728C18EA" w14:textId="77777777" w:rsidR="00CF674E" w:rsidRPr="00B45A24" w:rsidRDefault="00CF674E" w:rsidP="00B45A24">
            <w:pPr>
              <w:pStyle w:val="p1"/>
              <w:jc w:val="center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Acteurs</w:t>
            </w:r>
          </w:p>
          <w:p w14:paraId="03A4CE3C" w14:textId="77777777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Professionnels :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1ers responsables de la qualité du produit et leurs prestataires</w:t>
            </w:r>
          </w:p>
          <w:p w14:paraId="3E9F2B06" w14:textId="19E84229" w:rsidR="00CF674E" w:rsidRPr="00CF674E" w:rsidRDefault="00CF674E" w:rsidP="00B45A24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Services de contrôle du ministère chargé de l’agriculture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: Directions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départementales de la protection des populations (DDPP) ou Directions départementales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 l’emploi, du travail, des solidarités et de la protection des populations (DDETSPP)</w:t>
            </w:r>
          </w:p>
          <w:p w14:paraId="42AF5EC1" w14:textId="411F0EFA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Consommateur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: respect des bonnes pratiques d’hygiène et de l’application des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consignes figurant sur les produits (température de conservation, méthode de cuisson,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durée de vie...)</w:t>
            </w:r>
          </w:p>
          <w:p w14:paraId="44FD8768" w14:textId="04F5617D" w:rsidR="00CF674E" w:rsidRPr="00CF674E" w:rsidRDefault="00CF674E" w:rsidP="00B45A24">
            <w:pPr>
              <w:pStyle w:val="p4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Direction générale de la santé du ministère chargé de la santé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via Centre opérationnel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 régulation et de réponse des urgences sanitaires et sociales (CORRUSS), agences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régionales de santé (ARS) et Santé publique France, ou encore les laboratoires et centres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nationaux de référence, impliqués notamment dans la détection de cas groupés de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malades et dans les investigations engagées pour en trouver la cause</w:t>
            </w:r>
          </w:p>
          <w:p w14:paraId="393BF5B4" w14:textId="0B1761F2" w:rsidR="00CF674E" w:rsidRPr="00B45A24" w:rsidRDefault="00CF674E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Mission des urgences sanitaires (MUS) de la DGAL du Ministère de l’agriculture</w:t>
            </w:r>
            <w:r w:rsidR="00B45A24"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et de la souveraineté alimentaire : chef d’orchestre</w:t>
            </w:r>
          </w:p>
          <w:p w14:paraId="616366A3" w14:textId="155CEAF6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en cas d’alertes alimentaires, MUS coordonne au niveau national les investigations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et les contrôles des services du MASA, en lien étroit avec le CORRUSS</w:t>
            </w:r>
          </w:p>
          <w:p w14:paraId="770922E3" w14:textId="6432F159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Symbol" w:char="F0DE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MUS : point de contact national du réseau d’alerte rapide de l’Union européenne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pour les alertes alimentaires (Rapid 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Alert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System for Food and 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Feed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)</w:t>
            </w:r>
          </w:p>
          <w:p w14:paraId="27960FC2" w14:textId="77777777" w:rsidR="00CF674E" w:rsidRPr="00B45A24" w:rsidRDefault="00CF674E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Gestion par la DGAL :</w:t>
            </w:r>
          </w:p>
          <w:p w14:paraId="050DDCE8" w14:textId="77F00041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• réalisation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d’enquêtes de traçabilité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sur des produits alimentaires suspects, directement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auprès des exploitants afin d’obtenir les informations relatives aux ingrédients qui le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composent et leur provenance, ou les différents lots de production concernés et le chemin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pris par ces lots jusqu’à leur distribution au consommateur</w:t>
            </w:r>
          </w:p>
          <w:p w14:paraId="77646035" w14:textId="1B220896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dans le cas où des consommateurs sont malades, les aliments suspects sont recherchés à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travers des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enquêtes alimentaires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dans lesquelles (ex : analyse des listes des courses obtenues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à partir des numéros de cartes de fidélité transmises par les familles de malades)</w:t>
            </w:r>
          </w:p>
          <w:p w14:paraId="06CD6037" w14:textId="14AF439F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• réalisation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d’inspections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dans les entreprises concernées afin de vérifier l’évolution de la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situation et de garantir le retour à un niveau de maîtrise satisfaisant de la sécurité sanitaire</w:t>
            </w:r>
          </w:p>
          <w:p w14:paraId="272CC9D2" w14:textId="0662CEB3" w:rsidR="00CF674E" w:rsidRPr="00CF674E" w:rsidRDefault="00CF674E" w:rsidP="00CF674E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• réalisation de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prélèvements d’échantillons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de produits finis ou de matières premières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suspects, ou de restes mis à disposition par des malades</w:t>
            </w:r>
          </w:p>
          <w:p w14:paraId="7C4747EA" w14:textId="77777777" w:rsidR="00CF674E" w:rsidRPr="00B45A24" w:rsidRDefault="00CF674E" w:rsidP="00CF674E">
            <w:pPr>
              <w:pStyle w:val="p2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•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contrôle de l’effectivité des retraits/rappels de produits</w:t>
            </w:r>
          </w:p>
          <w:p w14:paraId="1955AABE" w14:textId="286AE548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• partage d’informations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entre États membres de l’Union européenne et avec des pays tiers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via le réseau européen d’alerte rapide RASFF (Rapid 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Alert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System for Food and </w:t>
            </w:r>
            <w:proofErr w:type="spellStart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Feed</w:t>
            </w:r>
            <w:proofErr w:type="spellEnd"/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)</w:t>
            </w:r>
          </w:p>
        </w:tc>
      </w:tr>
      <w:tr w:rsidR="00CF674E" w:rsidRPr="00DA261A" w14:paraId="4AE89431" w14:textId="77777777" w:rsidTr="00853978">
        <w:tc>
          <w:tcPr>
            <w:tcW w:w="1341" w:type="dxa"/>
            <w:shd w:val="clear" w:color="auto" w:fill="DAE9F7" w:themeFill="text2" w:themeFillTint="1A"/>
          </w:tcPr>
          <w:p w14:paraId="6839419F" w14:textId="070A2FB9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  <w:r w:rsidRPr="00853978"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  <w:t>Communication</w:t>
            </w:r>
          </w:p>
          <w:p w14:paraId="7BFEB44D" w14:textId="77777777" w:rsidR="00CF674E" w:rsidRPr="00853978" w:rsidRDefault="00CF674E" w:rsidP="00CF674E">
            <w:pPr>
              <w:jc w:val="center"/>
              <w:rPr>
                <w:rFonts w:ascii="Calibri" w:eastAsia="Times New Roman" w:hAnsi="Calibri" w:cs="Calibri"/>
                <w:b/>
                <w:bCs/>
                <w:color w:val="153D63" w:themeColor="text2" w:themeTint="E6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8860" w:type="dxa"/>
          </w:tcPr>
          <w:p w14:paraId="7D3ABF05" w14:textId="724E4D9B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Publication des résultats des contrôles officiels en matière de sécurité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sanitaire des aliments &gt;1er mars 2017 (décret n°2016-1750 du 15 déc.)</w:t>
            </w:r>
          </w:p>
          <w:p w14:paraId="2C506CE8" w14:textId="598DC68F" w:rsidR="00CF674E" w:rsidRPr="00CF674E" w:rsidRDefault="00CF674E" w:rsidP="00B45A24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Tous les établissements de la chaîne alimentaire concernés par le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dispositif</w:t>
            </w:r>
            <w:r w:rsidR="00B45A24"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proofErr w:type="spellStart"/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Alim’confiance</w:t>
            </w:r>
            <w:proofErr w:type="spellEnd"/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:</w:t>
            </w:r>
          </w:p>
          <w:p w14:paraId="246ED627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établissements de remise directe (restaurants, métiers de bouche, distributeurs)</w:t>
            </w:r>
          </w:p>
          <w:p w14:paraId="4B1A4FCA" w14:textId="77777777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établissements de restauration collective</w:t>
            </w:r>
          </w:p>
          <w:p w14:paraId="54AA4473" w14:textId="4BD7D213" w:rsidR="00CF674E" w:rsidRPr="00CF674E" w:rsidRDefault="00CF674E" w:rsidP="00CF674E">
            <w:pPr>
              <w:pStyle w:val="p3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 ateliers de production et de transformation des denrées animales ou d’origine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animale (viande, lait, œufs, poisson…), des denrées végétales ou d’origine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végétale, les abattoirs…</w:t>
            </w:r>
          </w:p>
          <w:p w14:paraId="32144ED8" w14:textId="10596352" w:rsidR="00CF674E" w:rsidRPr="00B45A24" w:rsidRDefault="00CF674E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Communication – Confusions </w:t>
            </w:r>
            <w:proofErr w:type="spellStart"/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champignosn</w:t>
            </w:r>
            <w:proofErr w:type="spellEnd"/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– Anses</w:t>
            </w:r>
          </w:p>
          <w:p w14:paraId="2290BFDC" w14:textId="569B619D" w:rsidR="00CF674E" w:rsidRPr="00CF674E" w:rsidRDefault="00CF674E" w:rsidP="00CF674E">
            <w:pPr>
              <w:pStyle w:val="p1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Information – Compléments alimentaires</w:t>
            </w:r>
            <w:r w:rsid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à base de plantes</w:t>
            </w:r>
          </w:p>
          <w:p w14:paraId="564F59A9" w14:textId="1498F95F" w:rsidR="00CF674E" w:rsidRPr="00CF674E" w:rsidRDefault="00CF674E" w:rsidP="00B45A24">
            <w:pPr>
              <w:pStyle w:val="p2"/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sym w:font="Wingdings" w:char="F0A7"/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Avis et outil développé par l’Anses permettant aux professionnels de santé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de mieux informer patients sur 118 plantes médicinales utilisées</w:t>
            </w:r>
            <w:r w:rsidR="00B45A24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 </w:t>
            </w:r>
            <w:r w:rsidRPr="00CF674E">
              <w:rPr>
                <w:rFonts w:ascii="Calibri" w:eastAsiaTheme="minorHAnsi" w:hAnsi="Calibri" w:cs="Calibri"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dans des compléments alimentaires</w:t>
            </w:r>
          </w:p>
          <w:p w14:paraId="7557F896" w14:textId="60B9A745" w:rsidR="00CF674E" w:rsidRPr="00B45A24" w:rsidRDefault="00B45A24" w:rsidP="00CF674E">
            <w:pPr>
              <w:pStyle w:val="p1"/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</w:pP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J</w:t>
            </w:r>
            <w:r w:rsidR="00CF674E"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ournée internationale sécurité sanitaire</w:t>
            </w:r>
            <w:r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 xml:space="preserve"> : </w:t>
            </w:r>
            <w:r w:rsidR="00CF674E" w:rsidRPr="00B45A24">
              <w:rPr>
                <w:rFonts w:ascii="Calibri" w:eastAsiaTheme="minorHAnsi" w:hAnsi="Calibri" w:cs="Calibri"/>
                <w:b/>
                <w:bCs/>
                <w:color w:val="000000" w:themeColor="text1"/>
                <w:kern w:val="2"/>
                <w:sz w:val="14"/>
                <w:szCs w:val="14"/>
                <w:lang w:eastAsia="en-US"/>
                <w14:ligatures w14:val="standardContextual"/>
              </w:rPr>
              <w:t>1re édition : 7 juin 2019</w:t>
            </w:r>
          </w:p>
        </w:tc>
      </w:tr>
    </w:tbl>
    <w:p w14:paraId="2F03AAD0" w14:textId="77777777" w:rsidR="00873337" w:rsidRPr="00DA261A" w:rsidRDefault="00873337" w:rsidP="00CF674E">
      <w:pPr>
        <w:rPr>
          <w:rFonts w:ascii="Calibri" w:hAnsi="Calibri" w:cs="Calibri"/>
          <w:color w:val="000000" w:themeColor="text1"/>
          <w:sz w:val="14"/>
          <w:szCs w:val="14"/>
        </w:rPr>
      </w:pPr>
    </w:p>
    <w:sectPr w:rsidR="00873337" w:rsidRPr="00DA261A" w:rsidSect="00DA2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A0E87"/>
    <w:multiLevelType w:val="hybridMultilevel"/>
    <w:tmpl w:val="D9226B12"/>
    <w:lvl w:ilvl="0" w:tplc="C8282E54">
      <w:start w:val="19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94A77"/>
    <w:multiLevelType w:val="hybridMultilevel"/>
    <w:tmpl w:val="74EC0F50"/>
    <w:lvl w:ilvl="0" w:tplc="9D7E6844">
      <w:start w:val="198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673C3"/>
    <w:multiLevelType w:val="hybridMultilevel"/>
    <w:tmpl w:val="910C163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C1448"/>
    <w:multiLevelType w:val="hybridMultilevel"/>
    <w:tmpl w:val="35184EDA"/>
    <w:lvl w:ilvl="0" w:tplc="A53A4032">
      <w:start w:val="198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999160">
    <w:abstractNumId w:val="1"/>
  </w:num>
  <w:num w:numId="2" w16cid:durableId="365297802">
    <w:abstractNumId w:val="3"/>
  </w:num>
  <w:num w:numId="3" w16cid:durableId="1960261376">
    <w:abstractNumId w:val="2"/>
  </w:num>
  <w:num w:numId="4" w16cid:durableId="436632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337"/>
    <w:rsid w:val="000A425C"/>
    <w:rsid w:val="004A08C4"/>
    <w:rsid w:val="00853978"/>
    <w:rsid w:val="00873337"/>
    <w:rsid w:val="00B45A24"/>
    <w:rsid w:val="00CF674E"/>
    <w:rsid w:val="00DA261A"/>
    <w:rsid w:val="00E844A8"/>
    <w:rsid w:val="00F4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7A7F11"/>
  <w15:chartTrackingRefBased/>
  <w15:docId w15:val="{EC84155D-F5B2-D248-AD2B-47155FE29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733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33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33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33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33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33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33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33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33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33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33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33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333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333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333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333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333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333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33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3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33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33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33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333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333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333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33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333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333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DA2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DA261A"/>
    <w:pPr>
      <w:spacing w:after="0" w:line="240" w:lineRule="auto"/>
    </w:pPr>
    <w:rPr>
      <w:rFonts w:ascii="Arial" w:eastAsia="Times New Roman" w:hAnsi="Arial" w:cs="Arial"/>
      <w:color w:val="7E0A25"/>
      <w:kern w:val="0"/>
      <w:sz w:val="48"/>
      <w:szCs w:val="48"/>
      <w:lang w:eastAsia="fr-FR"/>
      <w14:ligatures w14:val="none"/>
    </w:rPr>
  </w:style>
  <w:style w:type="paragraph" w:customStyle="1" w:styleId="p2">
    <w:name w:val="p2"/>
    <w:basedOn w:val="Normal"/>
    <w:rsid w:val="00DA261A"/>
    <w:pPr>
      <w:spacing w:after="0" w:line="240" w:lineRule="auto"/>
    </w:pPr>
    <w:rPr>
      <w:rFonts w:ascii="Arial" w:eastAsia="Times New Roman" w:hAnsi="Arial" w:cs="Arial"/>
      <w:color w:val="000000"/>
      <w:kern w:val="0"/>
      <w:sz w:val="27"/>
      <w:szCs w:val="27"/>
      <w:lang w:eastAsia="fr-FR"/>
      <w14:ligatures w14:val="none"/>
    </w:rPr>
  </w:style>
  <w:style w:type="character" w:customStyle="1" w:styleId="s1">
    <w:name w:val="s1"/>
    <w:basedOn w:val="Policepardfaut"/>
    <w:rsid w:val="00DA261A"/>
    <w:rPr>
      <w:color w:val="000000"/>
    </w:rPr>
  </w:style>
  <w:style w:type="character" w:customStyle="1" w:styleId="s2">
    <w:name w:val="s2"/>
    <w:basedOn w:val="Policepardfaut"/>
    <w:rsid w:val="00DA261A"/>
    <w:rPr>
      <w:color w:val="720016"/>
    </w:rPr>
  </w:style>
  <w:style w:type="character" w:customStyle="1" w:styleId="s3">
    <w:name w:val="s3"/>
    <w:basedOn w:val="Policepardfaut"/>
    <w:rsid w:val="00DA261A"/>
    <w:rPr>
      <w:rFonts w:ascii="Arial" w:hAnsi="Arial" w:cs="Arial" w:hint="default"/>
      <w:sz w:val="27"/>
      <w:szCs w:val="27"/>
    </w:rPr>
  </w:style>
  <w:style w:type="character" w:customStyle="1" w:styleId="s4">
    <w:name w:val="s4"/>
    <w:basedOn w:val="Policepardfaut"/>
    <w:rsid w:val="00DA261A"/>
    <w:rPr>
      <w:rFonts w:ascii="Wingdings" w:hAnsi="Wingdings" w:hint="default"/>
      <w:sz w:val="27"/>
      <w:szCs w:val="27"/>
    </w:rPr>
  </w:style>
  <w:style w:type="paragraph" w:customStyle="1" w:styleId="p3">
    <w:name w:val="p3"/>
    <w:basedOn w:val="Normal"/>
    <w:rsid w:val="00DA261A"/>
    <w:pPr>
      <w:spacing w:after="0" w:line="240" w:lineRule="auto"/>
    </w:pPr>
    <w:rPr>
      <w:rFonts w:ascii="Arial" w:eastAsia="Times New Roman" w:hAnsi="Arial" w:cs="Arial"/>
      <w:color w:val="720016"/>
      <w:kern w:val="0"/>
      <w:sz w:val="27"/>
      <w:szCs w:val="27"/>
      <w:lang w:eastAsia="fr-FR"/>
      <w14:ligatures w14:val="none"/>
    </w:rPr>
  </w:style>
  <w:style w:type="character" w:customStyle="1" w:styleId="s5">
    <w:name w:val="s5"/>
    <w:basedOn w:val="Policepardfaut"/>
    <w:rsid w:val="00DA261A"/>
    <w:rPr>
      <w:color w:val="000000"/>
    </w:rPr>
  </w:style>
  <w:style w:type="character" w:customStyle="1" w:styleId="s6">
    <w:name w:val="s6"/>
    <w:basedOn w:val="Policepardfaut"/>
    <w:rsid w:val="00DA261A"/>
    <w:rPr>
      <w:color w:val="720016"/>
    </w:rPr>
  </w:style>
  <w:style w:type="paragraph" w:customStyle="1" w:styleId="p4">
    <w:name w:val="p4"/>
    <w:basedOn w:val="Normal"/>
    <w:rsid w:val="004A08C4"/>
    <w:pPr>
      <w:spacing w:after="0" w:line="240" w:lineRule="auto"/>
    </w:pPr>
    <w:rPr>
      <w:rFonts w:ascii="Arial" w:eastAsia="Times New Roman" w:hAnsi="Arial" w:cs="Arial"/>
      <w:color w:val="000000"/>
      <w:kern w:val="0"/>
      <w:sz w:val="27"/>
      <w:szCs w:val="27"/>
      <w:lang w:eastAsia="fr-FR"/>
      <w14:ligatures w14:val="none"/>
    </w:rPr>
  </w:style>
  <w:style w:type="paragraph" w:customStyle="1" w:styleId="p5">
    <w:name w:val="p5"/>
    <w:basedOn w:val="Normal"/>
    <w:rsid w:val="004A08C4"/>
    <w:pPr>
      <w:spacing w:after="0" w:line="240" w:lineRule="auto"/>
    </w:pPr>
    <w:rPr>
      <w:rFonts w:ascii="Arial" w:eastAsia="Times New Roman" w:hAnsi="Arial" w:cs="Arial"/>
      <w:color w:val="000000"/>
      <w:kern w:val="0"/>
      <w:sz w:val="21"/>
      <w:szCs w:val="21"/>
      <w:lang w:eastAsia="fr-FR"/>
      <w14:ligatures w14:val="none"/>
    </w:rPr>
  </w:style>
  <w:style w:type="paragraph" w:customStyle="1" w:styleId="p6">
    <w:name w:val="p6"/>
    <w:basedOn w:val="Normal"/>
    <w:rsid w:val="004A08C4"/>
    <w:pPr>
      <w:spacing w:after="0" w:line="240" w:lineRule="auto"/>
    </w:pPr>
    <w:rPr>
      <w:rFonts w:ascii="Arial" w:eastAsia="Times New Roman" w:hAnsi="Arial" w:cs="Arial"/>
      <w:color w:val="720016"/>
      <w:kern w:val="0"/>
      <w:sz w:val="30"/>
      <w:szCs w:val="3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4A08C4"/>
  </w:style>
  <w:style w:type="character" w:customStyle="1" w:styleId="s7">
    <w:name w:val="s7"/>
    <w:basedOn w:val="Policepardfaut"/>
    <w:rsid w:val="00CF674E"/>
    <w:rPr>
      <w:rFonts w:ascii="Arial" w:hAnsi="Arial" w:cs="Arial" w:hint="default"/>
      <w:color w:val="7E0A25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3176</Words>
  <Characters>17472</Characters>
  <Application>Microsoft Office Word</Application>
  <DocSecurity>0</DocSecurity>
  <Lines>145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4</cp:revision>
  <dcterms:created xsi:type="dcterms:W3CDTF">2025-04-11T11:50:00Z</dcterms:created>
  <dcterms:modified xsi:type="dcterms:W3CDTF">2025-04-11T17:58:00Z</dcterms:modified>
</cp:coreProperties>
</file>