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185"/>
        <w:gridCol w:w="4791"/>
        <w:gridCol w:w="1316"/>
        <w:gridCol w:w="3476"/>
      </w:tblGrid>
      <w:tr w:rsidR="003B310F" w:rsidRPr="00360321" w:rsidTr="00710068">
        <w:tc>
          <w:tcPr>
            <w:tcW w:w="10768" w:type="dxa"/>
            <w:gridSpan w:val="4"/>
            <w:shd w:val="clear" w:color="auto" w:fill="B4C6E7" w:themeFill="accent1" w:themeFillTint="66"/>
          </w:tcPr>
          <w:p w:rsidR="003B310F" w:rsidRPr="00360321" w:rsidRDefault="003B310F" w:rsidP="003B310F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20"/>
                <w:szCs w:val="20"/>
              </w:rPr>
              <w:t>COSMETOVIGILANCE</w:t>
            </w:r>
          </w:p>
        </w:tc>
      </w:tr>
      <w:tr w:rsidR="00360321" w:rsidRPr="00360321" w:rsidTr="00893225">
        <w:tc>
          <w:tcPr>
            <w:tcW w:w="1185" w:type="dxa"/>
            <w:shd w:val="clear" w:color="auto" w:fill="D9E2F3" w:themeFill="accent1" w:themeFillTint="33"/>
          </w:tcPr>
          <w:p w:rsidR="00360321" w:rsidRPr="00360321" w:rsidRDefault="00360321" w:rsidP="003B310F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Présentation de l’Anses</w:t>
            </w:r>
          </w:p>
          <w:p w:rsidR="00360321" w:rsidRPr="00360321" w:rsidRDefault="00360321" w:rsidP="003B310F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  <w:tc>
          <w:tcPr>
            <w:tcW w:w="4791" w:type="dxa"/>
          </w:tcPr>
          <w:p w:rsidR="00360321" w:rsidRPr="00360321" w:rsidRDefault="00360321" w:rsidP="003B310F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Créée le 1</w:t>
            </w:r>
            <w:r w:rsidRPr="00360321">
              <w:rPr>
                <w:rStyle w:val="s1"/>
                <w:rFonts w:ascii="Aptos" w:eastAsiaTheme="majorEastAsia" w:hAnsi="Aptos"/>
                <w:b/>
                <w:bCs/>
                <w:sz w:val="12"/>
                <w:szCs w:val="12"/>
              </w:rPr>
              <w:t xml:space="preserve">er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juillet 2010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360321">
              <w:rPr>
                <w:rFonts w:ascii="Aptos" w:hAnsi="Aptos"/>
                <w:sz w:val="12"/>
                <w:szCs w:val="12"/>
              </w:rPr>
              <w:t>En application de la loi Hôpital Patients Santé et Territoires de 2009</w:t>
            </w:r>
          </w:p>
          <w:p w:rsidR="00360321" w:rsidRDefault="00360321" w:rsidP="003B310F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 xml:space="preserve">Fusion de </w:t>
            </w: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 xml:space="preserve">l’ </w:t>
            </w:r>
            <w:proofErr w:type="spellStart"/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Afssa</w:t>
            </w:r>
            <w:proofErr w:type="spellEnd"/>
            <w:proofErr w:type="gramEnd"/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(partie santé – alimentation) et de l’</w:t>
            </w:r>
            <w:proofErr w:type="spellStart"/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Afsset</w:t>
            </w:r>
            <w:proofErr w:type="spellEnd"/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(partie santé – environnement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et travail)</w:t>
            </w:r>
          </w:p>
          <w:p w:rsidR="00360321" w:rsidRDefault="00360321" w:rsidP="00360321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 xml:space="preserve">Statut : </w:t>
            </w:r>
            <w:proofErr w:type="spellStart"/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Etablissement</w:t>
            </w:r>
            <w:proofErr w:type="spellEnd"/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 public administratif,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placé sous la tutelle de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quatre ministères</w:t>
            </w:r>
          </w:p>
          <w:p w:rsidR="00360321" w:rsidRPr="00360321" w:rsidRDefault="00360321" w:rsidP="003B310F">
            <w:pPr>
              <w:pStyle w:val="p1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4792" w:type="dxa"/>
            <w:gridSpan w:val="2"/>
          </w:tcPr>
          <w:p w:rsidR="00360321" w:rsidRPr="00360321" w:rsidRDefault="00360321" w:rsidP="003B310F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drawing>
                <wp:inline distT="0" distB="0" distL="0" distR="0" wp14:anchorId="0491DBF8" wp14:editId="6AB065C0">
                  <wp:extent cx="2080800" cy="903616"/>
                  <wp:effectExtent l="0" t="0" r="2540" b="0"/>
                  <wp:docPr id="147348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480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906" cy="917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068" w:rsidRPr="00360321" w:rsidTr="00852BE4">
        <w:tc>
          <w:tcPr>
            <w:tcW w:w="10768" w:type="dxa"/>
            <w:gridSpan w:val="4"/>
            <w:shd w:val="clear" w:color="auto" w:fill="B4C6E7" w:themeFill="accent1" w:themeFillTint="66"/>
          </w:tcPr>
          <w:p w:rsidR="00710068" w:rsidRPr="00360321" w:rsidRDefault="00710068" w:rsidP="00710068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Vigilances sanitaires</w:t>
            </w:r>
          </w:p>
        </w:tc>
      </w:tr>
      <w:tr w:rsidR="00710068" w:rsidRPr="00360321" w:rsidTr="00087053">
        <w:tc>
          <w:tcPr>
            <w:tcW w:w="10768" w:type="dxa"/>
            <w:gridSpan w:val="4"/>
            <w:shd w:val="clear" w:color="auto" w:fill="auto"/>
          </w:tcPr>
          <w:p w:rsidR="00710068" w:rsidRPr="00360321" w:rsidRDefault="00710068" w:rsidP="003B310F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Style w:val="s1"/>
                <w:rFonts w:ascii="Aptos" w:eastAsiaTheme="majorEastAsia" w:hAnsi="Aptos"/>
                <w:sz w:val="12"/>
                <w:szCs w:val="12"/>
              </w:rPr>
              <w:t>•</w:t>
            </w:r>
            <w:r w:rsidRPr="00360321">
              <w:rPr>
                <w:rFonts w:ascii="Aptos" w:hAnsi="Aptos"/>
                <w:b/>
                <w:bCs/>
                <w:color w:val="FF0000"/>
                <w:sz w:val="12"/>
                <w:szCs w:val="12"/>
                <w:u w:val="single"/>
              </w:rPr>
              <w:t xml:space="preserve">Tout système règlementaire de sécurité sanitaire </w:t>
            </w:r>
            <w:r w:rsidRPr="00360321">
              <w:rPr>
                <w:rStyle w:val="s2"/>
                <w:rFonts w:ascii="Aptos" w:eastAsiaTheme="majorEastAsia" w:hAnsi="Aptos"/>
                <w:b/>
                <w:bCs/>
                <w:color w:val="FF0000"/>
                <w:sz w:val="12"/>
                <w:szCs w:val="12"/>
                <w:u w:val="single"/>
              </w:rPr>
              <w:t>comportant</w:t>
            </w:r>
            <w:r w:rsidRPr="00360321">
              <w:rPr>
                <w:rStyle w:val="s2"/>
                <w:rFonts w:ascii="Aptos" w:eastAsiaTheme="majorEastAsia" w:hAnsi="Aptos"/>
                <w:b/>
                <w:bCs/>
                <w:color w:val="FF0000"/>
                <w:sz w:val="12"/>
                <w:szCs w:val="12"/>
                <w:u w:val="single"/>
              </w:rPr>
              <w:t xml:space="preserve"> </w:t>
            </w:r>
            <w:r w:rsidRPr="00360321">
              <w:rPr>
                <w:rFonts w:ascii="Aptos" w:hAnsi="Aptos"/>
                <w:b/>
                <w:bCs/>
                <w:color w:val="FF0000"/>
                <w:sz w:val="12"/>
                <w:szCs w:val="12"/>
                <w:u w:val="single"/>
              </w:rPr>
              <w:t xml:space="preserve">notamment la </w:t>
            </w:r>
            <w:r w:rsidRPr="00360321">
              <w:rPr>
                <w:rStyle w:val="s3"/>
                <w:rFonts w:ascii="Aptos" w:eastAsiaTheme="majorEastAsia" w:hAnsi="Aptos"/>
                <w:b/>
                <w:bCs/>
                <w:color w:val="FF0000"/>
                <w:sz w:val="12"/>
                <w:szCs w:val="12"/>
                <w:u w:val="single"/>
              </w:rPr>
              <w:t xml:space="preserve">déclaration 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par les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professionnels de santé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d’évènements indésirables, chez l’homme, potentiellement liés à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des produits, substances ou pratiques définis</w:t>
            </w:r>
            <w:r w:rsidRPr="00360321">
              <w:rPr>
                <w:rFonts w:ascii="Aptos" w:hAnsi="Aptos"/>
                <w:sz w:val="12"/>
                <w:szCs w:val="12"/>
              </w:rPr>
              <w:t>.</w:t>
            </w:r>
          </w:p>
          <w:p w:rsidR="00710068" w:rsidRPr="00360321" w:rsidRDefault="00710068" w:rsidP="003B310F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Style w:val="s1"/>
                <w:rFonts w:ascii="Aptos" w:eastAsiaTheme="majorEastAsia" w:hAnsi="Aptos"/>
                <w:sz w:val="12"/>
                <w:szCs w:val="12"/>
              </w:rPr>
              <w:t>•</w:t>
            </w:r>
            <w:r w:rsidRPr="00360321">
              <w:rPr>
                <w:rFonts w:ascii="Aptos" w:hAnsi="Aptos"/>
                <w:sz w:val="12"/>
                <w:szCs w:val="12"/>
              </w:rPr>
              <w:t>Les vigilances sont un des outils de la veille sanitaire.</w:t>
            </w:r>
          </w:p>
          <w:p w:rsidR="00710068" w:rsidRPr="00360321" w:rsidRDefault="00710068" w:rsidP="003B310F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Obligation réglementaire sans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sanction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/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Volontariat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/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Sous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-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estimation +++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/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Biais de déclaration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/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Mais peut capter des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évènements rares, graves…</w:t>
            </w:r>
          </w:p>
          <w:p w:rsidR="00710068" w:rsidRPr="00360321" w:rsidRDefault="00710068" w:rsidP="003B310F">
            <w:pPr>
              <w:pStyle w:val="p1"/>
              <w:rPr>
                <w:rFonts w:ascii="Aptos" w:hAnsi="Aptos"/>
                <w:color w:val="FF0000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G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érées au niveau national par les agences de sécurité sanitaire </w:t>
            </w:r>
            <w:r w:rsidRPr="00360321">
              <w:rPr>
                <w:rStyle w:val="s1"/>
                <w:rFonts w:ascii="Aptos" w:eastAsiaTheme="majorEastAsia" w:hAnsi="Aptos"/>
                <w:color w:val="FF0000"/>
                <w:sz w:val="12"/>
                <w:szCs w:val="12"/>
              </w:rPr>
              <w:t>(Ordonnance du 19 janvier</w:t>
            </w:r>
            <w:r w:rsidRPr="00360321">
              <w:rPr>
                <w:rStyle w:val="s1"/>
                <w:rFonts w:ascii="Aptos" w:eastAsiaTheme="majorEastAsia" w:hAnsi="Aptos"/>
                <w:color w:val="FF0000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color w:val="FF0000"/>
                <w:sz w:val="12"/>
                <w:szCs w:val="12"/>
              </w:rPr>
              <w:t>2017)</w:t>
            </w:r>
          </w:p>
          <w:p w:rsidR="00710068" w:rsidRPr="00360321" w:rsidRDefault="00710068" w:rsidP="003B310F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 xml:space="preserve">- 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Elles s’appuient sur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différents réseaux régionaux </w:t>
            </w:r>
            <w:r w:rsidRPr="00360321">
              <w:rPr>
                <w:rFonts w:ascii="Aptos" w:hAnsi="Aptos"/>
                <w:sz w:val="12"/>
                <w:szCs w:val="12"/>
              </w:rPr>
              <w:t>(CAP, CRPV, CEIP-A…)</w:t>
            </w:r>
          </w:p>
          <w:p w:rsidR="00710068" w:rsidRPr="00360321" w:rsidRDefault="00710068" w:rsidP="003B310F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 xml:space="preserve">- 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L’Agence régionale de santé (ARS) est responsable de la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gestion d’une alerte sanitaire en région</w:t>
            </w:r>
          </w:p>
          <w:p w:rsidR="00710068" w:rsidRPr="00360321" w:rsidRDefault="00710068" w:rsidP="003B310F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:rsidR="00710068" w:rsidRPr="00360321" w:rsidRDefault="00710068" w:rsidP="00710068">
            <w:pPr>
              <w:pStyle w:val="p1"/>
              <w:numPr>
                <w:ilvl w:val="0"/>
                <w:numId w:val="1"/>
              </w:num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Les vigilances gérées par l’ANSM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 (</w:t>
            </w:r>
            <w:r w:rsidRPr="00360321">
              <w:rPr>
                <w:rFonts w:ascii="Aptos" w:hAnsi="Aptos"/>
                <w:sz w:val="12"/>
                <w:szCs w:val="12"/>
              </w:rPr>
              <w:t>Agence nationale de sécurité du médicament et des produits de santé</w:t>
            </w:r>
            <w:r w:rsidRPr="00360321">
              <w:rPr>
                <w:rFonts w:ascii="Aptos" w:hAnsi="Aptos"/>
                <w:sz w:val="12"/>
                <w:szCs w:val="12"/>
              </w:rPr>
              <w:t>)</w:t>
            </w:r>
          </w:p>
          <w:p w:rsidR="00710068" w:rsidRPr="00360321" w:rsidRDefault="00710068" w:rsidP="003B310F">
            <w:pPr>
              <w:pStyle w:val="p3"/>
              <w:rPr>
                <w:rFonts w:ascii="Aptos" w:hAnsi="Aptos"/>
                <w:sz w:val="12"/>
                <w:szCs w:val="12"/>
                <w:u w:val="single"/>
              </w:rPr>
            </w:pPr>
            <w:r w:rsidRPr="00360321">
              <w:rPr>
                <w:rFonts w:ascii="Aptos" w:hAnsi="Aptos"/>
                <w:sz w:val="12"/>
                <w:szCs w:val="12"/>
                <w:u w:val="single"/>
              </w:rPr>
              <w:t>Les situations liées à un produit ou à une substance ou un dispositif médical</w:t>
            </w:r>
          </w:p>
          <w:p w:rsidR="00710068" w:rsidRPr="00360321" w:rsidRDefault="00710068" w:rsidP="003B310F">
            <w:pPr>
              <w:pStyle w:val="p4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Style w:val="s1"/>
                <w:rFonts w:ascii="Aptos" w:eastAsiaTheme="majorEastAsia" w:hAnsi="Aptos"/>
                <w:sz w:val="12"/>
                <w:szCs w:val="12"/>
              </w:rPr>
              <w:t>•</w:t>
            </w:r>
            <w:r w:rsidRPr="00360321">
              <w:rPr>
                <w:rFonts w:ascii="Aptos" w:hAnsi="Aptos"/>
                <w:sz w:val="12"/>
                <w:szCs w:val="12"/>
              </w:rPr>
              <w:t>Médicament : Pharmacovigilance</w:t>
            </w:r>
          </w:p>
          <w:p w:rsidR="00710068" w:rsidRPr="00360321" w:rsidRDefault="00710068" w:rsidP="003B310F">
            <w:pPr>
              <w:pStyle w:val="p4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Style w:val="s1"/>
                <w:rFonts w:ascii="Aptos" w:eastAsiaTheme="majorEastAsia" w:hAnsi="Aptos"/>
                <w:sz w:val="12"/>
                <w:szCs w:val="12"/>
              </w:rPr>
              <w:t>•</w:t>
            </w:r>
            <w:r w:rsidRPr="00360321">
              <w:rPr>
                <w:rFonts w:ascii="Aptos" w:hAnsi="Aptos"/>
                <w:sz w:val="12"/>
                <w:szCs w:val="12"/>
              </w:rPr>
              <w:t>Matériel médical : Matériovigilance, Réactovigilance</w:t>
            </w:r>
          </w:p>
          <w:p w:rsidR="00710068" w:rsidRPr="00360321" w:rsidRDefault="00710068" w:rsidP="003B310F">
            <w:pPr>
              <w:pStyle w:val="p4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Style w:val="s1"/>
                <w:rFonts w:ascii="Aptos" w:eastAsiaTheme="majorEastAsia" w:hAnsi="Aptos"/>
                <w:sz w:val="12"/>
                <w:szCs w:val="12"/>
              </w:rPr>
              <w:t>•</w:t>
            </w:r>
            <w:r w:rsidRPr="00360321">
              <w:rPr>
                <w:rFonts w:ascii="Aptos" w:hAnsi="Aptos"/>
                <w:sz w:val="12"/>
                <w:szCs w:val="12"/>
              </w:rPr>
              <w:t>Drogues, substances ou produits d’addiction : Addictovigilance</w:t>
            </w:r>
          </w:p>
          <w:p w:rsidR="00710068" w:rsidRPr="00360321" w:rsidRDefault="00710068" w:rsidP="003B310F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  <w:u w:val="single"/>
              </w:rPr>
              <w:t>Les situations liées à un soin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360321">
              <w:rPr>
                <w:rFonts w:ascii="Aptos" w:hAnsi="Aptos"/>
                <w:sz w:val="12"/>
                <w:szCs w:val="12"/>
              </w:rPr>
              <w:t>Transfusion, don du sang : Hémovigilance</w:t>
            </w:r>
          </w:p>
          <w:p w:rsidR="00710068" w:rsidRPr="00360321" w:rsidRDefault="00710068" w:rsidP="00710068">
            <w:pPr>
              <w:pStyle w:val="p3"/>
              <w:numPr>
                <w:ilvl w:val="0"/>
                <w:numId w:val="1"/>
              </w:numPr>
              <w:rPr>
                <w:rFonts w:ascii="Aptos" w:hAnsi="Aptos"/>
                <w:sz w:val="12"/>
                <w:szCs w:val="12"/>
                <w:u w:val="single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Les vigilances gérées par l’ABM*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 (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Agence de biomédecine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) :</w:t>
            </w:r>
            <w:r w:rsidRPr="00360321">
              <w:rPr>
                <w:rFonts w:ascii="Aptos" w:hAnsi="Aptos"/>
                <w:sz w:val="12"/>
                <w:szCs w:val="12"/>
                <w:u w:val="single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  <w:u w:val="single"/>
              </w:rPr>
              <w:t>Les situations liées à un soin</w:t>
            </w:r>
          </w:p>
          <w:p w:rsidR="00710068" w:rsidRPr="00360321" w:rsidRDefault="00710068" w:rsidP="003B310F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•Assistance liée à la procréation</w:t>
            </w:r>
            <w:r w:rsidRPr="00360321">
              <w:rPr>
                <w:rFonts w:ascii="Aptos" w:hAnsi="Aptos"/>
                <w:sz w:val="12"/>
                <w:szCs w:val="12"/>
              </w:rPr>
              <w:t> </w:t>
            </w:r>
            <w:r w:rsidRPr="00360321">
              <w:rPr>
                <w:rFonts w:ascii="Aptos" w:hAnsi="Aptos"/>
                <w:sz w:val="12"/>
                <w:szCs w:val="12"/>
              </w:rPr>
              <w:t>: AMP-vigilance</w:t>
            </w:r>
          </w:p>
          <w:p w:rsidR="00710068" w:rsidRPr="00360321" w:rsidRDefault="00710068" w:rsidP="003B310F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•Greffe, prélèvement d’organe</w:t>
            </w:r>
            <w:r w:rsidRPr="00360321">
              <w:rPr>
                <w:rFonts w:ascii="Aptos" w:hAnsi="Aptos"/>
                <w:sz w:val="12"/>
                <w:szCs w:val="12"/>
              </w:rPr>
              <w:t> </w:t>
            </w:r>
            <w:r w:rsidRPr="00360321">
              <w:rPr>
                <w:rFonts w:ascii="Aptos" w:hAnsi="Aptos"/>
                <w:sz w:val="12"/>
                <w:szCs w:val="12"/>
              </w:rPr>
              <w:t>: biovigilance</w:t>
            </w:r>
          </w:p>
          <w:p w:rsidR="00710068" w:rsidRPr="00360321" w:rsidRDefault="00710068" w:rsidP="00710068">
            <w:pPr>
              <w:pStyle w:val="p1"/>
              <w:numPr>
                <w:ilvl w:val="0"/>
                <w:numId w:val="1"/>
              </w:num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Les vigilances gérées par </w:t>
            </w:r>
            <w:proofErr w:type="gramStart"/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l’ ASN</w:t>
            </w:r>
            <w:proofErr w:type="gramEnd"/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 (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Autorité de sûreté nucléaire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) </w:t>
            </w:r>
            <w:r w:rsidRPr="00360321">
              <w:rPr>
                <w:rFonts w:ascii="Aptos" w:hAnsi="Aptos"/>
                <w:sz w:val="12"/>
                <w:szCs w:val="12"/>
                <w:u w:val="single"/>
              </w:rPr>
              <w:t>Les situations liées à un soin</w:t>
            </w:r>
          </w:p>
          <w:p w:rsidR="00710068" w:rsidRPr="00360321" w:rsidRDefault="00710068" w:rsidP="003B310F">
            <w:pPr>
              <w:pStyle w:val="p4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Style w:val="s1"/>
                <w:rFonts w:ascii="Aptos" w:eastAsiaTheme="majorEastAsia" w:hAnsi="Aptos"/>
                <w:sz w:val="12"/>
                <w:szCs w:val="12"/>
              </w:rPr>
              <w:t>•</w:t>
            </w:r>
            <w:r w:rsidRPr="00360321">
              <w:rPr>
                <w:rFonts w:ascii="Aptos" w:hAnsi="Aptos"/>
                <w:sz w:val="12"/>
                <w:szCs w:val="12"/>
              </w:rPr>
              <w:t>Imagerie médicale, radiologie interventionnelle, radiothérapie : évènement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significatifs liés à la radioprotection</w:t>
            </w:r>
          </w:p>
          <w:p w:rsidR="00710068" w:rsidRPr="00360321" w:rsidRDefault="00710068" w:rsidP="00710068">
            <w:pPr>
              <w:pStyle w:val="p3"/>
              <w:numPr>
                <w:ilvl w:val="0"/>
                <w:numId w:val="1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Les vigilances gérées par SPF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(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Santé publique 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France) </w:t>
            </w:r>
            <w:r w:rsidRPr="00360321">
              <w:rPr>
                <w:rFonts w:ascii="Aptos" w:hAnsi="Aptos"/>
                <w:sz w:val="12"/>
                <w:szCs w:val="12"/>
              </w:rPr>
              <w:t>Les situations liées à un soin</w:t>
            </w:r>
          </w:p>
          <w:p w:rsidR="00710068" w:rsidRPr="00360321" w:rsidRDefault="00710068" w:rsidP="00710068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•Les infections liées aux soins (infections nosocomiales)</w:t>
            </w:r>
          </w:p>
          <w:p w:rsidR="00710068" w:rsidRPr="00360321" w:rsidRDefault="00710068" w:rsidP="00710068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Les maladies à déclaration obligatoire (plus de la surveillance que de la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vigilance puisque c’est obligatoire</w:t>
            </w: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):TIAC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>, saturnisme infantile</w:t>
            </w:r>
          </w:p>
          <w:p w:rsidR="00710068" w:rsidRPr="00360321" w:rsidRDefault="00710068" w:rsidP="00710068">
            <w:pPr>
              <w:pStyle w:val="p3"/>
              <w:numPr>
                <w:ilvl w:val="0"/>
                <w:numId w:val="1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Les vigilances gérées par la HAS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(</w:t>
            </w:r>
            <w:r w:rsidRPr="00360321">
              <w:rPr>
                <w:rFonts w:ascii="Aptos" w:hAnsi="Aptos"/>
                <w:sz w:val="12"/>
                <w:szCs w:val="12"/>
              </w:rPr>
              <w:t>Haute autorité de santé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) : </w:t>
            </w:r>
            <w:r w:rsidRPr="00360321">
              <w:rPr>
                <w:rFonts w:ascii="Aptos" w:hAnsi="Aptos"/>
                <w:sz w:val="12"/>
                <w:szCs w:val="12"/>
                <w:u w:val="single"/>
              </w:rPr>
              <w:t>Qualité et sécurité des soins</w:t>
            </w:r>
            <w:r w:rsidRPr="00360321">
              <w:rPr>
                <w:rFonts w:ascii="Aptos" w:hAnsi="Aptos"/>
                <w:sz w:val="12"/>
                <w:szCs w:val="12"/>
                <w:u w:val="single"/>
              </w:rPr>
              <w:t xml:space="preserve"> : </w:t>
            </w:r>
            <w:r w:rsidRPr="00360321">
              <w:rPr>
                <w:rFonts w:ascii="Aptos" w:hAnsi="Aptos"/>
                <w:sz w:val="12"/>
                <w:szCs w:val="12"/>
              </w:rPr>
              <w:t>Les événements indésirables graves associés aux soins.</w:t>
            </w:r>
          </w:p>
          <w:p w:rsidR="00710068" w:rsidRPr="00360321" w:rsidRDefault="00710068" w:rsidP="00710068">
            <w:pPr>
              <w:pStyle w:val="p3"/>
              <w:numPr>
                <w:ilvl w:val="0"/>
                <w:numId w:val="1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Les vigilances gérées par l’Anses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360321">
              <w:rPr>
                <w:rFonts w:ascii="Aptos" w:hAnsi="Aptos"/>
                <w:sz w:val="12"/>
                <w:szCs w:val="12"/>
                <w:u w:val="single"/>
              </w:rPr>
              <w:t>Les situations liées à un produit ou à une substance</w:t>
            </w:r>
          </w:p>
          <w:p w:rsidR="00710068" w:rsidRPr="00360321" w:rsidRDefault="00710068" w:rsidP="00710068">
            <w:pPr>
              <w:pStyle w:val="p3"/>
              <w:numPr>
                <w:ilvl w:val="0"/>
                <w:numId w:val="2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Médicament vétérinaire : pharmacovigilance vétérinaire (ANMV) depuis 1999</w:t>
            </w:r>
          </w:p>
          <w:p w:rsidR="00710068" w:rsidRPr="00360321" w:rsidRDefault="00710068" w:rsidP="00710068">
            <w:pPr>
              <w:pStyle w:val="p3"/>
              <w:numPr>
                <w:ilvl w:val="0"/>
                <w:numId w:val="2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 xml:space="preserve">Compléments alimentaires, denrées particulières, </w:t>
            </w:r>
            <w:proofErr w:type="spellStart"/>
            <w:r w:rsidRPr="00360321">
              <w:rPr>
                <w:rFonts w:ascii="Aptos" w:hAnsi="Aptos"/>
                <w:sz w:val="12"/>
                <w:szCs w:val="12"/>
              </w:rPr>
              <w:t>novel</w:t>
            </w:r>
            <w:proofErr w:type="spellEnd"/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360321">
              <w:rPr>
                <w:rFonts w:ascii="Aptos" w:hAnsi="Aptos"/>
                <w:sz w:val="12"/>
                <w:szCs w:val="12"/>
              </w:rPr>
              <w:t>food</w:t>
            </w:r>
            <w:proofErr w:type="spellEnd"/>
            <w:r w:rsidRPr="00360321">
              <w:rPr>
                <w:rFonts w:ascii="Aptos" w:hAnsi="Aptos"/>
                <w:sz w:val="12"/>
                <w:szCs w:val="12"/>
              </w:rPr>
              <w:t xml:space="preserve"> : </w:t>
            </w:r>
            <w:proofErr w:type="spellStart"/>
            <w:r w:rsidRPr="00360321">
              <w:rPr>
                <w:rFonts w:ascii="Aptos" w:hAnsi="Aptos"/>
                <w:sz w:val="12"/>
                <w:szCs w:val="12"/>
              </w:rPr>
              <w:t>nutrivigilance</w:t>
            </w:r>
            <w:proofErr w:type="spellEnd"/>
            <w:r w:rsidRPr="00360321">
              <w:rPr>
                <w:rFonts w:ascii="Aptos" w:hAnsi="Aptos"/>
                <w:sz w:val="12"/>
                <w:szCs w:val="12"/>
              </w:rPr>
              <w:t xml:space="preserve"> depuis 2009</w:t>
            </w:r>
          </w:p>
          <w:p w:rsidR="00710068" w:rsidRPr="00360321" w:rsidRDefault="00710068" w:rsidP="00710068">
            <w:pPr>
              <w:pStyle w:val="p3"/>
              <w:numPr>
                <w:ilvl w:val="0"/>
                <w:numId w:val="2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 xml:space="preserve">Produits phytopharmaceutiques : </w:t>
            </w:r>
            <w:proofErr w:type="spellStart"/>
            <w:r w:rsidRPr="00360321">
              <w:rPr>
                <w:rFonts w:ascii="Aptos" w:hAnsi="Aptos"/>
                <w:sz w:val="12"/>
                <w:szCs w:val="12"/>
              </w:rPr>
              <w:t>phytopharmacovigilance</w:t>
            </w:r>
            <w:proofErr w:type="spellEnd"/>
            <w:r w:rsidRPr="00360321">
              <w:rPr>
                <w:rFonts w:ascii="Aptos" w:hAnsi="Aptos"/>
                <w:sz w:val="12"/>
                <w:szCs w:val="12"/>
              </w:rPr>
              <w:t xml:space="preserve"> (santé humaine, écosystèmes, qualité des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milieux) depuis 2015</w:t>
            </w:r>
          </w:p>
          <w:p w:rsidR="00710068" w:rsidRPr="00360321" w:rsidRDefault="00710068" w:rsidP="00710068">
            <w:pPr>
              <w:pStyle w:val="p3"/>
              <w:numPr>
                <w:ilvl w:val="0"/>
                <w:numId w:val="2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Produits industriels, ménagers, bricolage, jardinage, animaux, plantes, champignons, pollution intérieure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ou environnementale : toxicovigilance depuis 2016</w:t>
            </w:r>
          </w:p>
          <w:p w:rsidR="00710068" w:rsidRPr="00360321" w:rsidRDefault="00710068" w:rsidP="00710068">
            <w:pPr>
              <w:pStyle w:val="p3"/>
              <w:numPr>
                <w:ilvl w:val="0"/>
                <w:numId w:val="2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RNV3PE : pathologies professionnelles et environnementales</w:t>
            </w:r>
          </w:p>
          <w:p w:rsidR="00710068" w:rsidRPr="00360321" w:rsidRDefault="00710068" w:rsidP="00710068">
            <w:pPr>
              <w:pStyle w:val="p3"/>
              <w:rPr>
                <w:rFonts w:ascii="Aptos" w:hAnsi="Aptos"/>
                <w:sz w:val="12"/>
                <w:szCs w:val="12"/>
                <w:u w:val="single"/>
              </w:rPr>
            </w:pPr>
            <w:r w:rsidRPr="00360321">
              <w:rPr>
                <w:rFonts w:ascii="Aptos" w:hAnsi="Aptos"/>
                <w:sz w:val="12"/>
                <w:szCs w:val="12"/>
                <w:u w:val="single"/>
              </w:rPr>
              <w:t>Les situations liées à un produit ou à une substance</w:t>
            </w:r>
            <w:r w:rsidRPr="00360321">
              <w:rPr>
                <w:rFonts w:ascii="Aptos" w:hAnsi="Aptos"/>
                <w:sz w:val="12"/>
                <w:szCs w:val="12"/>
                <w:u w:val="single"/>
              </w:rPr>
              <w:t xml:space="preserve"> : 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Produits de tatouage : </w:t>
            </w:r>
            <w:proofErr w:type="spellStart"/>
            <w:r w:rsidRPr="00360321">
              <w:rPr>
                <w:rFonts w:ascii="Aptos" w:hAnsi="Aptos"/>
                <w:sz w:val="12"/>
                <w:szCs w:val="12"/>
              </w:rPr>
              <w:t>tatouvigilance</w:t>
            </w:r>
            <w:proofErr w:type="spellEnd"/>
            <w:r w:rsidRPr="00360321">
              <w:rPr>
                <w:rFonts w:ascii="Aptos" w:hAnsi="Aptos"/>
                <w:sz w:val="12"/>
                <w:szCs w:val="12"/>
              </w:rPr>
              <w:t xml:space="preserve"> 2024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/ </w:t>
            </w:r>
            <w:r w:rsidRPr="00360321">
              <w:rPr>
                <w:rFonts w:ascii="Aptos" w:hAnsi="Aptos"/>
                <w:sz w:val="12"/>
                <w:szCs w:val="12"/>
              </w:rPr>
              <w:t>Cosmétiques : cosmétovigilance 2024</w:t>
            </w:r>
          </w:p>
          <w:p w:rsidR="00710068" w:rsidRPr="00360321" w:rsidRDefault="00710068" w:rsidP="00710068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Nouvelle gouvernance pour « cosmétiques et tatouages » : Transfert de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compétences depuis le 1er janvier 2024</w:t>
            </w:r>
          </w:p>
        </w:tc>
      </w:tr>
      <w:tr w:rsidR="00710068" w:rsidRPr="00360321" w:rsidTr="00852BE4">
        <w:tc>
          <w:tcPr>
            <w:tcW w:w="10768" w:type="dxa"/>
            <w:gridSpan w:val="4"/>
            <w:shd w:val="clear" w:color="auto" w:fill="B4C6E7" w:themeFill="accent1" w:themeFillTint="66"/>
          </w:tcPr>
          <w:p w:rsidR="00710068" w:rsidRPr="00360321" w:rsidRDefault="00710068" w:rsidP="00710068">
            <w:pPr>
              <w:pStyle w:val="p2"/>
              <w:jc w:val="center"/>
              <w:rPr>
                <w:rStyle w:val="s1"/>
                <w:rFonts w:ascii="Aptos" w:eastAsiaTheme="majorEastAsia" w:hAnsi="Aptos"/>
                <w:b/>
                <w:bCs/>
                <w:sz w:val="12"/>
                <w:szCs w:val="12"/>
              </w:rPr>
            </w:pPr>
            <w:r w:rsidRPr="00360321">
              <w:rPr>
                <w:rStyle w:val="s1"/>
                <w:rFonts w:ascii="Aptos" w:eastAsiaTheme="majorEastAsia" w:hAnsi="Aptos"/>
                <w:b/>
                <w:bCs/>
                <w:sz w:val="12"/>
                <w:szCs w:val="12"/>
              </w:rPr>
              <w:t>Cosmétovigilance</w:t>
            </w:r>
          </w:p>
        </w:tc>
      </w:tr>
      <w:tr w:rsidR="00710068" w:rsidRPr="00360321" w:rsidTr="00360321">
        <w:tc>
          <w:tcPr>
            <w:tcW w:w="1185" w:type="dxa"/>
            <w:shd w:val="clear" w:color="auto" w:fill="D9E2F3" w:themeFill="accent1" w:themeFillTint="33"/>
          </w:tcPr>
          <w:p w:rsidR="00710068" w:rsidRPr="00360321" w:rsidRDefault="00360321" w:rsidP="00360321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Réglementation et définition</w:t>
            </w:r>
          </w:p>
        </w:tc>
        <w:tc>
          <w:tcPr>
            <w:tcW w:w="9583" w:type="dxa"/>
            <w:gridSpan w:val="3"/>
          </w:tcPr>
          <w:p w:rsidR="00710068" w:rsidRPr="00360321" w:rsidRDefault="00710068" w:rsidP="00710068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Réglementation des cosmétiques</w:t>
            </w:r>
          </w:p>
          <w:p w:rsidR="00710068" w:rsidRPr="00360321" w:rsidRDefault="00710068" w:rsidP="00710068">
            <w:pPr>
              <w:pStyle w:val="Paragraphedeliste"/>
              <w:numPr>
                <w:ilvl w:val="0"/>
                <w:numId w:val="3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Depuis le 11 juillet 2013, le règlement (CE) n°1223/2009 relatif aux produits cosmétiques.</w:t>
            </w:r>
          </w:p>
          <w:p w:rsidR="00710068" w:rsidRPr="00360321" w:rsidRDefault="00710068" w:rsidP="00710068">
            <w:pPr>
              <w:pStyle w:val="Paragraphedeliste"/>
              <w:numPr>
                <w:ilvl w:val="0"/>
                <w:numId w:val="3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Article 3 : tout produit cosmétique mis sur le marché doit être sûr pour la santé humaine lorsqu’il est utilisé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dans des conditions normales d’emploi ou raisonnablement prévisibles</w:t>
            </w:r>
          </w:p>
          <w:p w:rsidR="00710068" w:rsidRPr="00360321" w:rsidRDefault="00710068" w:rsidP="00710068">
            <w:pPr>
              <w:pStyle w:val="Paragraphedeliste"/>
              <w:numPr>
                <w:ilvl w:val="0"/>
                <w:numId w:val="3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Désignation d’une personne responsable (PR) pour tout produit cosmétique mis sur le marché en Europe,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l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’évaluation de sa sécurité et sa notification sur le portail européen </w:t>
            </w:r>
            <w:proofErr w:type="spellStart"/>
            <w:r w:rsidRPr="00360321">
              <w:rPr>
                <w:rFonts w:ascii="Aptos" w:hAnsi="Aptos"/>
                <w:sz w:val="12"/>
                <w:szCs w:val="12"/>
              </w:rPr>
              <w:t>Cosmetic</w:t>
            </w:r>
            <w:proofErr w:type="spellEnd"/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360321">
              <w:rPr>
                <w:rFonts w:ascii="Aptos" w:hAnsi="Aptos"/>
                <w:sz w:val="12"/>
                <w:szCs w:val="12"/>
              </w:rPr>
              <w:t>Products</w:t>
            </w:r>
            <w:proofErr w:type="spellEnd"/>
            <w:r w:rsidRPr="00360321">
              <w:rPr>
                <w:rFonts w:ascii="Aptos" w:hAnsi="Aptos"/>
                <w:sz w:val="12"/>
                <w:szCs w:val="12"/>
              </w:rPr>
              <w:t xml:space="preserve"> Notification Portal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(CPNP)</w:t>
            </w:r>
          </w:p>
          <w:p w:rsidR="00710068" w:rsidRPr="00360321" w:rsidRDefault="00710068" w:rsidP="00710068">
            <w:pPr>
              <w:pStyle w:val="Paragraphedeliste"/>
              <w:numPr>
                <w:ilvl w:val="0"/>
                <w:numId w:val="3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Liste des substances interdites et des substances soumises à des restrictions (en termes de concentration ou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d’usage par exemple)</w:t>
            </w:r>
          </w:p>
          <w:p w:rsidR="00710068" w:rsidRPr="00360321" w:rsidRDefault="00710068" w:rsidP="00710068">
            <w:pPr>
              <w:pStyle w:val="Paragraphedeliste"/>
              <w:numPr>
                <w:ilvl w:val="0"/>
                <w:numId w:val="3"/>
              </w:numPr>
              <w:rPr>
                <w:rFonts w:ascii="Aptos" w:hAnsi="Aptos"/>
                <w:sz w:val="12"/>
                <w:szCs w:val="12"/>
              </w:rPr>
            </w:pPr>
          </w:p>
          <w:p w:rsidR="00710068" w:rsidRPr="00360321" w:rsidRDefault="00710068" w:rsidP="00710068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Annexes du règlement sur les produits cosmétiques</w:t>
            </w:r>
          </w:p>
          <w:p w:rsidR="00710068" w:rsidRPr="00360321" w:rsidRDefault="00710068" w:rsidP="00710068">
            <w:p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Annexe II : Substances interdites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/ </w:t>
            </w:r>
            <w:r w:rsidRPr="00360321">
              <w:rPr>
                <w:rFonts w:ascii="Aptos" w:hAnsi="Aptos"/>
                <w:sz w:val="12"/>
                <w:szCs w:val="12"/>
              </w:rPr>
              <w:t>Annexe III : Substances restreintes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/ </w:t>
            </w:r>
            <w:r w:rsidRPr="00360321">
              <w:rPr>
                <w:rFonts w:ascii="Aptos" w:hAnsi="Aptos"/>
                <w:sz w:val="12"/>
                <w:szCs w:val="12"/>
              </w:rPr>
              <w:t>Annexe IV : Colorants autorisés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/ </w:t>
            </w:r>
            <w:r w:rsidRPr="00360321">
              <w:rPr>
                <w:rFonts w:ascii="Aptos" w:hAnsi="Aptos"/>
                <w:sz w:val="12"/>
                <w:szCs w:val="12"/>
              </w:rPr>
              <w:t>Annexe V : Conservateurs autorisés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/ </w:t>
            </w:r>
            <w:r w:rsidRPr="00360321">
              <w:rPr>
                <w:rFonts w:ascii="Aptos" w:hAnsi="Aptos"/>
                <w:sz w:val="12"/>
                <w:szCs w:val="12"/>
              </w:rPr>
              <w:t>Annexe VI : Filtres UV autorisés</w:t>
            </w:r>
          </w:p>
          <w:p w:rsidR="00710068" w:rsidRPr="00360321" w:rsidRDefault="00710068" w:rsidP="00710068">
            <w:pPr>
              <w:rPr>
                <w:rFonts w:ascii="Aptos" w:hAnsi="Aptos"/>
                <w:sz w:val="12"/>
                <w:szCs w:val="12"/>
              </w:rPr>
            </w:pPr>
          </w:p>
          <w:p w:rsidR="00710068" w:rsidRPr="00360321" w:rsidRDefault="00710068" w:rsidP="00360321">
            <w:p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Produit cosmétique :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Toute substance ou mélange destiné à être mis en contact avec les diverses parties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superficielles du corps humain, notamment la peau, les poils et les cheveux, les ongles, les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lèvres et les organes génitaux externes ou avec les dents et les muqueuses buccales, en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vue, exclusivement ou principalement, de les nettoyer, de les parfumer, d'en modifier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l'aspect, de les protéger, de les maintenir en bon état ou de corriger les odeurs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corporelles</w:t>
            </w:r>
          </w:p>
        </w:tc>
      </w:tr>
      <w:tr w:rsidR="00360321" w:rsidRPr="00360321" w:rsidTr="00360321">
        <w:tc>
          <w:tcPr>
            <w:tcW w:w="1185" w:type="dxa"/>
            <w:shd w:val="clear" w:color="auto" w:fill="D9E2F3" w:themeFill="accent1" w:themeFillTint="33"/>
          </w:tcPr>
          <w:p w:rsidR="00360321" w:rsidRPr="00360321" w:rsidRDefault="00360321" w:rsidP="00360321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Étiquetage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 produit cosmétique :</w:t>
            </w:r>
          </w:p>
        </w:tc>
        <w:tc>
          <w:tcPr>
            <w:tcW w:w="9583" w:type="dxa"/>
            <w:gridSpan w:val="3"/>
          </w:tcPr>
          <w:p w:rsidR="00360321" w:rsidRPr="00360321" w:rsidRDefault="00360321" w:rsidP="00360321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 xml:space="preserve">Un produit cosmétique doit disposer d’un étiquetage sur lequel </w:t>
            </w: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figure:</w:t>
            </w:r>
            <w:proofErr w:type="gramEnd"/>
          </w:p>
          <w:p w:rsidR="00360321" w:rsidRPr="00360321" w:rsidRDefault="00360321" w:rsidP="00360321">
            <w:pPr>
              <w:pStyle w:val="p2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le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nom et l’adresse de la personne responsable de sa mise sur le marché,</w:t>
            </w:r>
          </w:p>
          <w:p w:rsidR="00360321" w:rsidRPr="00360321" w:rsidRDefault="00360321" w:rsidP="00360321">
            <w:pPr>
              <w:pStyle w:val="p2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le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pays d’origine,</w:t>
            </w:r>
          </w:p>
          <w:p w:rsidR="00360321" w:rsidRPr="00360321" w:rsidRDefault="00360321" w:rsidP="00360321">
            <w:pPr>
              <w:pStyle w:val="p2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le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poids ou le volume du produit,</w:t>
            </w:r>
          </w:p>
          <w:p w:rsidR="00360321" w:rsidRPr="00360321" w:rsidRDefault="00360321" w:rsidP="00360321">
            <w:pPr>
              <w:pStyle w:val="p2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la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date de durabilité minimale,</w:t>
            </w:r>
          </w:p>
          <w:p w:rsidR="00360321" w:rsidRPr="00360321" w:rsidRDefault="00360321" w:rsidP="00360321">
            <w:pPr>
              <w:pStyle w:val="p2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les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précautions d’emploi,</w:t>
            </w:r>
          </w:p>
          <w:p w:rsidR="00360321" w:rsidRPr="00360321" w:rsidRDefault="00360321" w:rsidP="00360321">
            <w:pPr>
              <w:pStyle w:val="p2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le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numéro de lot de fabrication et </w:t>
            </w:r>
          </w:p>
          <w:p w:rsidR="00360321" w:rsidRPr="00360321" w:rsidRDefault="00360321" w:rsidP="00360321">
            <w:pPr>
              <w:pStyle w:val="p2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la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liste complète des ingrédients, par ordre décroissant de concentration dans le produit</w:t>
            </w:r>
          </w:p>
        </w:tc>
      </w:tr>
      <w:tr w:rsidR="00801853" w:rsidRPr="00360321" w:rsidTr="00360321">
        <w:trPr>
          <w:trHeight w:val="57"/>
        </w:trPr>
        <w:tc>
          <w:tcPr>
            <w:tcW w:w="1185" w:type="dxa"/>
            <w:vMerge w:val="restart"/>
            <w:shd w:val="clear" w:color="auto" w:fill="D9E2F3" w:themeFill="accent1" w:themeFillTint="33"/>
          </w:tcPr>
          <w:p w:rsidR="00801853" w:rsidRPr="00360321" w:rsidRDefault="00801853" w:rsidP="00360321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En quoi consiste le dispositif de cosmétovigilance ?</w:t>
            </w:r>
          </w:p>
        </w:tc>
        <w:tc>
          <w:tcPr>
            <w:tcW w:w="9583" w:type="dxa"/>
            <w:gridSpan w:val="3"/>
          </w:tcPr>
          <w:p w:rsidR="00801853" w:rsidRPr="00360321" w:rsidRDefault="00801853" w:rsidP="00360321">
            <w:pPr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La cosmétovigilance repose sur les déclarations</w:t>
            </w:r>
          </w:p>
          <w:p w:rsidR="00801853" w:rsidRPr="00360321" w:rsidRDefault="00801853" w:rsidP="00360321">
            <w:p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Définition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 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: </w:t>
            </w:r>
            <w:r w:rsidRPr="00360321">
              <w:rPr>
                <w:rFonts w:ascii="Aptos" w:hAnsi="Aptos"/>
                <w:sz w:val="12"/>
                <w:szCs w:val="12"/>
              </w:rPr>
              <w:t>Cosmétovigilance : surveillance des effets indésirables liés à l’utilisation des produits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cosmétiques.</w:t>
            </w:r>
          </w:p>
          <w:p w:rsidR="00801853" w:rsidRPr="00360321" w:rsidRDefault="00801853" w:rsidP="00360321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Code de la santé publique français :</w:t>
            </w:r>
          </w:p>
          <w:p w:rsidR="00801853" w:rsidRPr="00360321" w:rsidRDefault="00801853" w:rsidP="00360321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les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professionnels de santé et les industriels ( Personnes responsables, distributeurs) doivent déclarer sans délai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à l’Anses les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EI </w:t>
            </w:r>
            <w:r w:rsidRPr="00360321">
              <w:rPr>
                <w:rFonts w:ascii="Aptos" w:hAnsi="Aptos"/>
                <w:sz w:val="12"/>
                <w:szCs w:val="12"/>
              </w:rPr>
              <w:t>graves liés aux produits cosmétiques (et mésusage).</w:t>
            </w:r>
          </w:p>
          <w:p w:rsidR="00801853" w:rsidRPr="00360321" w:rsidRDefault="00801853" w:rsidP="00360321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Les consommateurs et utilisateurs professionnels peuvent déclarer tout effet indésirable (et mésusage)</w:t>
            </w:r>
          </w:p>
          <w:p w:rsidR="00801853" w:rsidRPr="00360321" w:rsidRDefault="00801853" w:rsidP="00360321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Définition d’un effet indésirable grave (EIG)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un effet indésirable entraînant :</w:t>
            </w:r>
          </w:p>
          <w:p w:rsidR="00801853" w:rsidRPr="00360321" w:rsidRDefault="00801853" w:rsidP="00360321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une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incapacité fonctionnelle temporaire ou permanente</w:t>
            </w:r>
          </w:p>
          <w:p w:rsidR="00801853" w:rsidRPr="00360321" w:rsidRDefault="00801853" w:rsidP="00360321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un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handicap,</w:t>
            </w:r>
          </w:p>
          <w:p w:rsidR="00801853" w:rsidRPr="00360321" w:rsidRDefault="00801853" w:rsidP="00360321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une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hospitalisation,</w:t>
            </w:r>
          </w:p>
          <w:p w:rsidR="00801853" w:rsidRPr="00360321" w:rsidRDefault="00801853" w:rsidP="00360321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des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anomalies congénitales,</w:t>
            </w:r>
          </w:p>
          <w:p w:rsidR="00801853" w:rsidRPr="00360321" w:rsidRDefault="00801853" w:rsidP="00360321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un</w:t>
            </w:r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risque vital immédiat ou un décès.</w:t>
            </w:r>
          </w:p>
          <w:p w:rsidR="00801853" w:rsidRPr="00360321" w:rsidRDefault="00801853" w:rsidP="00360321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:rsidR="00801853" w:rsidRPr="00360321" w:rsidRDefault="00801853" w:rsidP="00360321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Incapacité fonctionnelle temporaire ou permanente</w:t>
            </w:r>
          </w:p>
          <w:p w:rsidR="00801853" w:rsidRPr="00360321" w:rsidRDefault="00801853" w:rsidP="00360321">
            <w:p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 xml:space="preserve">Si cet effet indésirable a entrainé des conséquences sur l'activité exercée par </w:t>
            </w:r>
            <w:proofErr w:type="gramStart"/>
            <w:r w:rsidRPr="00360321">
              <w:rPr>
                <w:rFonts w:ascii="Aptos" w:hAnsi="Aptos"/>
                <w:sz w:val="12"/>
                <w:szCs w:val="12"/>
              </w:rPr>
              <w:t>l’</w:t>
            </w:r>
            <w:proofErr w:type="spellStart"/>
            <w:r w:rsidRPr="00360321">
              <w:rPr>
                <w:rFonts w:ascii="Aptos" w:hAnsi="Aptos"/>
                <w:sz w:val="12"/>
                <w:szCs w:val="12"/>
              </w:rPr>
              <w:t>usager,ou</w:t>
            </w:r>
            <w:proofErr w:type="spellEnd"/>
            <w:proofErr w:type="gramEnd"/>
            <w:r w:rsidRPr="00360321">
              <w:rPr>
                <w:rFonts w:ascii="Aptos" w:hAnsi="Aptos"/>
                <w:sz w:val="12"/>
                <w:szCs w:val="12"/>
              </w:rPr>
              <w:t xml:space="preserve"> la vie quotidienne de l’usager :</w:t>
            </w:r>
          </w:p>
          <w:p w:rsidR="00801853" w:rsidRPr="00360321" w:rsidRDefault="00801853" w:rsidP="00360321">
            <w:pPr>
              <w:pStyle w:val="Paragraphedeliste"/>
              <w:numPr>
                <w:ilvl w:val="0"/>
                <w:numId w:val="1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Une interruption ou une limitation des activités professionnelles, scolaires ou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q</w:t>
            </w:r>
            <w:r w:rsidRPr="00360321">
              <w:rPr>
                <w:rFonts w:ascii="Aptos" w:hAnsi="Aptos"/>
                <w:sz w:val="12"/>
                <w:szCs w:val="12"/>
              </w:rPr>
              <w:t>uotidiennes</w:t>
            </w:r>
          </w:p>
          <w:p w:rsidR="00801853" w:rsidRPr="00360321" w:rsidRDefault="00801853" w:rsidP="00360321">
            <w:pPr>
              <w:pStyle w:val="Paragraphedeliste"/>
              <w:numPr>
                <w:ilvl w:val="0"/>
                <w:numId w:val="1"/>
              </w:numPr>
              <w:rPr>
                <w:rFonts w:ascii="Aptos" w:hAnsi="Aptos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Un arrêt maladie</w:t>
            </w:r>
          </w:p>
          <w:p w:rsidR="00801853" w:rsidRPr="00360321" w:rsidRDefault="00801853" w:rsidP="00360321">
            <w:pPr>
              <w:pStyle w:val="Paragraphedeliste"/>
              <w:rPr>
                <w:rFonts w:ascii="Aptos" w:hAnsi="Aptos"/>
                <w:sz w:val="12"/>
                <w:szCs w:val="12"/>
              </w:rPr>
            </w:pPr>
          </w:p>
          <w:p w:rsidR="00801853" w:rsidRPr="00360321" w:rsidRDefault="00801853" w:rsidP="00360321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En quoi consiste le dispositif de cosmétovigilance à l’Anses</w:t>
            </w:r>
          </w:p>
          <w:p w:rsidR="00801853" w:rsidRPr="00360321" w:rsidRDefault="00801853" w:rsidP="00360321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</w:pPr>
            <w:proofErr w:type="gramStart"/>
            <w:r w:rsidRPr="00360321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L’Anses</w:t>
            </w:r>
            <w:proofErr w:type="gramEnd"/>
            <w:r w:rsidRPr="00360321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 assure :</w:t>
            </w:r>
            <w:r w:rsidRPr="00360321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le recueil,</w:t>
            </w:r>
            <w:r w:rsidRPr="00360321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 l </w:t>
            </w:r>
            <w:r w:rsidRPr="00360321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’enregistrement,</w:t>
            </w:r>
            <w:r w:rsidRPr="00360321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l’évaluation et l’analyse de ces signalements</w:t>
            </w:r>
          </w:p>
          <w:p w:rsidR="00801853" w:rsidRPr="00360321" w:rsidRDefault="00801853" w:rsidP="00360321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 xml:space="preserve"> Information des autorités compétentes pour prendre les mesures nécessaires </w:t>
            </w:r>
          </w:p>
          <w:p w:rsidR="00801853" w:rsidRPr="00360321" w:rsidRDefault="00801853" w:rsidP="00360321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</w:pPr>
            <w:r w:rsidRPr="00360321">
              <w:rPr>
                <w:rFonts w:ascii="Aptos" w:hAnsi="Aptos"/>
                <w:sz w:val="12"/>
                <w:szCs w:val="12"/>
              </w:rPr>
              <w:t>Information des autres membres de l’UE des EIG via le portail européen ICSMS et participation aux</w:t>
            </w:r>
            <w:r w:rsidRPr="00360321">
              <w:rPr>
                <w:rFonts w:ascii="Aptos" w:hAnsi="Aptos"/>
                <w:sz w:val="12"/>
                <w:szCs w:val="12"/>
              </w:rPr>
              <w:t xml:space="preserve"> </w:t>
            </w:r>
            <w:r w:rsidRPr="00360321">
              <w:rPr>
                <w:rFonts w:ascii="Aptos" w:hAnsi="Aptos"/>
                <w:sz w:val="12"/>
                <w:szCs w:val="12"/>
              </w:rPr>
              <w:t>instances européennes.</w:t>
            </w:r>
          </w:p>
          <w:p w:rsidR="00801853" w:rsidRPr="00360321" w:rsidRDefault="00801853" w:rsidP="00360321">
            <w:pPr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</w:pPr>
          </w:p>
          <w:p w:rsidR="00801853" w:rsidRPr="00360321" w:rsidRDefault="00801853" w:rsidP="00360321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1-</w:t>
            </w:r>
            <w:proofErr w:type="gramStart"/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Recueil:</w:t>
            </w:r>
            <w:proofErr w:type="gramEnd"/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 xml:space="preserve"> Circuit de la </w:t>
            </w:r>
            <w:proofErr w:type="spellStart"/>
            <w:r w:rsidRPr="00360321">
              <w:rPr>
                <w:rFonts w:ascii="Aptos" w:hAnsi="Aptos"/>
                <w:b/>
                <w:bCs/>
                <w:sz w:val="12"/>
                <w:szCs w:val="12"/>
              </w:rPr>
              <w:t>cosmetovigilance</w:t>
            </w:r>
            <w:proofErr w:type="spellEnd"/>
          </w:p>
          <w:p w:rsidR="00801853" w:rsidRDefault="00801853" w:rsidP="00360321">
            <w:pPr>
              <w:pStyle w:val="p1"/>
            </w:pPr>
            <w:r w:rsidRPr="00360321">
              <w:rPr>
                <w:rFonts w:ascii="Aptos" w:hAnsi="Aptos"/>
                <w:sz w:val="12"/>
                <w:szCs w:val="12"/>
              </w:rPr>
              <w:drawing>
                <wp:inline distT="0" distB="0" distL="0" distR="0" wp14:anchorId="0EB4DCC6" wp14:editId="4B865106">
                  <wp:extent cx="2329372" cy="1152000"/>
                  <wp:effectExtent l="0" t="0" r="0" b="3810"/>
                  <wp:docPr id="1895933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9331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513" cy="116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801853" w:rsidRDefault="00801853" w:rsidP="00360321">
            <w:pPr>
              <w:pStyle w:val="p1"/>
              <w:rPr>
                <w:sz w:val="12"/>
                <w:szCs w:val="12"/>
              </w:rPr>
            </w:pPr>
            <w:r w:rsidRPr="00360321">
              <w:rPr>
                <w:sz w:val="12"/>
                <w:szCs w:val="12"/>
              </w:rPr>
              <w:lastRenderedPageBreak/>
              <w:t>Le portail de signalement des effets sanitaires</w:t>
            </w:r>
            <w:r>
              <w:rPr>
                <w:sz w:val="12"/>
                <w:szCs w:val="12"/>
              </w:rPr>
              <w:t xml:space="preserve"> </w:t>
            </w:r>
            <w:r w:rsidRPr="00360321">
              <w:rPr>
                <w:sz w:val="12"/>
                <w:szCs w:val="12"/>
              </w:rPr>
              <w:t>indésirables</w:t>
            </w:r>
            <w:r>
              <w:rPr>
                <w:sz w:val="12"/>
                <w:szCs w:val="12"/>
              </w:rPr>
              <w:t xml:space="preserve"> / </w:t>
            </w:r>
            <w:r w:rsidRPr="00360321">
              <w:rPr>
                <w:sz w:val="12"/>
                <w:szCs w:val="12"/>
              </w:rPr>
              <w:t>Ouvert en mars 2017</w:t>
            </w:r>
          </w:p>
          <w:p w:rsidR="00801853" w:rsidRPr="00360321" w:rsidRDefault="00801853" w:rsidP="00360321">
            <w:pPr>
              <w:pStyle w:val="p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Devenir des signalements : saisie directement dans la base de vigilance (nutri/ vétérinaire…) / saisie manuelle sans la base (</w:t>
            </w:r>
            <w:proofErr w:type="spellStart"/>
            <w:r>
              <w:rPr>
                <w:sz w:val="12"/>
                <w:szCs w:val="12"/>
              </w:rPr>
              <w:t>cosméto</w:t>
            </w:r>
            <w:proofErr w:type="spellEnd"/>
            <w:r>
              <w:rPr>
                <w:sz w:val="12"/>
                <w:szCs w:val="12"/>
              </w:rPr>
              <w:t>/ tatoue…)</w:t>
            </w:r>
          </w:p>
          <w:p w:rsid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:rsidR="00801853" w:rsidRP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 xml:space="preserve">2-Analyse d’un signalement </w:t>
            </w:r>
          </w:p>
          <w:p w:rsidR="00801853" w:rsidRPr="00801853" w:rsidRDefault="00801853" w:rsidP="00801853">
            <w:pPr>
              <w:jc w:val="center"/>
              <w:rPr>
                <w:rFonts w:ascii="Aptos" w:hAnsi="Aptos"/>
                <w:b/>
                <w:bCs/>
                <w:color w:val="4472C4" w:themeColor="accent1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color w:val="4472C4" w:themeColor="accent1"/>
                <w:sz w:val="12"/>
                <w:szCs w:val="12"/>
              </w:rPr>
              <w:t>En cas d’effets indésirables graves (EIG)</w:t>
            </w:r>
          </w:p>
          <w:p w:rsidR="00801853" w:rsidRDefault="00801853" w:rsidP="00801853">
            <w:pPr>
              <w:pStyle w:val="Paragraphedeliste"/>
              <w:numPr>
                <w:ilvl w:val="0"/>
                <w:numId w:val="5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 xml:space="preserve">Recherche du produit sur portail national </w:t>
            </w: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CPNP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5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 xml:space="preserve">Vérification de la </w:t>
            </w: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 xml:space="preserve">composition 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(site </w:t>
            </w:r>
            <w:proofErr w:type="spellStart"/>
            <w:r w:rsidRPr="00801853">
              <w:rPr>
                <w:rFonts w:ascii="Aptos" w:hAnsi="Aptos"/>
                <w:sz w:val="12"/>
                <w:szCs w:val="12"/>
              </w:rPr>
              <w:t>Cosing</w:t>
            </w:r>
            <w:proofErr w:type="spellEnd"/>
            <w:r w:rsidRPr="00801853">
              <w:rPr>
                <w:rFonts w:ascii="Aptos" w:hAnsi="Aptos"/>
                <w:sz w:val="12"/>
                <w:szCs w:val="12"/>
              </w:rPr>
              <w:t>)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5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Recherche d’autres cas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dans la base de cosmétovigilance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5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 xml:space="preserve">Demande de </w:t>
            </w: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données complémentaires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à la personne responsable si récurrences : tous les 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 xml:space="preserve">EI 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reçus</w:t>
            </w:r>
            <w:proofErr w:type="gramEnd"/>
            <w:r w:rsidRPr="00801853">
              <w:rPr>
                <w:rFonts w:ascii="Aptos" w:hAnsi="Aptos"/>
                <w:sz w:val="12"/>
                <w:szCs w:val="12"/>
              </w:rPr>
              <w:t>, la composition exacte, les volumes de vente, le dossier de sécurité….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5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Recherche de cas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dans les données des Centres antipoison (CAP) si récurrences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5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Détermination de l’</w:t>
            </w: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imputabilité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6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 xml:space="preserve"> </w:t>
            </w:r>
            <w:r w:rsidRPr="00801853">
              <w:rPr>
                <w:rFonts w:ascii="Aptos" w:hAnsi="Aptos"/>
                <w:color w:val="FF0000"/>
                <w:sz w:val="12"/>
                <w:szCs w:val="12"/>
              </w:rPr>
              <w:t>Si non conformité : transmission à la DGCCRF pour prise de mesures</w:t>
            </w:r>
          </w:p>
          <w:p w:rsidR="00801853" w:rsidRDefault="00801853" w:rsidP="00801853">
            <w:pPr>
              <w:pStyle w:val="Paragraphedeliste"/>
              <w:numPr>
                <w:ilvl w:val="0"/>
                <w:numId w:val="5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 xml:space="preserve"> EIG sont postés sur le portail européen ICSMS (formulaire SUE) par l’Anses, après évaluation</w:t>
            </w:r>
          </w:p>
          <w:p w:rsidR="00801853" w:rsidRPr="00801853" w:rsidRDefault="00801853" w:rsidP="00801853">
            <w:pPr>
              <w:ind w:left="360"/>
              <w:rPr>
                <w:rFonts w:ascii="Aptos" w:hAnsi="Aptos"/>
                <w:sz w:val="12"/>
                <w:szCs w:val="12"/>
              </w:rPr>
            </w:pPr>
          </w:p>
          <w:p w:rsidR="00801853" w:rsidRPr="00801853" w:rsidRDefault="00801853" w:rsidP="00801853">
            <w:pPr>
              <w:jc w:val="center"/>
              <w:rPr>
                <w:rFonts w:ascii="Aptos" w:hAnsi="Aptos"/>
                <w:b/>
                <w:bCs/>
                <w:color w:val="4472C4" w:themeColor="accent1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color w:val="4472C4" w:themeColor="accent1"/>
                <w:sz w:val="12"/>
                <w:szCs w:val="12"/>
              </w:rPr>
              <w:t>En cas d’EI non graves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7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Recherche d’autres cas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dans la base de cosmétovigilance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7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 xml:space="preserve">Demande de </w:t>
            </w: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données complémentaires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à la personne responsable si récurrences : tous les </w:t>
            </w:r>
            <w:r>
              <w:rPr>
                <w:rFonts w:ascii="Aptos" w:hAnsi="Aptos"/>
                <w:sz w:val="12"/>
                <w:szCs w:val="12"/>
              </w:rPr>
              <w:t xml:space="preserve">EI </w:t>
            </w:r>
            <w:r w:rsidRPr="00801853">
              <w:rPr>
                <w:rFonts w:ascii="Aptos" w:hAnsi="Aptos"/>
                <w:sz w:val="12"/>
                <w:szCs w:val="12"/>
              </w:rPr>
              <w:t>reçus, la composition exacte, les volumes de vente, le dossier de sécurité…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7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Recherche de cas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dans les données des Centres antipoison si récurrences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6"/>
              </w:numPr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801853">
              <w:rPr>
                <w:rFonts w:ascii="Aptos" w:hAnsi="Aptos"/>
                <w:color w:val="FF0000"/>
                <w:sz w:val="12"/>
                <w:szCs w:val="12"/>
              </w:rPr>
              <w:t>Si non conformité : transmission à la DGCCRF pour prise de mesures</w:t>
            </w:r>
          </w:p>
        </w:tc>
      </w:tr>
      <w:tr w:rsidR="00801853" w:rsidRPr="00360321" w:rsidTr="00360321">
        <w:trPr>
          <w:trHeight w:val="57"/>
        </w:trPr>
        <w:tc>
          <w:tcPr>
            <w:tcW w:w="1185" w:type="dxa"/>
            <w:vMerge/>
            <w:shd w:val="clear" w:color="auto" w:fill="D9E2F3" w:themeFill="accent1" w:themeFillTint="33"/>
          </w:tcPr>
          <w:p w:rsidR="00801853" w:rsidRPr="00360321" w:rsidRDefault="00801853" w:rsidP="00360321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  <w:tc>
          <w:tcPr>
            <w:tcW w:w="9583" w:type="dxa"/>
            <w:gridSpan w:val="3"/>
          </w:tcPr>
          <w:p w:rsidR="00801853" w:rsidRPr="00801853" w:rsidRDefault="00801853" w:rsidP="00801853">
            <w:pP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Transmission fiches de signalements</w:t>
            </w:r>
          </w:p>
          <w:p w:rsidR="00801853" w:rsidRDefault="00801853" w:rsidP="00801853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 xml:space="preserve">Dans le cas où le distributeur ou </w:t>
            </w:r>
            <w:proofErr w:type="gramStart"/>
            <w:r w:rsidRPr="00801853">
              <w:rPr>
                <w:rFonts w:ascii="Aptos" w:hAnsi="Aptos"/>
                <w:sz w:val="12"/>
                <w:szCs w:val="12"/>
              </w:rPr>
              <w:t>la PR</w:t>
            </w:r>
            <w:proofErr w:type="gramEnd"/>
            <w:r w:rsidRPr="00801853">
              <w:rPr>
                <w:rFonts w:ascii="Aptos" w:hAnsi="Aptos"/>
                <w:sz w:val="12"/>
                <w:szCs w:val="12"/>
              </w:rPr>
              <w:t xml:space="preserve"> est le déclarant, les SUE B et A =&gt; à la PR.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Dans le cas où un professionnel de santé ou un consommateur est le déclarant, un SUE C =&gt; à la PR.</w:t>
            </w:r>
          </w:p>
          <w:p w:rsidR="00801853" w:rsidRP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Complément d’information : particularités des cas portail</w:t>
            </w:r>
          </w:p>
          <w:p w:rsidR="00801853" w:rsidRDefault="00801853" w:rsidP="00801853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Cas transmis par les professionnels de santé, les consommateurs et utilisateurs professionnels :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4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Possibilité de les contacter pour avoir des informations supplémentaires (CR médical, photos des produits ou lésions, …)</w:t>
            </w:r>
          </w:p>
          <w:p w:rsidR="00801853" w:rsidRP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Cas transmis par les industriels :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801853">
              <w:rPr>
                <w:rFonts w:ascii="Aptos" w:hAnsi="Aptos"/>
                <w:sz w:val="12"/>
                <w:szCs w:val="12"/>
              </w:rPr>
              <w:t>Toutes les informations que nous pouvons avoir sont celles notifiées dans la fiche de signalement SUE A.</w:t>
            </w:r>
          </w:p>
          <w:p w:rsid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</w:p>
          <w:p w:rsidR="00801853" w:rsidRP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Imputabilité, transmission à l’Europe</w:t>
            </w:r>
          </w:p>
          <w:p w:rsidR="00801853" w:rsidRDefault="00801853" w:rsidP="00801853">
            <w:pPr>
              <w:pStyle w:val="Paragraphedeliste"/>
              <w:numPr>
                <w:ilvl w:val="0"/>
                <w:numId w:val="8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Évaluation de l’imputabilité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suivant la méthode décrite dans les lignes directrices pour la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01853">
              <w:rPr>
                <w:rFonts w:ascii="Aptos" w:hAnsi="Aptos"/>
                <w:sz w:val="12"/>
                <w:szCs w:val="12"/>
              </w:rPr>
              <w:t>notification des effets indésirables graves et qui ont été publiées par la Commission européenne</w:t>
            </w:r>
            <w:r>
              <w:rPr>
                <w:rFonts w:ascii="Aptos" w:hAnsi="Aptos"/>
                <w:sz w:val="12"/>
                <w:szCs w:val="12"/>
              </w:rPr>
              <w:t xml:space="preserve"> (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SUE </w:t>
            </w:r>
            <w:proofErr w:type="spellStart"/>
            <w:r w:rsidRPr="00801853">
              <w:rPr>
                <w:rFonts w:ascii="Aptos" w:hAnsi="Aptos"/>
                <w:sz w:val="12"/>
                <w:szCs w:val="12"/>
              </w:rPr>
              <w:t>Reporting</w:t>
            </w:r>
            <w:proofErr w:type="spellEnd"/>
            <w:r w:rsidRPr="00801853">
              <w:rPr>
                <w:rFonts w:ascii="Aptos" w:hAnsi="Aptos"/>
                <w:sz w:val="12"/>
                <w:szCs w:val="12"/>
              </w:rPr>
              <w:t xml:space="preserve"> guidelines, version 2013).</w:t>
            </w:r>
          </w:p>
          <w:p w:rsidR="00801853" w:rsidRDefault="00801853" w:rsidP="00801853">
            <w:pPr>
              <w:pStyle w:val="Paragraphedeliste"/>
              <w:numPr>
                <w:ilvl w:val="0"/>
                <w:numId w:val="8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Transmission au portail Européen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ICSMS des signalements de cas graves</w:t>
            </w:r>
            <w:r>
              <w:rPr>
                <w:rFonts w:ascii="Aptos" w:hAnsi="Aptos"/>
                <w:sz w:val="12"/>
                <w:szCs w:val="12"/>
              </w:rPr>
              <w:t xml:space="preserve"> ; </w:t>
            </w:r>
            <w:r w:rsidRPr="00801853">
              <w:rPr>
                <w:rFonts w:ascii="Aptos" w:hAnsi="Aptos"/>
                <w:sz w:val="12"/>
                <w:szCs w:val="12"/>
              </w:rPr>
              <w:t>Sauf si mésusage ou imputabilité exclue</w:t>
            </w:r>
          </w:p>
          <w:p w:rsidR="00852BE4" w:rsidRPr="00852BE4" w:rsidRDefault="00852BE4" w:rsidP="00852BE4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852BE4">
              <w:rPr>
                <w:rFonts w:ascii="Aptos" w:hAnsi="Aptos"/>
                <w:sz w:val="12"/>
                <w:szCs w:val="12"/>
              </w:rPr>
              <w:drawing>
                <wp:inline distT="0" distB="0" distL="0" distR="0" wp14:anchorId="7CD09F49" wp14:editId="4B9C4039">
                  <wp:extent cx="2441110" cy="1021833"/>
                  <wp:effectExtent l="0" t="0" r="0" b="0"/>
                  <wp:docPr id="19528321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83216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606" cy="1026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853" w:rsidRPr="00360321" w:rsidTr="00841933">
        <w:tc>
          <w:tcPr>
            <w:tcW w:w="1185" w:type="dxa"/>
            <w:vMerge w:val="restart"/>
            <w:shd w:val="clear" w:color="auto" w:fill="D9E2F3" w:themeFill="accent1" w:themeFillTint="33"/>
          </w:tcPr>
          <w:p w:rsidR="00801853" w:rsidRPr="00801853" w:rsidRDefault="00801853" w:rsidP="00801853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Analyse approfondie</w:t>
            </w:r>
          </w:p>
          <w:p w:rsidR="00801853" w:rsidRPr="00360321" w:rsidRDefault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  <w:tc>
          <w:tcPr>
            <w:tcW w:w="9583" w:type="dxa"/>
            <w:gridSpan w:val="3"/>
          </w:tcPr>
          <w:p w:rsidR="00801853" w:rsidRP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 xml:space="preserve">Approfondissement de </w:t>
            </w:r>
            <w:r w:rsidR="00852BE4" w:rsidRPr="00801853">
              <w:rPr>
                <w:rFonts w:ascii="Aptos" w:hAnsi="Aptos"/>
                <w:b/>
                <w:bCs/>
                <w:sz w:val="12"/>
                <w:szCs w:val="12"/>
              </w:rPr>
              <w:t>l’analyse :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si au moins 3 récurrences d’EIG avec un même produit (comme </w:t>
            </w:r>
            <w:proofErr w:type="gramStart"/>
            <w:r w:rsidRPr="00801853">
              <w:rPr>
                <w:rFonts w:ascii="Aptos" w:hAnsi="Aptos"/>
                <w:sz w:val="12"/>
                <w:szCs w:val="12"/>
              </w:rPr>
              <w:t>l’ ANSM</w:t>
            </w:r>
            <w:proofErr w:type="gramEnd"/>
            <w:r w:rsidRPr="00801853">
              <w:rPr>
                <w:rFonts w:ascii="Aptos" w:hAnsi="Aptos"/>
                <w:sz w:val="12"/>
                <w:szCs w:val="12"/>
              </w:rPr>
              <w:t xml:space="preserve"> avant),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01853">
              <w:rPr>
                <w:rFonts w:ascii="Aptos" w:hAnsi="Aptos"/>
                <w:sz w:val="12"/>
                <w:szCs w:val="12"/>
              </w:rPr>
              <w:t>demande d’informations à la personne responsable (en conformité avec le Règlement cosmétique Article 5 et 6).</w:t>
            </w:r>
          </w:p>
          <w:p w:rsidR="00801853" w:rsidRP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Demande à la personne responsable (PR) :</w:t>
            </w:r>
          </w:p>
          <w:p w:rsidR="00801853" w:rsidRP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•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01853">
              <w:rPr>
                <w:rFonts w:ascii="Aptos" w:hAnsi="Aptos"/>
                <w:sz w:val="12"/>
                <w:szCs w:val="12"/>
              </w:rPr>
              <w:t>La composition qualitative et quantitative du produit suspecté</w:t>
            </w:r>
          </w:p>
          <w:p w:rsidR="00801853" w:rsidRP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•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01853">
              <w:rPr>
                <w:rFonts w:ascii="Aptos" w:hAnsi="Aptos"/>
                <w:sz w:val="12"/>
                <w:szCs w:val="12"/>
              </w:rPr>
              <w:t>Les chiffres de vente</w:t>
            </w:r>
          </w:p>
          <w:p w:rsidR="00801853" w:rsidRP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•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01853">
              <w:rPr>
                <w:rFonts w:ascii="Aptos" w:hAnsi="Aptos"/>
                <w:sz w:val="12"/>
                <w:szCs w:val="12"/>
              </w:rPr>
              <w:t>Les incidents de cosmétovigilance reçus</w:t>
            </w:r>
          </w:p>
          <w:p w:rsidR="00801853" w:rsidRPr="00360321" w:rsidRDefault="00801853">
            <w:p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•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01853">
              <w:rPr>
                <w:rFonts w:ascii="Aptos" w:hAnsi="Aptos"/>
                <w:sz w:val="12"/>
                <w:szCs w:val="12"/>
              </w:rPr>
              <w:t>Éléments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relatifs à l’évaluation de la sécurité du produit.</w:t>
            </w:r>
          </w:p>
        </w:tc>
      </w:tr>
      <w:tr w:rsidR="00801853" w:rsidRPr="00360321" w:rsidTr="00360321">
        <w:tc>
          <w:tcPr>
            <w:tcW w:w="1185" w:type="dxa"/>
            <w:vMerge/>
            <w:shd w:val="clear" w:color="auto" w:fill="D9E2F3" w:themeFill="accent1" w:themeFillTint="33"/>
          </w:tcPr>
          <w:p w:rsidR="00801853" w:rsidRPr="00360321" w:rsidRDefault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  <w:tc>
          <w:tcPr>
            <w:tcW w:w="6107" w:type="dxa"/>
            <w:gridSpan w:val="2"/>
          </w:tcPr>
          <w:p w:rsidR="00801853" w:rsidRP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Présentation des cas au GT vigilances des produits chimiques</w:t>
            </w:r>
          </w:p>
          <w:p w:rsidR="00801853" w:rsidRP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Constitué de professionnels de santé : médecins, dermato-allergologues, pharmaciens, de toxicologues</w:t>
            </w:r>
          </w:p>
          <w:p w:rsidR="00801853" w:rsidRDefault="00801853" w:rsidP="00801853">
            <w:pPr>
              <w:pStyle w:val="Paragraphedeliste"/>
              <w:numPr>
                <w:ilvl w:val="0"/>
                <w:numId w:val="9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Appel à candidature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9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Obligation de déclaration publique d’intérêts (DPI)</w:t>
            </w:r>
          </w:p>
          <w:p w:rsidR="00801853" w:rsidRP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Les possibles liens d’intérêt sont étudiés pour chaque cas présenté et chaque expert en séance.</w:t>
            </w:r>
          </w:p>
          <w:p w:rsidR="00801853" w:rsidRDefault="00801853" w:rsidP="00801853">
            <w:pPr>
              <w:pStyle w:val="Paragraphedeliste"/>
              <w:numPr>
                <w:ilvl w:val="0"/>
                <w:numId w:val="9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Relecture des cas d’intérêt du SICAP</w:t>
            </w:r>
          </w:p>
          <w:p w:rsidR="00801853" w:rsidRPr="00801853" w:rsidRDefault="00801853" w:rsidP="00801853">
            <w:pPr>
              <w:pStyle w:val="Paragraphedeliste"/>
              <w:numPr>
                <w:ilvl w:val="0"/>
                <w:numId w:val="9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Analyse de la littérature scientifique sur les substances suspectées</w:t>
            </w:r>
          </w:p>
          <w:p w:rsidR="00801853" w:rsidRDefault="00801853" w:rsidP="00801853">
            <w:pPr>
              <w:pStyle w:val="Paragraphedeliste"/>
              <w:numPr>
                <w:ilvl w:val="0"/>
                <w:numId w:val="9"/>
              </w:num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Analyse du rapport sur la sécurité du produit cosmétique fourni par le fabricant.</w:t>
            </w:r>
          </w:p>
          <w:p w:rsidR="00801853" w:rsidRP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:rsidR="00801853" w:rsidRP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Déclarations : volumes et origine des signalements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Pr="00801853">
              <w:rPr>
                <w:rFonts w:ascii="Aptos" w:hAnsi="Aptos"/>
                <w:sz w:val="12"/>
                <w:szCs w:val="12"/>
              </w:rPr>
              <w:t>Du 1er janvier 2024 au 31 décembre 2024, 378</w:t>
            </w:r>
          </w:p>
          <w:p w:rsidR="00801853" w:rsidRPr="00801853" w:rsidRDefault="00852BE4" w:rsidP="00801853">
            <w:p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Signalements</w:t>
            </w:r>
          </w:p>
          <w:p w:rsidR="00801853" w:rsidRP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sz w:val="12"/>
                <w:szCs w:val="12"/>
              </w:rPr>
              <w:t>Il y avait 129 cas graves soit 34%.</w:t>
            </w:r>
          </w:p>
          <w:p w:rsidR="00801853" w:rsidRP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D</w:t>
            </w:r>
            <w:r w:rsidRPr="00801853">
              <w:rPr>
                <w:rFonts w:ascii="Aptos" w:hAnsi="Aptos"/>
                <w:sz w:val="12"/>
                <w:szCs w:val="12"/>
              </w:rPr>
              <w:t>éclarations venant des usagers : 193 (dont 2 des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01853">
              <w:rPr>
                <w:rFonts w:ascii="Aptos" w:hAnsi="Aptos"/>
                <w:sz w:val="12"/>
                <w:szCs w:val="12"/>
              </w:rPr>
              <w:t>professionnels de la beauté) soit 51% de tous les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01853">
              <w:rPr>
                <w:rFonts w:ascii="Aptos" w:hAnsi="Aptos"/>
                <w:sz w:val="12"/>
                <w:szCs w:val="12"/>
              </w:rPr>
              <w:t>signalements</w:t>
            </w:r>
          </w:p>
        </w:tc>
        <w:tc>
          <w:tcPr>
            <w:tcW w:w="3476" w:type="dxa"/>
          </w:tcPr>
          <w:p w:rsidR="00801853" w:rsidRP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Effets Indésirables des Cosmétiques</w:t>
            </w:r>
          </w:p>
          <w:p w:rsid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:rsidR="00801853" w:rsidRP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Types d’effets indésirables : irritations</w:t>
            </w:r>
            <w:r w:rsidRPr="00801853">
              <w:rPr>
                <w:rFonts w:ascii="Aptos" w:hAnsi="Aptos"/>
                <w:sz w:val="12"/>
                <w:szCs w:val="12"/>
              </w:rPr>
              <w:t>, allergies (cutanées et asthme</w:t>
            </w:r>
            <w:proofErr w:type="gramStart"/>
            <w:r w:rsidRPr="00801853">
              <w:rPr>
                <w:rFonts w:ascii="Aptos" w:hAnsi="Aptos"/>
                <w:sz w:val="12"/>
                <w:szCs w:val="12"/>
              </w:rPr>
              <w:t>) ,</w:t>
            </w:r>
            <w:proofErr w:type="gramEnd"/>
            <w:r w:rsidRPr="00801853">
              <w:rPr>
                <w:rFonts w:ascii="Aptos" w:hAnsi="Aptos"/>
                <w:sz w:val="12"/>
                <w:szCs w:val="12"/>
              </w:rPr>
              <w:t xml:space="preserve"> photosensibilité, eczéma,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01853">
              <w:rPr>
                <w:rFonts w:ascii="Aptos" w:hAnsi="Aptos"/>
                <w:sz w:val="12"/>
                <w:szCs w:val="12"/>
              </w:rPr>
              <w:t>kystes aux aisselles, etc.</w:t>
            </w:r>
          </w:p>
          <w:p w:rsid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:rsidR="00801853" w:rsidRP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Types d’effets indésirables non évocateurs de l’utilisation des produits cosmétiques :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insuffisance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01853">
              <w:rPr>
                <w:rFonts w:ascii="Aptos" w:hAnsi="Aptos"/>
                <w:sz w:val="12"/>
                <w:szCs w:val="12"/>
              </w:rPr>
              <w:t>rénale aigue</w:t>
            </w:r>
          </w:p>
          <w:p w:rsidR="00801853" w:rsidRDefault="00801853" w:rsidP="0080185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:rsid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  <w:r w:rsidRPr="00801853">
              <w:rPr>
                <w:rFonts w:ascii="Aptos" w:hAnsi="Aptos"/>
                <w:b/>
                <w:bCs/>
                <w:sz w:val="12"/>
                <w:szCs w:val="12"/>
              </w:rPr>
              <w:t>Facteurs de risque</w:t>
            </w:r>
            <w:r w:rsidRPr="00801853">
              <w:rPr>
                <w:rFonts w:ascii="Aptos" w:hAnsi="Aptos"/>
                <w:sz w:val="12"/>
                <w:szCs w:val="12"/>
              </w:rPr>
              <w:t xml:space="preserve"> : composition, mode d’utilisation, population cible</w:t>
            </w:r>
          </w:p>
          <w:p w:rsidR="00801853" w:rsidRPr="00801853" w:rsidRDefault="00801853" w:rsidP="00801853">
            <w:pPr>
              <w:rPr>
                <w:rFonts w:ascii="Aptos" w:hAnsi="Aptos"/>
                <w:sz w:val="12"/>
                <w:szCs w:val="12"/>
              </w:rPr>
            </w:pPr>
          </w:p>
          <w:p w:rsidR="00801853" w:rsidRPr="00360321" w:rsidRDefault="00801853" w:rsidP="00801853">
            <w:pPr>
              <w:rPr>
                <w:rFonts w:ascii="Aptos" w:hAnsi="Aptos"/>
                <w:sz w:val="12"/>
                <w:szCs w:val="12"/>
              </w:rPr>
            </w:pPr>
          </w:p>
        </w:tc>
      </w:tr>
      <w:tr w:rsidR="00852BE4" w:rsidRPr="00360321" w:rsidTr="0068777B">
        <w:tc>
          <w:tcPr>
            <w:tcW w:w="1185" w:type="dxa"/>
            <w:shd w:val="clear" w:color="auto" w:fill="D9E2F3" w:themeFill="accent1" w:themeFillTint="33"/>
          </w:tcPr>
          <w:p w:rsidR="00852BE4" w:rsidRPr="00852BE4" w:rsidRDefault="00852BE4" w:rsidP="00852BE4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852BE4">
              <w:rPr>
                <w:rFonts w:ascii="Aptos" w:hAnsi="Aptos"/>
                <w:b/>
                <w:bCs/>
                <w:sz w:val="12"/>
                <w:szCs w:val="12"/>
              </w:rPr>
              <w:t>Perspectives</w:t>
            </w:r>
          </w:p>
          <w:p w:rsidR="00852BE4" w:rsidRPr="00360321" w:rsidRDefault="00852BE4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  <w:tc>
          <w:tcPr>
            <w:tcW w:w="9583" w:type="dxa"/>
            <w:gridSpan w:val="3"/>
          </w:tcPr>
          <w:p w:rsidR="00852BE4" w:rsidRPr="00852BE4" w:rsidRDefault="00852BE4" w:rsidP="00852BE4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852BE4">
              <w:rPr>
                <w:rFonts w:ascii="Aptos" w:hAnsi="Aptos"/>
                <w:b/>
                <w:bCs/>
                <w:sz w:val="12"/>
                <w:szCs w:val="12"/>
              </w:rPr>
              <w:t>Publication d’un rapport annuel de cosmétovigilance</w:t>
            </w:r>
          </w:p>
          <w:p w:rsidR="00852BE4" w:rsidRPr="00852BE4" w:rsidRDefault="00852BE4" w:rsidP="00852BE4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852BE4">
              <w:rPr>
                <w:rFonts w:ascii="Aptos" w:hAnsi="Aptos"/>
                <w:b/>
                <w:bCs/>
                <w:sz w:val="12"/>
                <w:szCs w:val="12"/>
              </w:rPr>
              <w:t>Construction base de données :</w:t>
            </w:r>
          </w:p>
          <w:p w:rsidR="00852BE4" w:rsidRPr="00852BE4" w:rsidRDefault="00852BE4" w:rsidP="00852BE4">
            <w:pPr>
              <w:pStyle w:val="Paragraphedeliste"/>
              <w:numPr>
                <w:ilvl w:val="0"/>
                <w:numId w:val="10"/>
              </w:numPr>
              <w:rPr>
                <w:rFonts w:ascii="Aptos" w:hAnsi="Aptos"/>
                <w:sz w:val="12"/>
                <w:szCs w:val="12"/>
              </w:rPr>
            </w:pPr>
            <w:r w:rsidRPr="00852BE4">
              <w:rPr>
                <w:rFonts w:ascii="Aptos" w:hAnsi="Aptos"/>
                <w:sz w:val="12"/>
                <w:szCs w:val="12"/>
              </w:rPr>
              <w:t>Permettant la saisie directement par les déclarants</w:t>
            </w:r>
          </w:p>
          <w:p w:rsidR="00852BE4" w:rsidRPr="00360321" w:rsidRDefault="00852BE4">
            <w:pPr>
              <w:rPr>
                <w:rFonts w:ascii="Aptos" w:hAnsi="Aptos"/>
                <w:sz w:val="12"/>
                <w:szCs w:val="12"/>
              </w:rPr>
            </w:pPr>
            <w:r w:rsidRPr="00852BE4">
              <w:rPr>
                <w:rFonts w:ascii="Aptos" w:hAnsi="Aptos"/>
                <w:sz w:val="12"/>
                <w:szCs w:val="12"/>
              </w:rPr>
              <w:t>Permettant la saisie de la composition (pour travailler par substance et non par produit)</w:t>
            </w:r>
          </w:p>
        </w:tc>
      </w:tr>
      <w:tr w:rsidR="00852BE4" w:rsidRPr="00360321" w:rsidTr="00852BE4">
        <w:tc>
          <w:tcPr>
            <w:tcW w:w="10768" w:type="dxa"/>
            <w:gridSpan w:val="4"/>
            <w:shd w:val="clear" w:color="auto" w:fill="B4C6E7" w:themeFill="accent1" w:themeFillTint="66"/>
          </w:tcPr>
          <w:p w:rsidR="00852BE4" w:rsidRPr="00852BE4" w:rsidRDefault="00852BE4" w:rsidP="00852BE4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proofErr w:type="gramStart"/>
            <w:r>
              <w:rPr>
                <w:rFonts w:ascii="Aptos" w:hAnsi="Aptos"/>
                <w:b/>
                <w:bCs/>
                <w:sz w:val="12"/>
                <w:szCs w:val="12"/>
              </w:rPr>
              <w:t>Signalements suivi</w:t>
            </w:r>
            <w:proofErr w:type="gramEnd"/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 de mesures de gestions</w:t>
            </w:r>
          </w:p>
        </w:tc>
      </w:tr>
    </w:tbl>
    <w:p w:rsidR="003B310F" w:rsidRPr="00360321" w:rsidRDefault="003B310F">
      <w:pPr>
        <w:rPr>
          <w:rFonts w:ascii="Aptos" w:hAnsi="Aptos"/>
          <w:sz w:val="12"/>
          <w:szCs w:val="12"/>
        </w:rPr>
      </w:pPr>
    </w:p>
    <w:sectPr w:rsidR="003B310F" w:rsidRPr="00360321" w:rsidSect="003B3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F59"/>
    <w:multiLevelType w:val="hybridMultilevel"/>
    <w:tmpl w:val="753886CC"/>
    <w:lvl w:ilvl="0" w:tplc="C7AEEA6A">
      <w:start w:val="2017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06C5"/>
    <w:multiLevelType w:val="hybridMultilevel"/>
    <w:tmpl w:val="B036A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7262"/>
    <w:multiLevelType w:val="hybridMultilevel"/>
    <w:tmpl w:val="E6E0C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D90"/>
    <w:multiLevelType w:val="hybridMultilevel"/>
    <w:tmpl w:val="4920C6F0"/>
    <w:lvl w:ilvl="0" w:tplc="C7AEEA6A">
      <w:start w:val="2017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74791"/>
    <w:multiLevelType w:val="hybridMultilevel"/>
    <w:tmpl w:val="A7EECDDE"/>
    <w:lvl w:ilvl="0" w:tplc="C7AEEA6A">
      <w:start w:val="2017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B7AB9"/>
    <w:multiLevelType w:val="hybridMultilevel"/>
    <w:tmpl w:val="B7280336"/>
    <w:lvl w:ilvl="0" w:tplc="C7AEEA6A">
      <w:start w:val="2017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65A39"/>
    <w:multiLevelType w:val="hybridMultilevel"/>
    <w:tmpl w:val="04EC38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DD2"/>
    <w:multiLevelType w:val="hybridMultilevel"/>
    <w:tmpl w:val="DBEECD9C"/>
    <w:lvl w:ilvl="0" w:tplc="5E16CF4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716C1"/>
    <w:multiLevelType w:val="hybridMultilevel"/>
    <w:tmpl w:val="3C68B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419C6"/>
    <w:multiLevelType w:val="hybridMultilevel"/>
    <w:tmpl w:val="AD24F226"/>
    <w:lvl w:ilvl="0" w:tplc="87DC8C3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318108">
    <w:abstractNumId w:val="8"/>
  </w:num>
  <w:num w:numId="2" w16cid:durableId="2017464416">
    <w:abstractNumId w:val="4"/>
  </w:num>
  <w:num w:numId="3" w16cid:durableId="1734694294">
    <w:abstractNumId w:val="6"/>
  </w:num>
  <w:num w:numId="4" w16cid:durableId="1966613887">
    <w:abstractNumId w:val="5"/>
  </w:num>
  <w:num w:numId="5" w16cid:durableId="168907087">
    <w:abstractNumId w:val="2"/>
  </w:num>
  <w:num w:numId="6" w16cid:durableId="2092315302">
    <w:abstractNumId w:val="9"/>
  </w:num>
  <w:num w:numId="7" w16cid:durableId="1082919015">
    <w:abstractNumId w:val="1"/>
  </w:num>
  <w:num w:numId="8" w16cid:durableId="1291479751">
    <w:abstractNumId w:val="3"/>
  </w:num>
  <w:num w:numId="9" w16cid:durableId="178354842">
    <w:abstractNumId w:val="7"/>
  </w:num>
  <w:num w:numId="10" w16cid:durableId="135430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0F"/>
    <w:rsid w:val="00360321"/>
    <w:rsid w:val="003B310F"/>
    <w:rsid w:val="00710068"/>
    <w:rsid w:val="00801853"/>
    <w:rsid w:val="00852BE4"/>
    <w:rsid w:val="009B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6C7F05"/>
  <w15:chartTrackingRefBased/>
  <w15:docId w15:val="{829EEC48-CDE0-F347-9532-5C89F463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3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3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3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3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3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3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3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3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3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3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31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31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31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31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31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31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3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3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31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31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31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3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31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310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B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3B310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48"/>
      <w:szCs w:val="48"/>
      <w:lang w:eastAsia="fr-FR"/>
      <w14:ligatures w14:val="none"/>
    </w:rPr>
  </w:style>
  <w:style w:type="paragraph" w:customStyle="1" w:styleId="p2">
    <w:name w:val="p2"/>
    <w:basedOn w:val="Normal"/>
    <w:rsid w:val="003B310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6"/>
      <w:szCs w:val="26"/>
      <w:lang w:eastAsia="fr-FR"/>
      <w14:ligatures w14:val="none"/>
    </w:rPr>
  </w:style>
  <w:style w:type="character" w:customStyle="1" w:styleId="s1">
    <w:name w:val="s1"/>
    <w:basedOn w:val="Policepardfaut"/>
    <w:rsid w:val="003B310F"/>
    <w:rPr>
      <w:rFonts w:ascii="Helvetica" w:hAnsi="Helvetica" w:hint="default"/>
      <w:sz w:val="21"/>
      <w:szCs w:val="21"/>
    </w:rPr>
  </w:style>
  <w:style w:type="paragraph" w:customStyle="1" w:styleId="p3">
    <w:name w:val="p3"/>
    <w:basedOn w:val="Normal"/>
    <w:rsid w:val="003B310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6"/>
      <w:szCs w:val="36"/>
      <w:lang w:eastAsia="fr-FR"/>
      <w14:ligatures w14:val="none"/>
    </w:rPr>
  </w:style>
  <w:style w:type="paragraph" w:customStyle="1" w:styleId="p4">
    <w:name w:val="p4"/>
    <w:basedOn w:val="Normal"/>
    <w:rsid w:val="003B310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6"/>
      <w:szCs w:val="26"/>
      <w:lang w:eastAsia="fr-FR"/>
      <w14:ligatures w14:val="none"/>
    </w:rPr>
  </w:style>
  <w:style w:type="character" w:customStyle="1" w:styleId="s2">
    <w:name w:val="s2"/>
    <w:basedOn w:val="Policepardfaut"/>
    <w:rsid w:val="003B310F"/>
    <w:rPr>
      <w:color w:val="000000"/>
    </w:rPr>
  </w:style>
  <w:style w:type="character" w:customStyle="1" w:styleId="s3">
    <w:name w:val="s3"/>
    <w:basedOn w:val="Policepardfaut"/>
    <w:rsid w:val="003B310F"/>
    <w:rPr>
      <w:color w:val="FB0007"/>
    </w:rPr>
  </w:style>
  <w:style w:type="character" w:customStyle="1" w:styleId="s4">
    <w:name w:val="s4"/>
    <w:basedOn w:val="Policepardfaut"/>
    <w:rsid w:val="003B310F"/>
    <w:rPr>
      <w:rFonts w:ascii="Helvetica" w:hAnsi="Helvetica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1627</Words>
  <Characters>8951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MASSON</dc:creator>
  <cp:keywords/>
  <dc:description/>
  <cp:lastModifiedBy>Constance MASSON</cp:lastModifiedBy>
  <cp:revision>1</cp:revision>
  <cp:lastPrinted>2025-02-06T14:39:00Z</cp:lastPrinted>
  <dcterms:created xsi:type="dcterms:W3CDTF">2025-02-06T13:53:00Z</dcterms:created>
  <dcterms:modified xsi:type="dcterms:W3CDTF">2025-02-06T14:42:00Z</dcterms:modified>
</cp:coreProperties>
</file>