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B65E" w14:textId="3B15FD4B" w:rsidR="00F26531" w:rsidRPr="0061497E" w:rsidRDefault="00F26531" w:rsidP="00C44AEB">
      <w:pPr>
        <w:outlineLvl w:val="0"/>
        <w:rPr>
          <w:rFonts w:ascii="Aptos" w:hAnsi="Aptos"/>
          <w:kern w:val="36"/>
          <w:sz w:val="13"/>
          <w:szCs w:val="13"/>
        </w:rPr>
      </w:pPr>
    </w:p>
    <w:tbl>
      <w:tblPr>
        <w:tblStyle w:val="Grilledutableau"/>
        <w:tblW w:w="10492" w:type="dxa"/>
        <w:tblLayout w:type="fixed"/>
        <w:tblLook w:val="04A0" w:firstRow="1" w:lastRow="0" w:firstColumn="1" w:lastColumn="0" w:noHBand="0" w:noVBand="1"/>
      </w:tblPr>
      <w:tblGrid>
        <w:gridCol w:w="1696"/>
        <w:gridCol w:w="4962"/>
        <w:gridCol w:w="1417"/>
        <w:gridCol w:w="2417"/>
      </w:tblGrid>
      <w:tr w:rsidR="00D04B83" w14:paraId="7F7EA31B" w14:textId="77777777" w:rsidTr="00737797">
        <w:tc>
          <w:tcPr>
            <w:tcW w:w="1696" w:type="dxa"/>
          </w:tcPr>
          <w:p w14:paraId="114B09D4" w14:textId="01958933" w:rsidR="00492C51" w:rsidRPr="00883E38" w:rsidRDefault="00492C51" w:rsidP="00492C51">
            <w:pPr>
              <w:pStyle w:val="Titre1"/>
              <w:spacing w:before="0" w:after="0"/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  <w:highlight w:val="yellow"/>
              </w:rPr>
            </w:pPr>
            <w:r w:rsidRPr="00883E38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>Doxycycline</w:t>
            </w:r>
          </w:p>
        </w:tc>
        <w:tc>
          <w:tcPr>
            <w:tcW w:w="4962" w:type="dxa"/>
          </w:tcPr>
          <w:p w14:paraId="29BA4E72" w14:textId="0DC31D63" w:rsidR="00492C51" w:rsidRPr="0016167F" w:rsidRDefault="00492C51" w:rsidP="00E068A2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Incidence et facteurs d'influence de la décoloration des dents chez les enfants utilisant de la doxycycline : une méta-analyse</w:t>
            </w:r>
          </w:p>
        </w:tc>
        <w:tc>
          <w:tcPr>
            <w:tcW w:w="1417" w:type="dxa"/>
          </w:tcPr>
          <w:p w14:paraId="6B6024F5" w14:textId="699B2D9E" w:rsidR="00492C51" w:rsidRPr="0016167F" w:rsidRDefault="00492C51" w:rsidP="00737797">
            <w:pPr>
              <w:spacing w:before="100" w:beforeAutospacing="1" w:after="100" w:afterAutospacing="1"/>
              <w:jc w:val="center"/>
              <w:outlineLvl w:val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sz w:val="16"/>
                <w:szCs w:val="16"/>
              </w:rPr>
              <w:t>Août 2025</w:t>
            </w:r>
          </w:p>
        </w:tc>
        <w:tc>
          <w:tcPr>
            <w:tcW w:w="2417" w:type="dxa"/>
          </w:tcPr>
          <w:p w14:paraId="6276B806" w14:textId="7499319E" w:rsidR="00492C51" w:rsidRPr="0016167F" w:rsidRDefault="00492C51" w:rsidP="00492C51">
            <w:pPr>
              <w:spacing w:before="100" w:beforeAutospacing="1" w:after="100" w:afterAutospacing="1"/>
              <w:jc w:val="center"/>
              <w:outlineLvl w:val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sz w:val="16"/>
                <w:szCs w:val="16"/>
              </w:rPr>
              <w:t>https://pubmed.ncbi.nlm.nih.gov/40918671/</w:t>
            </w:r>
          </w:p>
        </w:tc>
      </w:tr>
      <w:tr w:rsidR="00D04B83" w14:paraId="5281C42C" w14:textId="77777777" w:rsidTr="00737797">
        <w:tc>
          <w:tcPr>
            <w:tcW w:w="1696" w:type="dxa"/>
          </w:tcPr>
          <w:p w14:paraId="4410E32C" w14:textId="6DAB8030" w:rsidR="00492C51" w:rsidRPr="00883E38" w:rsidRDefault="00303A8E" w:rsidP="00E068A2">
            <w:pPr>
              <w:pStyle w:val="Titre1"/>
              <w:spacing w:before="0" w:after="0"/>
              <w:jc w:val="center"/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883E38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>Tigecycline</w:t>
            </w:r>
          </w:p>
        </w:tc>
        <w:tc>
          <w:tcPr>
            <w:tcW w:w="4962" w:type="dxa"/>
          </w:tcPr>
          <w:p w14:paraId="38443659" w14:textId="34C5D960" w:rsidR="00492C51" w:rsidRPr="0016167F" w:rsidRDefault="00492C51" w:rsidP="00E068A2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 xml:space="preserve">Décoloration des dents induite par la </w:t>
            </w:r>
            <w:proofErr w:type="spellStart"/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tigecycline</w:t>
            </w:r>
            <w:proofErr w:type="spellEnd"/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 xml:space="preserve"> chez les enfants de moins de huit ans</w:t>
            </w:r>
          </w:p>
        </w:tc>
        <w:tc>
          <w:tcPr>
            <w:tcW w:w="1417" w:type="dxa"/>
          </w:tcPr>
          <w:p w14:paraId="2BE5D1C5" w14:textId="4077C3D8" w:rsidR="00492C51" w:rsidRPr="0016167F" w:rsidRDefault="00492C51" w:rsidP="00737797">
            <w:pPr>
              <w:jc w:val="center"/>
              <w:outlineLvl w:val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sz w:val="16"/>
                <w:szCs w:val="16"/>
              </w:rPr>
              <w:t>Août 2021</w:t>
            </w:r>
          </w:p>
        </w:tc>
        <w:tc>
          <w:tcPr>
            <w:tcW w:w="2417" w:type="dxa"/>
          </w:tcPr>
          <w:p w14:paraId="2AAD3973" w14:textId="2502F2E4" w:rsidR="00492C51" w:rsidRPr="0016167F" w:rsidRDefault="00492C51" w:rsidP="00492C51">
            <w:pPr>
              <w:jc w:val="center"/>
              <w:outlineLvl w:val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sz w:val="16"/>
                <w:szCs w:val="16"/>
              </w:rPr>
              <w:t>https://pubmed.ncbi.nlm.nih.gov/34228549/</w:t>
            </w:r>
          </w:p>
        </w:tc>
      </w:tr>
      <w:tr w:rsidR="00D04B83" w14:paraId="6D87F1F4" w14:textId="77777777" w:rsidTr="00737797">
        <w:tc>
          <w:tcPr>
            <w:tcW w:w="1696" w:type="dxa"/>
          </w:tcPr>
          <w:p w14:paraId="17691485" w14:textId="33406F7B" w:rsidR="00492C51" w:rsidRPr="00883E38" w:rsidRDefault="00492C51" w:rsidP="00E068A2">
            <w:pPr>
              <w:pStyle w:val="Titre1"/>
              <w:spacing w:before="0" w:after="0"/>
              <w:jc w:val="center"/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883E38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>Tétracycline et ses dérivés</w:t>
            </w:r>
          </w:p>
        </w:tc>
        <w:tc>
          <w:tcPr>
            <w:tcW w:w="4962" w:type="dxa"/>
          </w:tcPr>
          <w:p w14:paraId="574FAC31" w14:textId="42D1DE35" w:rsidR="00492C51" w:rsidRPr="0016167F" w:rsidRDefault="00492C51" w:rsidP="00E068A2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Risque de décoloration dentaire et de dysplasie de l'émail chez les enfants exposés à la tétracycline et à ses dérivés</w:t>
            </w:r>
          </w:p>
        </w:tc>
        <w:tc>
          <w:tcPr>
            <w:tcW w:w="1417" w:type="dxa"/>
          </w:tcPr>
          <w:p w14:paraId="268DB655" w14:textId="6CD74012" w:rsidR="00492C51" w:rsidRPr="0016167F" w:rsidRDefault="00492C51" w:rsidP="00737797">
            <w:pPr>
              <w:jc w:val="center"/>
              <w:outlineLvl w:val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sz w:val="16"/>
                <w:szCs w:val="16"/>
              </w:rPr>
              <w:t>Décembre 2022</w:t>
            </w:r>
          </w:p>
        </w:tc>
        <w:tc>
          <w:tcPr>
            <w:tcW w:w="2417" w:type="dxa"/>
          </w:tcPr>
          <w:p w14:paraId="2598AF40" w14:textId="665068E0" w:rsidR="00492C51" w:rsidRPr="0016167F" w:rsidRDefault="00492C51" w:rsidP="0016167F">
            <w:pPr>
              <w:jc w:val="center"/>
              <w:outlineLvl w:val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sz w:val="16"/>
                <w:szCs w:val="16"/>
              </w:rPr>
              <w:t>https://pubmed.ncbi.nlm.nih.gov/36444547/</w:t>
            </w:r>
          </w:p>
        </w:tc>
      </w:tr>
      <w:tr w:rsidR="00DD6751" w14:paraId="575DCA5D" w14:textId="77777777" w:rsidTr="00737797">
        <w:tc>
          <w:tcPr>
            <w:tcW w:w="1696" w:type="dxa"/>
          </w:tcPr>
          <w:p w14:paraId="42398B50" w14:textId="085F49D3" w:rsidR="00DD6751" w:rsidRPr="00DB75CE" w:rsidRDefault="00DD6751" w:rsidP="00DD6751">
            <w:pPr>
              <w:pStyle w:val="Titre1"/>
              <w:spacing w:before="0" w:after="0"/>
              <w:jc w:val="center"/>
              <w:rPr>
                <w:rFonts w:ascii="Aptos" w:hAnsi="Apto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DB75CE">
              <w:rPr>
                <w:rFonts w:ascii="Aptos" w:hAnsi="Aptos"/>
                <w:b/>
                <w:bCs/>
                <w:i/>
                <w:iCs/>
                <w:color w:val="000000" w:themeColor="text1"/>
                <w:sz w:val="16"/>
                <w:szCs w:val="16"/>
              </w:rPr>
              <w:t>Tétracycline</w:t>
            </w:r>
          </w:p>
        </w:tc>
        <w:tc>
          <w:tcPr>
            <w:tcW w:w="4962" w:type="dxa"/>
          </w:tcPr>
          <w:p w14:paraId="34A241AC" w14:textId="4A9FDECF" w:rsidR="00DD6751" w:rsidRPr="00DB75CE" w:rsidRDefault="00DD6751" w:rsidP="00DD6751">
            <w:pPr>
              <w:outlineLvl w:val="0"/>
              <w:rPr>
                <w:rFonts w:ascii="Aptos" w:hAnsi="Aptos"/>
                <w:i/>
                <w:iCs/>
                <w:color w:val="000000" w:themeColor="text1"/>
                <w:kern w:val="36"/>
                <w:sz w:val="16"/>
                <w:szCs w:val="16"/>
              </w:rPr>
            </w:pPr>
            <w:r w:rsidRPr="00DB75CE">
              <w:rPr>
                <w:rFonts w:ascii="Aptos" w:hAnsi="Aptos"/>
                <w:i/>
                <w:iCs/>
                <w:color w:val="000000" w:themeColor="text1"/>
                <w:kern w:val="36"/>
                <w:sz w:val="16"/>
                <w:szCs w:val="16"/>
              </w:rPr>
              <w:t>Coloration par tétracycline de la dentition : une revue de la littérature et un rapport d'un cas clinique</w:t>
            </w:r>
          </w:p>
        </w:tc>
        <w:tc>
          <w:tcPr>
            <w:tcW w:w="1417" w:type="dxa"/>
          </w:tcPr>
          <w:p w14:paraId="4FBE3382" w14:textId="72338167" w:rsidR="00DD6751" w:rsidRPr="00DB75CE" w:rsidRDefault="00DD6751" w:rsidP="00DD6751">
            <w:pPr>
              <w:jc w:val="center"/>
              <w:outlineLvl w:val="0"/>
              <w:rPr>
                <w:rFonts w:ascii="Aptos" w:hAnsi="Aptos"/>
                <w:i/>
                <w:iCs/>
                <w:color w:val="000000" w:themeColor="text1"/>
                <w:sz w:val="16"/>
                <w:szCs w:val="16"/>
              </w:rPr>
            </w:pPr>
            <w:r w:rsidRPr="00DB75CE">
              <w:rPr>
                <w:rFonts w:ascii="Aptos" w:hAnsi="Aptos"/>
                <w:i/>
                <w:iCs/>
                <w:color w:val="000000" w:themeColor="text1"/>
                <w:kern w:val="36"/>
                <w:sz w:val="16"/>
                <w:szCs w:val="16"/>
              </w:rPr>
              <w:t>Mai/juin 2024</w:t>
            </w:r>
          </w:p>
        </w:tc>
        <w:tc>
          <w:tcPr>
            <w:tcW w:w="2417" w:type="dxa"/>
          </w:tcPr>
          <w:p w14:paraId="4ECADBC4" w14:textId="3CF8389D" w:rsidR="00DD6751" w:rsidRPr="00DB75CE" w:rsidRDefault="00DD6751" w:rsidP="00DD6751">
            <w:pPr>
              <w:jc w:val="center"/>
              <w:outlineLvl w:val="0"/>
              <w:rPr>
                <w:rFonts w:ascii="Aptos" w:hAnsi="Aptos"/>
                <w:i/>
                <w:iCs/>
                <w:color w:val="000000" w:themeColor="text1"/>
                <w:sz w:val="16"/>
                <w:szCs w:val="16"/>
              </w:rPr>
            </w:pPr>
            <w:r w:rsidRPr="00DB75CE">
              <w:rPr>
                <w:rFonts w:ascii="Aptos" w:hAnsi="Aptos"/>
                <w:i/>
                <w:iCs/>
                <w:color w:val="000000" w:themeColor="text1"/>
                <w:sz w:val="16"/>
                <w:szCs w:val="16"/>
              </w:rPr>
              <w:t>https://pubmed.ncbi.nlm.nih.gov/38640005/</w:t>
            </w:r>
          </w:p>
        </w:tc>
      </w:tr>
      <w:tr w:rsidR="00DD6751" w14:paraId="396C8FB1" w14:textId="77777777" w:rsidTr="00737797">
        <w:tc>
          <w:tcPr>
            <w:tcW w:w="1696" w:type="dxa"/>
          </w:tcPr>
          <w:p w14:paraId="24F53529" w14:textId="57B4D275" w:rsidR="00DD6751" w:rsidRPr="0016167F" w:rsidRDefault="00DD6751" w:rsidP="00DD6751">
            <w:pPr>
              <w:pStyle w:val="Titre1"/>
              <w:spacing w:before="0" w:after="0"/>
              <w:jc w:val="center"/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</w:pPr>
            <w:r w:rsidRPr="00E26398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>Antibiotiques (tétracyclines, doxycycline</w:t>
            </w:r>
            <w:r w:rsidRPr="0016167F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962" w:type="dxa"/>
          </w:tcPr>
          <w:p w14:paraId="4EFAA693" w14:textId="77777777" w:rsidR="00DD6751" w:rsidRPr="0016167F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Exposition aux antibiotiques et santé dentaire : une revue systématique</w:t>
            </w:r>
          </w:p>
          <w:p w14:paraId="6E052FFF" w14:textId="77777777" w:rsidR="00DD6751" w:rsidRPr="0016167F" w:rsidRDefault="00DD6751" w:rsidP="00DD6751">
            <w:pPr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0F3C20" w14:textId="00D5279A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Juillet 2023</w:t>
            </w:r>
          </w:p>
        </w:tc>
        <w:tc>
          <w:tcPr>
            <w:tcW w:w="2417" w:type="dxa"/>
          </w:tcPr>
          <w:p w14:paraId="5B828671" w14:textId="0C5CFC64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sz w:val="16"/>
                <w:szCs w:val="16"/>
              </w:rPr>
              <w:t>https://pubmed.ncbi.nlm.nih.gov/37264510/</w:t>
            </w:r>
          </w:p>
        </w:tc>
      </w:tr>
      <w:tr w:rsidR="00DD6751" w14:paraId="35BAB224" w14:textId="77777777" w:rsidTr="00737797">
        <w:tc>
          <w:tcPr>
            <w:tcW w:w="1696" w:type="dxa"/>
          </w:tcPr>
          <w:p w14:paraId="6F5BCA16" w14:textId="77777777" w:rsidR="00DD6751" w:rsidRPr="00E26398" w:rsidRDefault="00DD6751" w:rsidP="00DD6751">
            <w:pPr>
              <w:pStyle w:val="Titre1"/>
              <w:spacing w:before="0" w:after="0"/>
              <w:jc w:val="center"/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E26398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25 médicaments : </w:t>
            </w:r>
          </w:p>
          <w:p w14:paraId="4C5E7ABD" w14:textId="542AE629" w:rsidR="00DD6751" w:rsidRPr="0016167F" w:rsidRDefault="00DD6751" w:rsidP="00DD6751">
            <w:pPr>
              <w:pStyle w:val="Titre1"/>
              <w:spacing w:before="0" w:after="0"/>
              <w:jc w:val="center"/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</w:pPr>
            <w:r w:rsidRPr="00E26398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10 anti infectieux  (tétracycline, salmétérol, fluticasone, </w:t>
            </w:r>
            <w:proofErr w:type="spellStart"/>
            <w:r w:rsidRPr="00E26398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>amoxiciline</w:t>
            </w:r>
            <w:proofErr w:type="spellEnd"/>
            <w:r w:rsidRPr="00E26398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, chlorhexidine, </w:t>
            </w:r>
            <w:proofErr w:type="spellStart"/>
            <w:r w:rsidRPr="00E26398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>cétylpyridinium</w:t>
            </w:r>
            <w:proofErr w:type="spellEnd"/>
            <w:r w:rsidRPr="00E26398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, fluorure de </w:t>
            </w:r>
            <w:proofErr w:type="spellStart"/>
            <w:r w:rsidRPr="00E26398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>stanous</w:t>
            </w:r>
            <w:proofErr w:type="spellEnd"/>
            <w:r w:rsidRPr="00E26398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E26398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>péroxyde</w:t>
            </w:r>
            <w:proofErr w:type="spellEnd"/>
            <w:r w:rsidRPr="00E26398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d’H)</w:t>
            </w:r>
          </w:p>
        </w:tc>
        <w:tc>
          <w:tcPr>
            <w:tcW w:w="4962" w:type="dxa"/>
          </w:tcPr>
          <w:p w14:paraId="553F79F1" w14:textId="4B07DCB7" w:rsidR="00DD6751" w:rsidRPr="0016167F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Décoloration des dents induite par les médicaments : une analyse du système de déclaration des événements indésirables de l'administration américaine des aliments et des médicaments</w:t>
            </w:r>
          </w:p>
        </w:tc>
        <w:tc>
          <w:tcPr>
            <w:tcW w:w="1417" w:type="dxa"/>
          </w:tcPr>
          <w:p w14:paraId="7F35F168" w14:textId="40424591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sz w:val="16"/>
                <w:szCs w:val="16"/>
              </w:rPr>
            </w:pPr>
            <w:r w:rsidRPr="0016167F">
              <w:rPr>
                <w:rFonts w:ascii="Aptos" w:hAnsi="Aptos"/>
                <w:sz w:val="16"/>
                <w:szCs w:val="16"/>
              </w:rPr>
              <w:t>Avril 2023</w:t>
            </w:r>
          </w:p>
        </w:tc>
        <w:tc>
          <w:tcPr>
            <w:tcW w:w="2417" w:type="dxa"/>
          </w:tcPr>
          <w:p w14:paraId="537B2156" w14:textId="7633F884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sz w:val="16"/>
                <w:szCs w:val="16"/>
              </w:rPr>
              <w:t>https://pubmed.ncbi.nlm.nih.gov/37124229/</w:t>
            </w:r>
          </w:p>
        </w:tc>
      </w:tr>
      <w:tr w:rsidR="00DD6751" w14:paraId="1704A532" w14:textId="77777777" w:rsidTr="00737797">
        <w:tc>
          <w:tcPr>
            <w:tcW w:w="1696" w:type="dxa"/>
          </w:tcPr>
          <w:p w14:paraId="2F214F8E" w14:textId="65D85784" w:rsidR="00DD6751" w:rsidRPr="0016167F" w:rsidRDefault="00DD6751" w:rsidP="00DD6751">
            <w:pPr>
              <w:pStyle w:val="Titre1"/>
              <w:spacing w:before="0" w:after="0"/>
              <w:jc w:val="center"/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</w:pPr>
            <w:r w:rsidRPr="0099375D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>Antibiotiques</w:t>
            </w:r>
          </w:p>
        </w:tc>
        <w:tc>
          <w:tcPr>
            <w:tcW w:w="4962" w:type="dxa"/>
          </w:tcPr>
          <w:p w14:paraId="2BF5BB1A" w14:textId="37A24A48" w:rsidR="00DD6751" w:rsidRPr="0016167F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 xml:space="preserve">Évaluation comparative de la décoloration des dents induite par une pâte d'antibiotique expérimentale modifiée avec du nano </w:t>
            </w:r>
            <w:proofErr w:type="spellStart"/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chitosan</w:t>
            </w:r>
            <w:proofErr w:type="spellEnd"/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 xml:space="preserve"> : une étude in vitro</w:t>
            </w:r>
          </w:p>
        </w:tc>
        <w:tc>
          <w:tcPr>
            <w:tcW w:w="1417" w:type="dxa"/>
          </w:tcPr>
          <w:p w14:paraId="0D1796FC" w14:textId="68087223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Juillet 2025</w:t>
            </w:r>
          </w:p>
        </w:tc>
        <w:tc>
          <w:tcPr>
            <w:tcW w:w="2417" w:type="dxa"/>
          </w:tcPr>
          <w:p w14:paraId="5D080069" w14:textId="270F9B95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sz w:val="16"/>
                <w:szCs w:val="16"/>
              </w:rPr>
              <w:t>https://pubmed.ncbi.nlm.nih.gov/40710152/</w:t>
            </w:r>
          </w:p>
        </w:tc>
      </w:tr>
      <w:tr w:rsidR="00DD6751" w14:paraId="632F3443" w14:textId="77777777" w:rsidTr="00737797">
        <w:tc>
          <w:tcPr>
            <w:tcW w:w="1696" w:type="dxa"/>
          </w:tcPr>
          <w:p w14:paraId="167284E2" w14:textId="6A7F6341" w:rsidR="00DD6751" w:rsidRPr="0016167F" w:rsidRDefault="00DD6751" w:rsidP="00DD6751">
            <w:pPr>
              <w:pStyle w:val="Titre1"/>
              <w:spacing w:before="0" w:after="0"/>
              <w:jc w:val="center"/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369DD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  <w:highlight w:val="yellow"/>
              </w:rPr>
              <w:t>Linézolide</w:t>
            </w:r>
            <w:proofErr w:type="spellEnd"/>
          </w:p>
        </w:tc>
        <w:tc>
          <w:tcPr>
            <w:tcW w:w="4962" w:type="dxa"/>
          </w:tcPr>
          <w:p w14:paraId="42608A4C" w14:textId="340F9892" w:rsidR="00DD6751" w:rsidRPr="0016167F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 xml:space="preserve">Rapport de cas : Une étude de cas et une revue de la littérature sur la décoloration des dents causée par le </w:t>
            </w:r>
            <w:proofErr w:type="spellStart"/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linézolide</w:t>
            </w:r>
            <w:proofErr w:type="spellEnd"/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 xml:space="preserve"> avec la période d'incubation la plus courte chez un patient pédiatrique</w:t>
            </w:r>
          </w:p>
        </w:tc>
        <w:tc>
          <w:tcPr>
            <w:tcW w:w="1417" w:type="dxa"/>
          </w:tcPr>
          <w:p w14:paraId="0CA6684B" w14:textId="555CD85A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Octobre 2024</w:t>
            </w:r>
          </w:p>
        </w:tc>
        <w:tc>
          <w:tcPr>
            <w:tcW w:w="2417" w:type="dxa"/>
          </w:tcPr>
          <w:p w14:paraId="66FBC130" w14:textId="65E4E131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sz w:val="16"/>
                <w:szCs w:val="16"/>
              </w:rPr>
              <w:t>https://pubmed.ncbi.nlm.nih.gov/39474604/</w:t>
            </w:r>
          </w:p>
        </w:tc>
      </w:tr>
      <w:tr w:rsidR="00DD6751" w14:paraId="33025D4D" w14:textId="77777777" w:rsidTr="00737797">
        <w:tc>
          <w:tcPr>
            <w:tcW w:w="1696" w:type="dxa"/>
          </w:tcPr>
          <w:p w14:paraId="78C433C3" w14:textId="2B45F2AC" w:rsidR="00DD6751" w:rsidRPr="0016167F" w:rsidRDefault="00DD6751" w:rsidP="00DD6751">
            <w:pPr>
              <w:pStyle w:val="Titre1"/>
              <w:spacing w:before="0" w:after="0"/>
              <w:jc w:val="center"/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369DD"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  <w:highlight w:val="yellow"/>
              </w:rPr>
              <w:t>Linézolide</w:t>
            </w:r>
            <w:proofErr w:type="spellEnd"/>
          </w:p>
        </w:tc>
        <w:tc>
          <w:tcPr>
            <w:tcW w:w="4962" w:type="dxa"/>
          </w:tcPr>
          <w:p w14:paraId="1A02BFE5" w14:textId="357B68E8" w:rsidR="00DD6751" w:rsidRPr="0016167F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CF0360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 xml:space="preserve">Hyperpigmentation dentaire induite par le </w:t>
            </w:r>
            <w:proofErr w:type="spellStart"/>
            <w:r w:rsidRPr="00CF0360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linezolide</w:t>
            </w:r>
            <w:proofErr w:type="spellEnd"/>
            <w:r w:rsidRPr="00CF0360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 xml:space="preserve"> chez un homme adulte traité pour un ulcère causé par des mycobactéries atypiques</w:t>
            </w:r>
          </w:p>
        </w:tc>
        <w:tc>
          <w:tcPr>
            <w:tcW w:w="1417" w:type="dxa"/>
          </w:tcPr>
          <w:p w14:paraId="76887800" w14:textId="5A745D81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Novembre / décembre 2018</w:t>
            </w:r>
          </w:p>
        </w:tc>
        <w:tc>
          <w:tcPr>
            <w:tcW w:w="2417" w:type="dxa"/>
          </w:tcPr>
          <w:p w14:paraId="6C708099" w14:textId="3D33F3CE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F0360"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https://pubmed.ncbi.nlm.nih.gov/30613563/</w:t>
            </w:r>
          </w:p>
        </w:tc>
      </w:tr>
      <w:tr w:rsidR="00DD6751" w14:paraId="260CEFC5" w14:textId="77777777" w:rsidTr="00737797">
        <w:tc>
          <w:tcPr>
            <w:tcW w:w="1696" w:type="dxa"/>
          </w:tcPr>
          <w:p w14:paraId="74E887C4" w14:textId="77777777" w:rsidR="00DD6751" w:rsidRPr="00F71BBD" w:rsidRDefault="00DD6751" w:rsidP="00DD6751">
            <w:pPr>
              <w:pStyle w:val="Titre1"/>
              <w:spacing w:before="0" w:after="0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F71BBD"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  <w:t>Linézolide</w:t>
            </w:r>
            <w:proofErr w:type="spellEnd"/>
            <w:r w:rsidRPr="00F71BBD"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IV </w:t>
            </w:r>
          </w:p>
          <w:p w14:paraId="2AEC9831" w14:textId="17AD6085" w:rsidR="00DD6751" w:rsidRPr="00CF0360" w:rsidRDefault="00DD6751" w:rsidP="00DD6751">
            <w:pPr>
              <w:pStyle w:val="Titre1"/>
              <w:spacing w:before="0" w:after="0"/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</w:rPr>
            </w:pPr>
            <w:proofErr w:type="spellStart"/>
            <w:r w:rsidRPr="00F71BBD"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  <w:t>Métropénème</w:t>
            </w:r>
            <w:proofErr w:type="spellEnd"/>
            <w:r w:rsidRPr="00F71BBD"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et vancomycine IV</w:t>
            </w:r>
          </w:p>
        </w:tc>
        <w:tc>
          <w:tcPr>
            <w:tcW w:w="4962" w:type="dxa"/>
          </w:tcPr>
          <w:p w14:paraId="51974D8A" w14:textId="715C7A99" w:rsidR="00DD6751" w:rsidRPr="00CF0360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8B19C8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Deux cas d'enfants atteints de la langue poilue noire et de la décoloration des dents causée par des agents antibactériens</w:t>
            </w:r>
          </w:p>
        </w:tc>
        <w:tc>
          <w:tcPr>
            <w:tcW w:w="1417" w:type="dxa"/>
          </w:tcPr>
          <w:p w14:paraId="34869AC0" w14:textId="03D826D6" w:rsidR="00DD6751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15 avril 2024</w:t>
            </w:r>
          </w:p>
        </w:tc>
        <w:tc>
          <w:tcPr>
            <w:tcW w:w="2417" w:type="dxa"/>
          </w:tcPr>
          <w:p w14:paraId="2AEB75A4" w14:textId="16569EE9" w:rsidR="00DD6751" w:rsidRPr="00CF0360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 w:rsidRPr="008B19C8"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https://pubmed.ncbi.nlm.nih.gov/38756316/</w:t>
            </w:r>
          </w:p>
        </w:tc>
      </w:tr>
      <w:tr w:rsidR="00DD6751" w14:paraId="1482F557" w14:textId="77777777" w:rsidTr="00737797">
        <w:tc>
          <w:tcPr>
            <w:tcW w:w="1696" w:type="dxa"/>
          </w:tcPr>
          <w:p w14:paraId="32255FD2" w14:textId="77777777" w:rsidR="00DD6751" w:rsidRPr="0016167F" w:rsidRDefault="00DD6751" w:rsidP="00DD6751">
            <w:pPr>
              <w:pStyle w:val="Titre1"/>
              <w:spacing w:before="0" w:after="0"/>
              <w:jc w:val="center"/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ED9D234" w14:textId="5CC87D81" w:rsidR="00DD6751" w:rsidRPr="0016167F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7D1999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  <w:highlight w:val="yellow"/>
              </w:rPr>
              <w:t xml:space="preserve">Décoloration potentielle de la couronne induite par la combinaison de divers médicaments </w:t>
            </w:r>
            <w:proofErr w:type="spellStart"/>
            <w:r w:rsidRPr="007D1999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  <w:highlight w:val="yellow"/>
              </w:rPr>
              <w:t>intracanaux</w:t>
            </w:r>
            <w:proofErr w:type="spellEnd"/>
            <w:r w:rsidRPr="007D1999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  <w:highlight w:val="yellow"/>
              </w:rPr>
              <w:t xml:space="preserve"> et échafaudages appliqués en thérapie endodontique régénérative</w:t>
            </w:r>
          </w:p>
        </w:tc>
        <w:tc>
          <w:tcPr>
            <w:tcW w:w="1417" w:type="dxa"/>
          </w:tcPr>
          <w:p w14:paraId="656209B4" w14:textId="3E4234BA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Juillet 2024</w:t>
            </w:r>
          </w:p>
        </w:tc>
        <w:tc>
          <w:tcPr>
            <w:tcW w:w="2417" w:type="dxa"/>
          </w:tcPr>
          <w:p w14:paraId="7D1B1F0B" w14:textId="7A20A83B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sz w:val="16"/>
                <w:szCs w:val="16"/>
              </w:rPr>
              <w:t>https://pubmed.ncbi.nlm.nih.gov/39082917/</w:t>
            </w:r>
          </w:p>
        </w:tc>
      </w:tr>
      <w:tr w:rsidR="00DD6751" w14:paraId="6B854196" w14:textId="77777777" w:rsidTr="00737797">
        <w:tc>
          <w:tcPr>
            <w:tcW w:w="1696" w:type="dxa"/>
          </w:tcPr>
          <w:p w14:paraId="5355F18A" w14:textId="55A83B5D" w:rsidR="00DD6751" w:rsidRPr="0016167F" w:rsidRDefault="00DD6751" w:rsidP="00DD6751">
            <w:pPr>
              <w:pStyle w:val="Titre1"/>
              <w:spacing w:before="0" w:after="0"/>
              <w:jc w:val="center"/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</w:pPr>
            <w:r w:rsidRPr="00952315"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  <w:t>Composés de fer</w:t>
            </w:r>
          </w:p>
        </w:tc>
        <w:tc>
          <w:tcPr>
            <w:tcW w:w="4962" w:type="dxa"/>
          </w:tcPr>
          <w:p w14:paraId="2320289B" w14:textId="31FA33FB" w:rsidR="00DD6751" w:rsidRPr="0016167F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CF0360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Évaluation comparative des effets de quatre types de suppléments de fer sur la décoloration des dents primaires : une étude in vitro</w:t>
            </w:r>
          </w:p>
        </w:tc>
        <w:tc>
          <w:tcPr>
            <w:tcW w:w="1417" w:type="dxa"/>
          </w:tcPr>
          <w:p w14:paraId="23C2843F" w14:textId="66A8EBD0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Septembre 2024</w:t>
            </w:r>
          </w:p>
        </w:tc>
        <w:tc>
          <w:tcPr>
            <w:tcW w:w="2417" w:type="dxa"/>
          </w:tcPr>
          <w:p w14:paraId="785838BA" w14:textId="796B7D46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F0360"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https://pubmed.ncbi.nlm.nih.gov/40993654/</w:t>
            </w:r>
          </w:p>
        </w:tc>
      </w:tr>
      <w:tr w:rsidR="00DD6751" w14:paraId="67A1FB4E" w14:textId="77777777" w:rsidTr="00737797">
        <w:tc>
          <w:tcPr>
            <w:tcW w:w="1696" w:type="dxa"/>
          </w:tcPr>
          <w:p w14:paraId="7662A4E2" w14:textId="29D6FD55" w:rsidR="00DD6751" w:rsidRDefault="00DD6751" w:rsidP="00DD6751">
            <w:pPr>
              <w:pStyle w:val="Titre1"/>
              <w:spacing w:before="0"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Chlorhexidine</w:t>
            </w:r>
          </w:p>
        </w:tc>
        <w:tc>
          <w:tcPr>
            <w:tcW w:w="4962" w:type="dxa"/>
          </w:tcPr>
          <w:p w14:paraId="415C5C33" w14:textId="31F52D0C" w:rsidR="00DD6751" w:rsidRPr="00B05E6F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F81146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Une analyse protéomique des surfaces dentaires décolorées après l'utilisation de rince-bouche à 0,12 % de chlorhexidine (CHX) et de CHX Fourni avec un système anti-décoloration (ADS)</w:t>
            </w:r>
          </w:p>
        </w:tc>
        <w:tc>
          <w:tcPr>
            <w:tcW w:w="1417" w:type="dxa"/>
          </w:tcPr>
          <w:p w14:paraId="0F49F22A" w14:textId="592BE4CB" w:rsidR="00DD6751" w:rsidRPr="00F81146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 w:rsidRPr="00F81146"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Août 2021</w:t>
            </w:r>
          </w:p>
        </w:tc>
        <w:tc>
          <w:tcPr>
            <w:tcW w:w="2417" w:type="dxa"/>
          </w:tcPr>
          <w:p w14:paraId="22DBDC5F" w14:textId="13EC6201" w:rsidR="00DD6751" w:rsidRPr="00F81146" w:rsidRDefault="00DD6751" w:rsidP="00DD6751">
            <w:pPr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 w:rsidRPr="00F81146"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https://pmc.ncbi.nlm.nih.gov/articles/PMC8347691/</w:t>
            </w:r>
          </w:p>
        </w:tc>
      </w:tr>
      <w:tr w:rsidR="00DD6751" w14:paraId="2D971C38" w14:textId="77777777" w:rsidTr="00DD6751">
        <w:trPr>
          <w:trHeight w:val="544"/>
        </w:trPr>
        <w:tc>
          <w:tcPr>
            <w:tcW w:w="1696" w:type="dxa"/>
          </w:tcPr>
          <w:p w14:paraId="483CFAAC" w14:textId="77777777" w:rsidR="00DD6751" w:rsidRPr="00CF0360" w:rsidRDefault="00DD6751" w:rsidP="00DD6751">
            <w:pPr>
              <w:pStyle w:val="Titre1"/>
              <w:spacing w:before="0"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6697D09" w14:textId="1522A333" w:rsidR="00DD6751" w:rsidRPr="00F81146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F81146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Évaluation de l'effet des médicaments pédiatriques et d'un rinçage oral sur la décoloration des dents primaires</w:t>
            </w:r>
          </w:p>
        </w:tc>
        <w:tc>
          <w:tcPr>
            <w:tcW w:w="1417" w:type="dxa"/>
          </w:tcPr>
          <w:p w14:paraId="77EEB954" w14:textId="0FF19922" w:rsidR="00DD6751" w:rsidRPr="00F81146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Avril- juin 2022</w:t>
            </w:r>
          </w:p>
        </w:tc>
        <w:tc>
          <w:tcPr>
            <w:tcW w:w="2417" w:type="dxa"/>
          </w:tcPr>
          <w:p w14:paraId="1C48BD69" w14:textId="2084FE81" w:rsidR="00DD6751" w:rsidRPr="00F81146" w:rsidRDefault="00DD6751" w:rsidP="00DD6751">
            <w:pPr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 w:rsidRPr="00F81146"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https://pubmed.ncbi.nlm.nih.gov/35703497/</w:t>
            </w:r>
          </w:p>
        </w:tc>
      </w:tr>
      <w:tr w:rsidR="00DD6751" w14:paraId="67FBFF54" w14:textId="77777777" w:rsidTr="00737797">
        <w:tc>
          <w:tcPr>
            <w:tcW w:w="1696" w:type="dxa"/>
          </w:tcPr>
          <w:p w14:paraId="51453278" w14:textId="3CBB419F" w:rsidR="00DD6751" w:rsidRPr="00D04B83" w:rsidRDefault="00DD6751" w:rsidP="00DD6751">
            <w:pPr>
              <w:pStyle w:val="Titre1"/>
              <w:spacing w:before="0" w:after="0"/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</w:rPr>
            </w:pPr>
            <w:r w:rsidRPr="00D04B83"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</w:rPr>
              <w:t>Imatinib et Zidovudine</w:t>
            </w:r>
          </w:p>
        </w:tc>
        <w:tc>
          <w:tcPr>
            <w:tcW w:w="4962" w:type="dxa"/>
          </w:tcPr>
          <w:p w14:paraId="115BDEF4" w14:textId="77777777" w:rsidR="00DD6751" w:rsidRPr="00A05EA9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A05EA9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Hyperpigmentation buccale induite par les médicaments : une revue systématique</w:t>
            </w:r>
          </w:p>
          <w:p w14:paraId="66ADF8FD" w14:textId="77777777" w:rsidR="00DD6751" w:rsidRPr="00A05EA9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B35E21E" w14:textId="7E590E71" w:rsidR="00DD6751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Octobre 2020</w:t>
            </w:r>
          </w:p>
        </w:tc>
        <w:tc>
          <w:tcPr>
            <w:tcW w:w="2417" w:type="dxa"/>
          </w:tcPr>
          <w:p w14:paraId="1D307B6E" w14:textId="48796567" w:rsidR="00DD6751" w:rsidRPr="00A05EA9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A05EA9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https://pmc.ncbi.nlm.nih.gov/articles/PMC7573322/?utm_source=chatgpt.com</w:t>
            </w:r>
          </w:p>
        </w:tc>
      </w:tr>
      <w:tr w:rsidR="00DD6751" w14:paraId="59AF7B77" w14:textId="77777777" w:rsidTr="00C44AEB">
        <w:trPr>
          <w:trHeight w:val="82"/>
        </w:trPr>
        <w:tc>
          <w:tcPr>
            <w:tcW w:w="1696" w:type="dxa"/>
          </w:tcPr>
          <w:p w14:paraId="0319F556" w14:textId="07D90E7B" w:rsidR="00DD6751" w:rsidRPr="00D04B83" w:rsidRDefault="00DD6751" w:rsidP="00DD6751">
            <w:pPr>
              <w:pStyle w:val="Titre1"/>
              <w:spacing w:before="0" w:after="0"/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</w:rPr>
            </w:pPr>
            <w:proofErr w:type="spellStart"/>
            <w:proofErr w:type="gramStart"/>
            <w:r w:rsidRPr="0049592D"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</w:rPr>
              <w:t>carboplatine</w:t>
            </w:r>
            <w:proofErr w:type="spellEnd"/>
            <w:proofErr w:type="gramEnd"/>
            <w:r w:rsidRPr="0049592D"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</w:rPr>
              <w:t xml:space="preserve"> et cisplatin</w:t>
            </w:r>
            <w:r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</w:rPr>
              <w:t>e</w:t>
            </w:r>
          </w:p>
        </w:tc>
        <w:tc>
          <w:tcPr>
            <w:tcW w:w="4962" w:type="dxa"/>
          </w:tcPr>
          <w:p w14:paraId="15E58C42" w14:textId="7B2D67FB" w:rsidR="00DD6751" w:rsidRPr="00A05EA9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49592D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Information dentaire </w:t>
            </w:r>
            <w:r w:rsidRPr="0049592D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sym w:font="Wingdings" w:char="F0E8"/>
            </w:r>
            <w:r w:rsidRPr="0049592D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 xml:space="preserve"> Pigmentations buccales : quand les médicaments laissent leurs traces</w:t>
            </w:r>
          </w:p>
        </w:tc>
        <w:tc>
          <w:tcPr>
            <w:tcW w:w="1417" w:type="dxa"/>
          </w:tcPr>
          <w:p w14:paraId="2242734F" w14:textId="1048F5D1" w:rsidR="00DD6751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Février 2025</w:t>
            </w:r>
          </w:p>
        </w:tc>
        <w:tc>
          <w:tcPr>
            <w:tcW w:w="2417" w:type="dxa"/>
          </w:tcPr>
          <w:p w14:paraId="6A4E5212" w14:textId="49115AAF" w:rsidR="00DD6751" w:rsidRPr="00A05EA9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49592D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https://www.information-dentaire.fr/formations/pigmentations-buccales-quand-les-medicaments-laissent-leurs-traces/</w:t>
            </w:r>
          </w:p>
        </w:tc>
      </w:tr>
      <w:tr w:rsidR="00DD6751" w14:paraId="27DB85FA" w14:textId="77777777" w:rsidTr="00737797">
        <w:tc>
          <w:tcPr>
            <w:tcW w:w="1696" w:type="dxa"/>
          </w:tcPr>
          <w:p w14:paraId="195F9A3B" w14:textId="5EC8635D" w:rsidR="00DD6751" w:rsidRPr="0049592D" w:rsidRDefault="00DD6751" w:rsidP="00DD6751">
            <w:pPr>
              <w:pStyle w:val="Titre1"/>
              <w:spacing w:before="0" w:after="0"/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</w:rPr>
            </w:pPr>
            <w:proofErr w:type="spellStart"/>
            <w:r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</w:rPr>
              <w:t>Hydroxyurée</w:t>
            </w:r>
            <w:proofErr w:type="spellEnd"/>
          </w:p>
        </w:tc>
        <w:tc>
          <w:tcPr>
            <w:tcW w:w="4962" w:type="dxa"/>
          </w:tcPr>
          <w:p w14:paraId="03AC7D96" w14:textId="2959BEE1" w:rsidR="00DD6751" w:rsidRPr="0049592D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4B594E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Décoloration des dents induite par l'</w:t>
            </w:r>
            <w:proofErr w:type="spellStart"/>
            <w:r w:rsidRPr="004B594E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hydroxyuré</w:t>
            </w:r>
            <w:r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417" w:type="dxa"/>
          </w:tcPr>
          <w:p w14:paraId="0B5AA728" w14:textId="2DCC7506" w:rsidR="00DD6751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Février 2020</w:t>
            </w:r>
          </w:p>
        </w:tc>
        <w:tc>
          <w:tcPr>
            <w:tcW w:w="2417" w:type="dxa"/>
          </w:tcPr>
          <w:p w14:paraId="2FCB5DD5" w14:textId="209CA403" w:rsidR="00DD6751" w:rsidRPr="0049592D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4B594E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https://pubmed.ncbi.nlm.nih.gov/31711282/</w:t>
            </w:r>
          </w:p>
        </w:tc>
      </w:tr>
      <w:tr w:rsidR="00DD6751" w14:paraId="330090A3" w14:textId="77777777" w:rsidTr="00C44AEB">
        <w:trPr>
          <w:trHeight w:val="82"/>
        </w:trPr>
        <w:tc>
          <w:tcPr>
            <w:tcW w:w="1696" w:type="dxa"/>
          </w:tcPr>
          <w:p w14:paraId="319A8E12" w14:textId="2B9C0E79" w:rsidR="00DD6751" w:rsidRDefault="00DD6751" w:rsidP="00DD6751">
            <w:pPr>
              <w:pStyle w:val="Titre1"/>
              <w:spacing w:before="0" w:after="0"/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</w:rPr>
              <w:t>Chloroquine</w:t>
            </w:r>
          </w:p>
        </w:tc>
        <w:tc>
          <w:tcPr>
            <w:tcW w:w="4962" w:type="dxa"/>
          </w:tcPr>
          <w:p w14:paraId="11490B27" w14:textId="429F3D6B" w:rsidR="00DD6751" w:rsidRPr="004B594E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C44AEB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Hyperpigmentation du palais dur induite par la chloroquine : un rapport de cas</w:t>
            </w:r>
          </w:p>
        </w:tc>
        <w:tc>
          <w:tcPr>
            <w:tcW w:w="1417" w:type="dxa"/>
          </w:tcPr>
          <w:p w14:paraId="3A3D9D00" w14:textId="101C3D06" w:rsidR="00DD6751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Décembre 2019</w:t>
            </w:r>
          </w:p>
        </w:tc>
        <w:tc>
          <w:tcPr>
            <w:tcW w:w="2417" w:type="dxa"/>
          </w:tcPr>
          <w:p w14:paraId="68BCEDED" w14:textId="6CA7CED6" w:rsidR="00DD6751" w:rsidRPr="004B594E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230DA3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https://www.mdpi.com/2504-3900/35/1/45</w:t>
            </w:r>
          </w:p>
        </w:tc>
      </w:tr>
      <w:tr w:rsidR="00DD6751" w14:paraId="4D75FDC5" w14:textId="77777777" w:rsidTr="00C44AEB">
        <w:trPr>
          <w:trHeight w:val="82"/>
        </w:trPr>
        <w:tc>
          <w:tcPr>
            <w:tcW w:w="1696" w:type="dxa"/>
          </w:tcPr>
          <w:p w14:paraId="2CEBEA9A" w14:textId="77777777" w:rsidR="00DD6751" w:rsidRDefault="00DD6751" w:rsidP="00DD6751">
            <w:pPr>
              <w:pStyle w:val="Titre1"/>
              <w:spacing w:before="0" w:after="0"/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193D076" w14:textId="531F57FD" w:rsidR="00DD6751" w:rsidRPr="00C44AEB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proofErr w:type="spellStart"/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Pediatric</w:t>
            </w:r>
            <w:proofErr w:type="spellEnd"/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Pharmacy</w:t>
            </w:r>
            <w:proofErr w:type="spellEnd"/>
            <w:r w:rsidRPr="0016167F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 xml:space="preserve"> Association 2025 KIDS Liste des principaux médicaments potentiellement inappropriés en pédiatrie</w:t>
            </w:r>
          </w:p>
        </w:tc>
        <w:tc>
          <w:tcPr>
            <w:tcW w:w="1417" w:type="dxa"/>
          </w:tcPr>
          <w:p w14:paraId="4EB139C0" w14:textId="747F596D" w:rsidR="00DD6751" w:rsidRDefault="00DD6751" w:rsidP="00DD6751">
            <w:pPr>
              <w:jc w:val="center"/>
              <w:outlineLvl w:val="0"/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</w:pPr>
            <w:r w:rsidRPr="0016167F">
              <w:rPr>
                <w:rFonts w:ascii="Aptos" w:hAnsi="Aptos"/>
                <w:sz w:val="16"/>
                <w:szCs w:val="16"/>
              </w:rPr>
              <w:t>Août 2025</w:t>
            </w:r>
          </w:p>
        </w:tc>
        <w:tc>
          <w:tcPr>
            <w:tcW w:w="2417" w:type="dxa"/>
          </w:tcPr>
          <w:p w14:paraId="00015066" w14:textId="5496A69A" w:rsidR="00DD6751" w:rsidRPr="00230DA3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16167F">
              <w:rPr>
                <w:rFonts w:ascii="Aptos" w:hAnsi="Aptos"/>
                <w:color w:val="000000" w:themeColor="text1"/>
                <w:sz w:val="16"/>
                <w:szCs w:val="16"/>
              </w:rPr>
              <w:t>https://pubmed.ncbi.nlm.nih.gov/40821415/</w:t>
            </w:r>
          </w:p>
        </w:tc>
      </w:tr>
      <w:tr w:rsidR="00DD6751" w14:paraId="2D71B419" w14:textId="77777777" w:rsidTr="00C44AEB">
        <w:trPr>
          <w:trHeight w:val="82"/>
        </w:trPr>
        <w:tc>
          <w:tcPr>
            <w:tcW w:w="1696" w:type="dxa"/>
          </w:tcPr>
          <w:p w14:paraId="35EA94DB" w14:textId="77777777" w:rsidR="00DD6751" w:rsidRDefault="00DD6751" w:rsidP="00DD6751">
            <w:pPr>
              <w:pStyle w:val="Titre1"/>
              <w:spacing w:before="0" w:after="0"/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36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35D61EA" w14:textId="61D55350" w:rsidR="00DD6751" w:rsidRPr="0016167F" w:rsidRDefault="00DD6751" w:rsidP="00DD6751">
            <w:pPr>
              <w:pStyle w:val="Titre1"/>
              <w:spacing w:before="0" w:after="0"/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</w:pPr>
            <w:r w:rsidRPr="00CF0360">
              <w:rPr>
                <w:rFonts w:ascii="Aptos" w:eastAsia="Times New Roman" w:hAnsi="Aptos" w:cs="Times New Roman"/>
                <w:color w:val="000000" w:themeColor="text1"/>
                <w:kern w:val="36"/>
                <w:sz w:val="16"/>
                <w:szCs w:val="16"/>
              </w:rPr>
              <w:t>L'impact de l'utilisation à long terme de médicaments liquides pédiatriques sur l'émail des dents primaires : une étude in vitro</w:t>
            </w:r>
          </w:p>
        </w:tc>
        <w:tc>
          <w:tcPr>
            <w:tcW w:w="1417" w:type="dxa"/>
          </w:tcPr>
          <w:p w14:paraId="30820502" w14:textId="4FEA0804" w:rsidR="00DD6751" w:rsidRPr="0016167F" w:rsidRDefault="00DD6751" w:rsidP="00DD6751">
            <w:pPr>
              <w:jc w:val="center"/>
              <w:outlineLvl w:val="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Septembre 2025</w:t>
            </w:r>
          </w:p>
        </w:tc>
        <w:tc>
          <w:tcPr>
            <w:tcW w:w="2417" w:type="dxa"/>
          </w:tcPr>
          <w:p w14:paraId="0706DDA5" w14:textId="60426721" w:rsidR="00DD6751" w:rsidRPr="0016167F" w:rsidRDefault="00DD6751" w:rsidP="00DD6751">
            <w:pPr>
              <w:pStyle w:val="Titre1"/>
              <w:spacing w:before="0" w:after="0"/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CF0360">
              <w:rPr>
                <w:rFonts w:ascii="Aptos" w:hAnsi="Aptos"/>
                <w:color w:val="000000" w:themeColor="text1"/>
                <w:kern w:val="36"/>
                <w:sz w:val="16"/>
                <w:szCs w:val="16"/>
              </w:rPr>
              <w:t>https://www.jocpd.com/articles/10.22514/jocpd.2025.106</w:t>
            </w:r>
          </w:p>
        </w:tc>
      </w:tr>
    </w:tbl>
    <w:p w14:paraId="2E184E85" w14:textId="77777777" w:rsidR="002A2A57" w:rsidRDefault="002A2A57" w:rsidP="008B19C8">
      <w:pPr>
        <w:outlineLvl w:val="0"/>
        <w:rPr>
          <w:rFonts w:ascii="Aptos" w:hAnsi="Aptos"/>
          <w:sz w:val="16"/>
          <w:szCs w:val="16"/>
        </w:rPr>
      </w:pPr>
    </w:p>
    <w:p w14:paraId="346F7800" w14:textId="77777777" w:rsidR="002A2A57" w:rsidRDefault="002A2A57" w:rsidP="002A2A57">
      <w:pPr>
        <w:pStyle w:val="Titre3"/>
        <w:spacing w:before="0" w:after="0"/>
        <w:rPr>
          <w:color w:val="44707B"/>
        </w:rPr>
      </w:pPr>
      <w:hyperlink r:id="rId7" w:history="1">
        <w:r>
          <w:rPr>
            <w:rStyle w:val="Lienhypertexte"/>
            <w:color w:val="2A2A2A"/>
          </w:rPr>
          <w:t>Les dyschromies dentaires</w:t>
        </w:r>
        <w:r>
          <w:rPr>
            <w:rStyle w:val="apple-converted-space"/>
            <w:color w:val="2A2A2A"/>
          </w:rPr>
          <w:t> </w:t>
        </w:r>
        <w:r>
          <w:rPr>
            <w:rStyle w:val="Lienhypertexte"/>
            <w:color w:val="2A2A2A"/>
          </w:rPr>
          <w:t>:</w:t>
        </w:r>
        <w:r>
          <w:rPr>
            <w:rStyle w:val="apple-converted-space"/>
            <w:color w:val="2A2A2A"/>
          </w:rPr>
          <w:t> </w:t>
        </w:r>
        <w:r>
          <w:rPr>
            <w:rStyle w:val="Lienhypertexte"/>
            <w:color w:val="2A2A2A"/>
          </w:rPr>
          <w:t>un diagnostic précis</w:t>
        </w:r>
        <w:r>
          <w:rPr>
            <w:rStyle w:val="apple-converted-space"/>
            <w:color w:val="2A2A2A"/>
          </w:rPr>
          <w:t> </w:t>
        </w:r>
        <w:r>
          <w:rPr>
            <w:rStyle w:val="Lienhypertexte"/>
            <w:color w:val="2A2A2A"/>
          </w:rPr>
          <w:t>pour un</w:t>
        </w:r>
        <w:r>
          <w:rPr>
            <w:rStyle w:val="apple-converted-space"/>
            <w:color w:val="2A2A2A"/>
          </w:rPr>
          <w:t> </w:t>
        </w:r>
        <w:r>
          <w:rPr>
            <w:rStyle w:val="Lienhypertexte"/>
            <w:color w:val="2A2A2A"/>
          </w:rPr>
          <w:t>traitement esthétique réussi</w:t>
        </w:r>
      </w:hyperlink>
    </w:p>
    <w:p w14:paraId="335B5F08" w14:textId="77777777" w:rsidR="002A2A57" w:rsidRDefault="002A2A57" w:rsidP="002A2A57">
      <w:pPr>
        <w:spacing w:line="336" w:lineRule="atLeast"/>
      </w:pPr>
      <w:proofErr w:type="spellStart"/>
      <w:r>
        <w:t>Clement</w:t>
      </w:r>
      <w:proofErr w:type="spellEnd"/>
      <w:r>
        <w:t>, Marie (Auteur)</w:t>
      </w:r>
      <w:r>
        <w:rPr>
          <w:rStyle w:val="apple-converted-space"/>
          <w:rFonts w:eastAsiaTheme="majorEastAsia"/>
        </w:rPr>
        <w:t> </w:t>
      </w:r>
      <w:r>
        <w:rPr>
          <w:rStyle w:val="media-delimiter"/>
          <w:rFonts w:eastAsiaTheme="majorEastAsia"/>
        </w:rPr>
        <w:t>-</w:t>
      </w:r>
      <w:r>
        <w:rPr>
          <w:rStyle w:val="apple-converted-space"/>
          <w:rFonts w:eastAsiaTheme="majorEastAsia"/>
        </w:rPr>
        <w:t> </w:t>
      </w:r>
      <w:r>
        <w:t>Marcoux, Clara (Auteur)</w:t>
      </w:r>
      <w:r>
        <w:rPr>
          <w:rStyle w:val="apple-converted-space"/>
          <w:rFonts w:eastAsiaTheme="majorEastAsia"/>
        </w:rPr>
        <w:t> </w:t>
      </w:r>
    </w:p>
    <w:p w14:paraId="2F0BD721" w14:textId="7ECA327E" w:rsidR="002A2A57" w:rsidRDefault="002A2A57" w:rsidP="002A2A57">
      <w:pPr>
        <w:spacing w:line="336" w:lineRule="atLeast"/>
      </w:pPr>
      <w:r>
        <w:t>DL 2018</w:t>
      </w:r>
    </w:p>
    <w:p w14:paraId="2898D33B" w14:textId="675D0F3C" w:rsidR="002A2A57" w:rsidRDefault="002A2A57" w:rsidP="008B19C8">
      <w:pPr>
        <w:outlineLvl w:val="0"/>
        <w:rPr>
          <w:rFonts w:ascii="Aptos" w:hAnsi="Aptos"/>
          <w:sz w:val="16"/>
          <w:szCs w:val="16"/>
        </w:rPr>
      </w:pPr>
      <w:r w:rsidRPr="002A2A57">
        <w:rPr>
          <w:rFonts w:ascii="Aptos" w:hAnsi="Aptos"/>
          <w:noProof/>
          <w:sz w:val="16"/>
          <w:szCs w:val="16"/>
        </w:rPr>
        <w:drawing>
          <wp:inline distT="0" distB="0" distL="0" distR="0" wp14:anchorId="781E6D1A" wp14:editId="00762937">
            <wp:extent cx="2872675" cy="640080"/>
            <wp:effectExtent l="0" t="0" r="0" b="0"/>
            <wp:docPr id="1782104049" name="Image 1" descr="Une image contenant texte, Police, lig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04049" name="Image 1" descr="Une image contenant texte, Police, ligne, capture d’écra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9089" cy="64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13E20" w14:textId="77777777" w:rsidR="002A2A57" w:rsidRDefault="002A2A57" w:rsidP="008B19C8">
      <w:pPr>
        <w:outlineLvl w:val="0"/>
        <w:rPr>
          <w:rFonts w:ascii="Aptos" w:hAnsi="Aptos"/>
          <w:sz w:val="16"/>
          <w:szCs w:val="16"/>
        </w:rPr>
      </w:pPr>
    </w:p>
    <w:p w14:paraId="67F29B1C" w14:textId="77777777" w:rsidR="002A2A57" w:rsidRDefault="002A2A57" w:rsidP="002A2A57">
      <w:pPr>
        <w:wordWrap w:val="0"/>
        <w:rPr>
          <w:rFonts w:ascii="Open Sans" w:hAnsi="Open Sans" w:cs="Open Sans"/>
          <w:b/>
          <w:bCs/>
          <w:caps/>
          <w:color w:val="6D6D6D"/>
          <w:spacing w:val="17"/>
          <w:sz w:val="18"/>
          <w:szCs w:val="18"/>
        </w:rPr>
      </w:pPr>
      <w:r>
        <w:rPr>
          <w:rFonts w:ascii="Open Sans" w:hAnsi="Open Sans" w:cs="Open Sans"/>
          <w:b/>
          <w:bCs/>
          <w:caps/>
          <w:color w:val="6D6D6D"/>
          <w:spacing w:val="17"/>
          <w:sz w:val="18"/>
          <w:szCs w:val="18"/>
        </w:rPr>
        <w:t>ARTICLE</w:t>
      </w:r>
    </w:p>
    <w:p w14:paraId="6135711D" w14:textId="3204AB52" w:rsidR="002A2A57" w:rsidRDefault="002A2A57" w:rsidP="002A2A57">
      <w:pPr>
        <w:pStyle w:val="Titre3"/>
        <w:spacing w:before="0" w:after="0"/>
        <w:rPr>
          <w:rFonts w:cs="Times New Roman"/>
          <w:b/>
          <w:bCs/>
          <w:color w:val="44707B"/>
          <w:sz w:val="27"/>
          <w:szCs w:val="27"/>
        </w:rPr>
      </w:pPr>
      <w:hyperlink r:id="rId9" w:history="1">
        <w:proofErr w:type="spellStart"/>
        <w:r>
          <w:rPr>
            <w:rStyle w:val="Lienhypertexte"/>
            <w:color w:val="2A2A2A"/>
          </w:rPr>
          <w:t>Tooth</w:t>
        </w:r>
        <w:proofErr w:type="spellEnd"/>
        <w:r>
          <w:rPr>
            <w:rStyle w:val="Lienhypertexte"/>
            <w:color w:val="2A2A2A"/>
          </w:rPr>
          <w:t xml:space="preserve"> </w:t>
        </w:r>
        <w:proofErr w:type="spellStart"/>
        <w:r>
          <w:rPr>
            <w:rStyle w:val="Lienhypertexte"/>
            <w:color w:val="2A2A2A"/>
          </w:rPr>
          <w:t>colour</w:t>
        </w:r>
        <w:proofErr w:type="spellEnd"/>
        <w:r>
          <w:rPr>
            <w:rStyle w:val="Lienhypertexte"/>
            <w:color w:val="2A2A2A"/>
          </w:rPr>
          <w:t xml:space="preserve"> and </w:t>
        </w:r>
        <w:proofErr w:type="spellStart"/>
        <w:proofErr w:type="gramStart"/>
        <w:r>
          <w:rPr>
            <w:rStyle w:val="Lienhypertexte"/>
            <w:color w:val="2A2A2A"/>
          </w:rPr>
          <w:t>whiteness</w:t>
        </w:r>
        <w:proofErr w:type="spellEnd"/>
        <w:r>
          <w:rPr>
            <w:rStyle w:val="Lienhypertexte"/>
            <w:color w:val="2A2A2A"/>
          </w:rPr>
          <w:t>:</w:t>
        </w:r>
        <w:proofErr w:type="gramEnd"/>
        <w:r>
          <w:rPr>
            <w:rStyle w:val="Lienhypertexte"/>
            <w:color w:val="2A2A2A"/>
          </w:rPr>
          <w:t xml:space="preserve"> A </w:t>
        </w:r>
        <w:proofErr w:type="spellStart"/>
        <w:r>
          <w:rPr>
            <w:rStyle w:val="Lienhypertexte"/>
            <w:color w:val="2A2A2A"/>
          </w:rPr>
          <w:t>review</w:t>
        </w:r>
        <w:proofErr w:type="spellEnd"/>
      </w:hyperlink>
      <w:r w:rsidR="00DD6751">
        <w:t xml:space="preserve"> (2022)</w:t>
      </w:r>
    </w:p>
    <w:p w14:paraId="5A414D9C" w14:textId="77777777" w:rsidR="002A2A57" w:rsidRDefault="002A2A57" w:rsidP="002A2A57">
      <w:pPr>
        <w:spacing w:line="336" w:lineRule="atLeast"/>
      </w:pPr>
      <w:proofErr w:type="spellStart"/>
      <w:r>
        <w:t>Joiner</w:t>
      </w:r>
      <w:proofErr w:type="spellEnd"/>
      <w:r>
        <w:t>, Andrew ; Luo, Wen</w:t>
      </w:r>
    </w:p>
    <w:p w14:paraId="237BBDBD" w14:textId="463696DD" w:rsidR="002A2A57" w:rsidRDefault="002A2A57" w:rsidP="002A2A57">
      <w:pPr>
        <w:spacing w:line="336" w:lineRule="atLeast"/>
      </w:pPr>
      <w:r w:rsidRPr="002A2A57">
        <w:rPr>
          <w:noProof/>
        </w:rPr>
        <w:lastRenderedPageBreak/>
        <w:drawing>
          <wp:inline distT="0" distB="0" distL="0" distR="0" wp14:anchorId="3746863C" wp14:editId="66EA98E9">
            <wp:extent cx="3597923" cy="2251710"/>
            <wp:effectExtent l="0" t="0" r="0" b="0"/>
            <wp:docPr id="2142676426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676426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106" cy="225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BF400" w14:textId="1CD99F96" w:rsidR="002A2A57" w:rsidRDefault="002A2A57" w:rsidP="008B19C8">
      <w:pPr>
        <w:outlineLvl w:val="0"/>
        <w:rPr>
          <w:rFonts w:ascii="Aptos" w:hAnsi="Aptos"/>
          <w:sz w:val="16"/>
          <w:szCs w:val="16"/>
        </w:rPr>
      </w:pPr>
      <w:r w:rsidRPr="002A2A57">
        <w:rPr>
          <w:rFonts w:ascii="Aptos" w:hAnsi="Aptos"/>
          <w:noProof/>
          <w:sz w:val="16"/>
          <w:szCs w:val="16"/>
        </w:rPr>
        <w:drawing>
          <wp:inline distT="0" distB="0" distL="0" distR="0" wp14:anchorId="63CBF503" wp14:editId="0C42478D">
            <wp:extent cx="6645910" cy="711835"/>
            <wp:effectExtent l="0" t="0" r="0" b="0"/>
            <wp:docPr id="16897125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7125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5F39A" w14:textId="40251648" w:rsidR="002A2A57" w:rsidRDefault="002A2A57" w:rsidP="008B19C8">
      <w:pPr>
        <w:outlineLvl w:val="0"/>
        <w:rPr>
          <w:rFonts w:ascii="Aptos" w:hAnsi="Aptos"/>
          <w:sz w:val="16"/>
          <w:szCs w:val="16"/>
        </w:rPr>
      </w:pPr>
      <w:r w:rsidRPr="002A2A57">
        <w:rPr>
          <w:rFonts w:ascii="Aptos" w:hAnsi="Aptos"/>
          <w:noProof/>
          <w:sz w:val="16"/>
          <w:szCs w:val="16"/>
        </w:rPr>
        <w:drawing>
          <wp:inline distT="0" distB="0" distL="0" distR="0" wp14:anchorId="69D49EB2" wp14:editId="7B22E338">
            <wp:extent cx="6645910" cy="1111885"/>
            <wp:effectExtent l="0" t="0" r="0" b="5715"/>
            <wp:docPr id="508917651" name="Image 1" descr="Une image contenant texte, reçu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917651" name="Image 1" descr="Une image contenant texte, reçu, Police, algèbr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3ED6B" w14:textId="66C59C87" w:rsidR="00472036" w:rsidRDefault="00472036" w:rsidP="008B19C8">
      <w:pPr>
        <w:outlineLvl w:val="0"/>
        <w:rPr>
          <w:rFonts w:ascii="Aptos" w:hAnsi="Aptos"/>
          <w:sz w:val="16"/>
          <w:szCs w:val="16"/>
        </w:rPr>
      </w:pPr>
      <w:r w:rsidRPr="00472036">
        <w:rPr>
          <w:rFonts w:ascii="Aptos" w:hAnsi="Aptos"/>
          <w:noProof/>
          <w:sz w:val="16"/>
          <w:szCs w:val="16"/>
        </w:rPr>
        <w:drawing>
          <wp:inline distT="0" distB="0" distL="0" distR="0" wp14:anchorId="4612C9A6" wp14:editId="376B8895">
            <wp:extent cx="5074579" cy="857250"/>
            <wp:effectExtent l="0" t="0" r="5715" b="0"/>
            <wp:docPr id="18474258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25854" name=""/>
                    <pic:cNvPicPr/>
                  </pic:nvPicPr>
                  <pic:blipFill rotWithShape="1">
                    <a:blip r:embed="rId13"/>
                    <a:srcRect b="22010"/>
                    <a:stretch/>
                  </pic:blipFill>
                  <pic:spPr bwMode="auto">
                    <a:xfrm>
                      <a:off x="0" y="0"/>
                      <a:ext cx="5089182" cy="859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01EFD0" w14:textId="77777777" w:rsidR="00952315" w:rsidRDefault="00472036" w:rsidP="008B19C8">
      <w:pPr>
        <w:outlineLvl w:val="0"/>
        <w:rPr>
          <w:rFonts w:ascii="Aptos" w:hAnsi="Aptos"/>
          <w:sz w:val="16"/>
          <w:szCs w:val="16"/>
        </w:rPr>
      </w:pPr>
      <w:r w:rsidRPr="00472036">
        <w:rPr>
          <w:rFonts w:ascii="Aptos" w:hAnsi="Aptos"/>
          <w:noProof/>
          <w:sz w:val="16"/>
          <w:szCs w:val="16"/>
        </w:rPr>
        <w:drawing>
          <wp:inline distT="0" distB="0" distL="0" distR="0" wp14:anchorId="688F2C0D" wp14:editId="2229EC0E">
            <wp:extent cx="4137660" cy="3069048"/>
            <wp:effectExtent l="0" t="0" r="2540" b="4445"/>
            <wp:docPr id="8882632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26321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41686" cy="30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A87FD" w14:textId="2C7FD47A" w:rsidR="0061497E" w:rsidRPr="0049592D" w:rsidRDefault="0061497E" w:rsidP="0049592D">
      <w:pPr>
        <w:pStyle w:val="Paragraphedeliste"/>
        <w:numPr>
          <w:ilvl w:val="0"/>
          <w:numId w:val="1"/>
        </w:numPr>
        <w:outlineLvl w:val="0"/>
        <w:rPr>
          <w:rFonts w:ascii="Aptos" w:hAnsi="Aptos"/>
          <w:sz w:val="16"/>
          <w:szCs w:val="16"/>
        </w:rPr>
      </w:pPr>
    </w:p>
    <w:sectPr w:rsidR="0061497E" w:rsidRPr="0049592D" w:rsidSect="006149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D32E" w14:textId="77777777" w:rsidR="00B16BAC" w:rsidRDefault="00B16BAC" w:rsidP="00D04B83">
      <w:r>
        <w:separator/>
      </w:r>
    </w:p>
  </w:endnote>
  <w:endnote w:type="continuationSeparator" w:id="0">
    <w:p w14:paraId="4EAF31C0" w14:textId="77777777" w:rsidR="00B16BAC" w:rsidRDefault="00B16BAC" w:rsidP="00D0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9484" w14:textId="77777777" w:rsidR="00B16BAC" w:rsidRDefault="00B16BAC" w:rsidP="00D04B83">
      <w:r>
        <w:separator/>
      </w:r>
    </w:p>
  </w:footnote>
  <w:footnote w:type="continuationSeparator" w:id="0">
    <w:p w14:paraId="27E8216B" w14:textId="77777777" w:rsidR="00B16BAC" w:rsidRDefault="00B16BAC" w:rsidP="00D0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7FE5"/>
    <w:multiLevelType w:val="hybridMultilevel"/>
    <w:tmpl w:val="FBCA3BAE"/>
    <w:lvl w:ilvl="0" w:tplc="AD924B5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3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31"/>
    <w:rsid w:val="00083F54"/>
    <w:rsid w:val="0016052F"/>
    <w:rsid w:val="0016167F"/>
    <w:rsid w:val="00230DA3"/>
    <w:rsid w:val="00243D67"/>
    <w:rsid w:val="002A2A57"/>
    <w:rsid w:val="002C4208"/>
    <w:rsid w:val="00303A8E"/>
    <w:rsid w:val="00380086"/>
    <w:rsid w:val="00454951"/>
    <w:rsid w:val="00472036"/>
    <w:rsid w:val="00492C51"/>
    <w:rsid w:val="0049592D"/>
    <w:rsid w:val="004B594E"/>
    <w:rsid w:val="00597D13"/>
    <w:rsid w:val="0061497E"/>
    <w:rsid w:val="006C4364"/>
    <w:rsid w:val="00737797"/>
    <w:rsid w:val="007D1999"/>
    <w:rsid w:val="007E0F3D"/>
    <w:rsid w:val="008369DD"/>
    <w:rsid w:val="00883E38"/>
    <w:rsid w:val="008B19C8"/>
    <w:rsid w:val="0092654B"/>
    <w:rsid w:val="00952315"/>
    <w:rsid w:val="0099375D"/>
    <w:rsid w:val="00A05EA9"/>
    <w:rsid w:val="00B05E6F"/>
    <w:rsid w:val="00B16BAC"/>
    <w:rsid w:val="00BF4904"/>
    <w:rsid w:val="00C44AEB"/>
    <w:rsid w:val="00CF0360"/>
    <w:rsid w:val="00D04B83"/>
    <w:rsid w:val="00DB75CE"/>
    <w:rsid w:val="00DD1B34"/>
    <w:rsid w:val="00DD6751"/>
    <w:rsid w:val="00DF479D"/>
    <w:rsid w:val="00E068A2"/>
    <w:rsid w:val="00E26398"/>
    <w:rsid w:val="00E86E3E"/>
    <w:rsid w:val="00F26531"/>
    <w:rsid w:val="00F71BBD"/>
    <w:rsid w:val="00F75ED5"/>
    <w:rsid w:val="00F81146"/>
    <w:rsid w:val="00FA263A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EB4721"/>
  <w15:chartTrackingRefBased/>
  <w15:docId w15:val="{F5A287BF-4540-F244-BB9F-37CF4441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67F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26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6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6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6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6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65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65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65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65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6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6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6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65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65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65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65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65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65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65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6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6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6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65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65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65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6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65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653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2653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653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F26531"/>
  </w:style>
  <w:style w:type="character" w:styleId="lev">
    <w:name w:val="Strong"/>
    <w:basedOn w:val="Policepardfaut"/>
    <w:uiPriority w:val="22"/>
    <w:qFormat/>
    <w:rsid w:val="00380086"/>
    <w:rPr>
      <w:b/>
      <w:bCs/>
    </w:rPr>
  </w:style>
  <w:style w:type="character" w:styleId="Accentuation">
    <w:name w:val="Emphasis"/>
    <w:basedOn w:val="Policepardfaut"/>
    <w:uiPriority w:val="20"/>
    <w:qFormat/>
    <w:rsid w:val="00380086"/>
    <w:rPr>
      <w:i/>
      <w:iCs/>
    </w:rPr>
  </w:style>
  <w:style w:type="character" w:customStyle="1" w:styleId="ms-1">
    <w:name w:val="ms-1"/>
    <w:basedOn w:val="Policepardfaut"/>
    <w:rsid w:val="00380086"/>
  </w:style>
  <w:style w:type="character" w:customStyle="1" w:styleId="max-w-15ch">
    <w:name w:val="max-w-[15ch]"/>
    <w:basedOn w:val="Policepardfaut"/>
    <w:rsid w:val="00380086"/>
  </w:style>
  <w:style w:type="character" w:customStyle="1" w:styleId="-me-1">
    <w:name w:val="-me-1"/>
    <w:basedOn w:val="Policepardfaut"/>
    <w:rsid w:val="0061497E"/>
  </w:style>
  <w:style w:type="table" w:styleId="Grilledutableau">
    <w:name w:val="Table Grid"/>
    <w:basedOn w:val="TableauNormal"/>
    <w:uiPriority w:val="39"/>
    <w:rsid w:val="0049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16167F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04B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4B8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04B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4B8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dia-delimiter">
    <w:name w:val="media-delimiter"/>
    <w:basedOn w:val="Policepardfaut"/>
    <w:rsid w:val="002A2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2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uspc-upde.primo.exlibrisgroup.com/discovery/fulldisplay?docid=alma991002592409705806&amp;context=L&amp;vid=33USPC_UPDE:UPDE&amp;lang=fr&amp;search_scope=Everything&amp;adaptor=Local%20Search%20Engine&amp;tab=Tout&amp;query=any%2Ccontains%2CLes%20dyschromies%20dentaires%3A%20un%20diagnostic%20pr%C3%A9cis%20pour%20un%20traitement%20esth%C3%A9tique%20r%C3%A9ussi%20&amp;mode=basic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spc-upde.primo.exlibrisgroup.com/discovery/fulldisplay?docid=cdi_proquest_miscellaneous_1941100801&amp;context=PC&amp;vid=33USPC_UPDE:UPDE&amp;lang=fr&amp;adaptor=Primo%20Central&amp;tab=Tout&amp;query=any%2Ccontains%2CTooth%20colour%20and%20whiteness&amp;offset=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771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MASSON</dc:creator>
  <cp:keywords/>
  <dc:description/>
  <cp:lastModifiedBy>Constance D'HEBRAIL</cp:lastModifiedBy>
  <cp:revision>8</cp:revision>
  <dcterms:created xsi:type="dcterms:W3CDTF">2025-10-16T15:06:00Z</dcterms:created>
  <dcterms:modified xsi:type="dcterms:W3CDTF">2026-02-17T15:25:00Z</dcterms:modified>
</cp:coreProperties>
</file>